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532A1D">
        <w:rPr>
          <w:b/>
          <w:szCs w:val="22"/>
        </w:rPr>
        <w:t>8</w:t>
      </w:r>
      <w:r>
        <w:rPr>
          <w:b/>
          <w:szCs w:val="22"/>
        </w:rPr>
        <w:t>-</w:t>
      </w:r>
      <w:r w:rsidR="00DB2F01">
        <w:rPr>
          <w:b/>
          <w:szCs w:val="22"/>
        </w:rPr>
        <w:t>595</w:t>
      </w:r>
    </w:p>
    <w:p w:rsidR="006076B9"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r>
      <w:r>
        <w:rPr>
          <w:b/>
          <w:szCs w:val="22"/>
        </w:rPr>
        <w:t>Released:</w:t>
      </w:r>
      <w:r w:rsidR="008B01AC">
        <w:rPr>
          <w:b/>
          <w:szCs w:val="22"/>
        </w:rPr>
        <w:t xml:space="preserve"> </w:t>
      </w:r>
      <w:r w:rsidR="00C1051F">
        <w:rPr>
          <w:b/>
          <w:szCs w:val="22"/>
        </w:rPr>
        <w:t xml:space="preserve"> </w:t>
      </w:r>
      <w:r w:rsidR="005B5A4A">
        <w:rPr>
          <w:b/>
          <w:szCs w:val="22"/>
        </w:rPr>
        <w:t>June</w:t>
      </w:r>
      <w:r w:rsidR="00385C89">
        <w:rPr>
          <w:b/>
          <w:szCs w:val="22"/>
        </w:rPr>
        <w:t xml:space="preserve"> </w:t>
      </w:r>
      <w:r w:rsidR="005B5A4A">
        <w:rPr>
          <w:b/>
          <w:szCs w:val="22"/>
        </w:rPr>
        <w:t>7</w:t>
      </w:r>
      <w:r>
        <w:rPr>
          <w:b/>
          <w:szCs w:val="22"/>
        </w:rPr>
        <w:t>, 201</w:t>
      </w:r>
      <w:r w:rsidR="00532A1D">
        <w:rPr>
          <w:b/>
          <w:szCs w:val="22"/>
        </w:rPr>
        <w:t>8</w:t>
      </w:r>
    </w:p>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CD4D11">
        <w:rPr>
          <w:b/>
          <w:kern w:val="0"/>
          <w:szCs w:val="22"/>
        </w:rPr>
        <w:t xml:space="preserve">DOMINANT CARRIER </w:t>
      </w:r>
      <w:r>
        <w:rPr>
          <w:b/>
          <w:kern w:val="0"/>
          <w:szCs w:val="22"/>
        </w:rPr>
        <w:t>TELECOMMUNICATIONS SERVICES</w:t>
      </w: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P="00E661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DB718C">
        <w:rPr>
          <w:b/>
          <w:kern w:val="0"/>
          <w:szCs w:val="22"/>
        </w:rPr>
        <w:t>1</w:t>
      </w:r>
      <w:r w:rsidR="00532A1D">
        <w:rPr>
          <w:b/>
          <w:kern w:val="0"/>
          <w:szCs w:val="22"/>
        </w:rPr>
        <w:t>8</w:t>
      </w:r>
      <w:r w:rsidR="00DB718C">
        <w:rPr>
          <w:b/>
          <w:kern w:val="0"/>
          <w:szCs w:val="22"/>
        </w:rPr>
        <w:t>-</w:t>
      </w:r>
      <w:r w:rsidR="0086792A">
        <w:rPr>
          <w:b/>
          <w:kern w:val="0"/>
          <w:szCs w:val="22"/>
        </w:rPr>
        <w:t>17</w:t>
      </w:r>
      <w:r w:rsidR="00532A1D">
        <w:rPr>
          <w:b/>
          <w:kern w:val="0"/>
          <w:szCs w:val="22"/>
        </w:rPr>
        <w:t>6</w:t>
      </w:r>
    </w:p>
    <w:p w:rsidR="00E66177" w:rsidP="00DE7E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86792A">
        <w:rPr>
          <w:b/>
          <w:kern w:val="0"/>
          <w:szCs w:val="22"/>
        </w:rPr>
        <w:t>July 9</w:t>
      </w:r>
      <w:r w:rsidR="00B83221">
        <w:rPr>
          <w:b/>
          <w:kern w:val="0"/>
          <w:szCs w:val="22"/>
        </w:rPr>
        <w:t>, 201</w:t>
      </w:r>
      <w:r w:rsidR="00A61976">
        <w:rPr>
          <w:b/>
          <w:kern w:val="0"/>
          <w:szCs w:val="22"/>
        </w:rPr>
        <w:t>8</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E01D45">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651A64">
        <w:rPr>
          <w:rFonts w:eastAsia="MS Mincho"/>
          <w:szCs w:val="22"/>
        </w:rPr>
        <w:t>August</w:t>
      </w:r>
      <w:r w:rsidR="00CB4144">
        <w:rPr>
          <w:rFonts w:eastAsia="MS Mincho"/>
          <w:szCs w:val="22"/>
        </w:rPr>
        <w:t xml:space="preserve"> </w:t>
      </w:r>
      <w:r w:rsidR="00651A64">
        <w:rPr>
          <w:rFonts w:eastAsia="MS Mincho"/>
          <w:szCs w:val="22"/>
        </w:rPr>
        <w:t>6</w:t>
      </w:r>
      <w:r w:rsidR="00CB4144">
        <w:rPr>
          <w:rFonts w:eastAsia="MS Mincho"/>
          <w:szCs w:val="22"/>
        </w:rPr>
        <w:t>,</w:t>
      </w:r>
      <w:r w:rsidR="002D39B6">
        <w:rPr>
          <w:rFonts w:eastAsia="MS Mincho"/>
          <w:szCs w:val="22"/>
        </w:rPr>
        <w:t xml:space="preserve"> 2</w:t>
      </w:r>
      <w:r w:rsidR="00E66177">
        <w:rPr>
          <w:rFonts w:eastAsia="MS Mincho"/>
          <w:szCs w:val="22"/>
        </w:rPr>
        <w:t>01</w:t>
      </w:r>
      <w:r w:rsidR="002D39B6">
        <w:rPr>
          <w:rFonts w:eastAsia="MS Mincho"/>
          <w:szCs w:val="22"/>
        </w:rPr>
        <w:t>8</w:t>
      </w:r>
      <w:r w:rsidR="00CB3068">
        <w:rPr>
          <w:rFonts w:eastAsia="MS Mincho"/>
          <w:szCs w:val="22"/>
        </w:rPr>
        <w:t xml:space="preserve">, </w:t>
      </w:r>
      <w:r w:rsidRPr="001A2C9B">
        <w:rPr>
          <w:rFonts w:eastAsia="MS Mincho"/>
          <w:szCs w:val="22"/>
        </w:rPr>
        <w:t xml:space="preserve">the </w:t>
      </w:r>
      <w:r w:rsidR="00FE6B4B">
        <w:rPr>
          <w:rFonts w:eastAsia="MS Mincho"/>
          <w:szCs w:val="22"/>
        </w:rPr>
        <w:t>60th</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FD3E25">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w:t>
      </w:r>
      <w:r w:rsidR="00125E48">
        <w:rPr>
          <w:rFonts w:eastAsia="MS Mincho"/>
          <w:szCs w:val="22"/>
        </w:rPr>
        <w:t>, whichever is later</w:t>
      </w:r>
      <w:r w:rsidRPr="00792917" w:rsidR="00792917">
        <w:rPr>
          <w:rFonts w:eastAsia="MS Mincho"/>
          <w:szCs w:val="22"/>
        </w:rPr>
        <w:t xml:space="preserve">.  Should no </w:t>
      </w:r>
      <w:r w:rsidRPr="00792917" w:rsidR="00792917">
        <w:rPr>
          <w:rFonts w:eastAsia="MS Mincho"/>
          <w:szCs w:val="22"/>
        </w:rPr>
        <w:t>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563862"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86792A">
        <w:rPr>
          <w:b/>
          <w:szCs w:val="22"/>
        </w:rPr>
        <w:t>July 9</w:t>
      </w:r>
      <w:r w:rsidR="00FA0AFD">
        <w:rPr>
          <w:b/>
          <w:szCs w:val="22"/>
        </w:rPr>
        <w:t>, 201</w:t>
      </w:r>
      <w:r w:rsidR="00A61976">
        <w:rPr>
          <w:b/>
          <w:szCs w:val="22"/>
        </w:rPr>
        <w:t>8</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r>
        <w:fldChar w:fldCharType="begin"/>
      </w:r>
      <w:r>
        <w:instrText xml:space="preserve"> HYPERLINK "http://apps.fcc.gov/ecfs" </w:instrText>
      </w:r>
      <w:r>
        <w:fldChar w:fldCharType="separate"/>
      </w:r>
      <w:r w:rsidRPr="0071235D" w:rsidR="00F81EAE">
        <w:rPr>
          <w:rStyle w:val="Hyperlink"/>
          <w:szCs w:val="22"/>
        </w:rPr>
        <w:t>http://apps.fcc.gov/ecfs</w:t>
      </w:r>
      <w:r>
        <w:fldChar w:fldCharType="end"/>
      </w:r>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5407C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w:t>
      </w:r>
      <w:r w:rsidR="005407C7">
        <w:rPr>
          <w:szCs w:val="22"/>
        </w:rPr>
        <w:t xml:space="preserve">  </w:t>
      </w:r>
      <w:r w:rsidRPr="005407C7">
        <w:rPr>
          <w:szCs w:val="22"/>
        </w:rPr>
        <w:t>Commercial overnight mail (other than U.S. Postal Service Express Mail and Priority Mail) must be sent to</w:t>
      </w:r>
      <w:r w:rsidRPr="005407C7" w:rsidR="005407C7">
        <w:rPr>
          <w:szCs w:val="22"/>
        </w:rPr>
        <w:t xml:space="preserve"> 9050 Junction Drive, Annapolis Junction, MD 20701</w:t>
      </w:r>
      <w:r w:rsidRPr="005407C7">
        <w:rPr>
          <w:szCs w:val="22"/>
        </w:rPr>
        <w:t>.</w:t>
      </w:r>
      <w:r>
        <w:rPr>
          <w:szCs w:val="22"/>
        </w:rPr>
        <w:t xml:space="preserve">  U.S. Postal Service first-class, Express, and Priority mail must be addressed to 445 12th Street, S.W., Washington, D.C. 20554.</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Pr="002658A1" w:rsid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7"/>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545B81" w:rsidR="00FA7D9F">
        <w:rPr>
          <w:rStyle w:val="Hyperlink"/>
          <w:szCs w:val="22"/>
        </w:rPr>
        <w:t>fcc504@fcc.gov</w:t>
      </w:r>
      <w:r>
        <w:fldChar w:fldCharType="end"/>
      </w:r>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r>
        <w:fldChar w:fldCharType="begin"/>
      </w:r>
      <w:r>
        <w:instrText xml:space="preserve"> HYPERLINK "https://www.fcc.gov/encyclopedia/domestic-section-214-discontinuance-service" </w:instrText>
      </w:r>
      <w:r>
        <w:fldChar w:fldCharType="separate"/>
      </w:r>
      <w:r w:rsidRPr="0034665D" w:rsidR="0034665D">
        <w:rPr>
          <w:rStyle w:val="Hyperlink"/>
          <w:szCs w:val="22"/>
        </w:rPr>
        <w:t>https://www.fcc.gov/encyclopedia/domestic-section-214-discontinuance-service</w:t>
      </w:r>
      <w:r>
        <w:fldChar w:fldCharType="end"/>
      </w:r>
      <w:r w:rsidR="0034665D">
        <w:rPr>
          <w:szCs w:val="22"/>
        </w:rPr>
        <w:t>.</w:t>
      </w: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pPr>
        <w:rPr>
          <w:szCs w:val="22"/>
        </w:rPr>
      </w:pPr>
      <w:r>
        <w:rPr>
          <w:szCs w:val="22"/>
        </w:rPr>
        <w:br w:type="page"/>
      </w:r>
    </w:p>
    <w:p w:rsidR="006076B9"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p>
    <w:p w:rsidR="001B1F17"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9D0CCE" w:rsidP="001F0DF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51A64" w:rsidP="00651A64">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51A64">
        <w:rPr>
          <w:b/>
          <w:szCs w:val="22"/>
        </w:rPr>
        <w:t xml:space="preserve">Applicant(s): </w:t>
      </w:r>
      <w:r w:rsidRPr="00651A64">
        <w:rPr>
          <w:b/>
          <w:szCs w:val="22"/>
        </w:rPr>
        <w:t xml:space="preserve">AT&amp;T Services, Inc. </w:t>
      </w:r>
      <w:r>
        <w:rPr>
          <w:b/>
          <w:szCs w:val="22"/>
        </w:rPr>
        <w:t>o</w:t>
      </w:r>
      <w:r w:rsidRPr="00651A64">
        <w:rPr>
          <w:b/>
          <w:szCs w:val="22"/>
        </w:rPr>
        <w:t xml:space="preserve">n behalf of </w:t>
      </w:r>
      <w:r w:rsidR="00F037E7">
        <w:rPr>
          <w:b/>
          <w:szCs w:val="22"/>
        </w:rPr>
        <w:t xml:space="preserve">its affiliate, </w:t>
      </w:r>
      <w:bookmarkStart w:id="0" w:name="_GoBack"/>
      <w:bookmarkEnd w:id="0"/>
      <w:r w:rsidRPr="00651A64">
        <w:rPr>
          <w:b/>
          <w:szCs w:val="22"/>
        </w:rPr>
        <w:t>BellSouth Telec</w:t>
      </w:r>
      <w:r w:rsidR="00B14BF7">
        <w:rPr>
          <w:b/>
          <w:szCs w:val="22"/>
        </w:rPr>
        <w:t>o</w:t>
      </w:r>
      <w:r w:rsidRPr="00651A64">
        <w:rPr>
          <w:b/>
          <w:szCs w:val="22"/>
        </w:rPr>
        <w:t>mmunications, LLC d/b/a AT&amp;T Louisiana</w:t>
      </w:r>
    </w:p>
    <w:p w:rsidR="00F21346" w:rsidRPr="00651A64" w:rsidP="00651A6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51A64">
        <w:rPr>
          <w:b/>
          <w:szCs w:val="22"/>
        </w:rPr>
        <w:t>WC Docket No. 18-</w:t>
      </w:r>
      <w:r w:rsidR="00651A64">
        <w:rPr>
          <w:b/>
          <w:szCs w:val="22"/>
        </w:rPr>
        <w:t>17</w:t>
      </w:r>
      <w:r w:rsidRPr="00651A64">
        <w:rPr>
          <w:b/>
          <w:szCs w:val="22"/>
        </w:rPr>
        <w:t>6, Comp. Pol. File No. 14</w:t>
      </w:r>
      <w:r w:rsidR="00651A64">
        <w:rPr>
          <w:b/>
          <w:szCs w:val="22"/>
        </w:rPr>
        <w:t>56</w:t>
      </w:r>
    </w:p>
    <w:p w:rsidR="00F21346" w:rsidRPr="00F21346" w:rsidP="00F2134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21346">
        <w:rPr>
          <w:szCs w:val="22"/>
        </w:rPr>
        <w:t>Link –</w:t>
      </w:r>
      <w:r w:rsidRPr="00B14BF7" w:rsidR="00B14BF7">
        <w:t xml:space="preserve"> </w:t>
      </w:r>
      <w:r>
        <w:fldChar w:fldCharType="begin"/>
      </w:r>
      <w:r>
        <w:instrText xml:space="preserve"> HYPERLINK "https://www.fcc.gov/ecfs/search/filings?proceedings_name=18-176&amp;sort=date_disseminated,DESC" </w:instrText>
      </w:r>
      <w:r>
        <w:fldChar w:fldCharType="separate"/>
      </w:r>
      <w:r w:rsidRPr="00B14BF7" w:rsidR="00B14BF7">
        <w:rPr>
          <w:rStyle w:val="Hyperlink"/>
          <w:szCs w:val="22"/>
        </w:rPr>
        <w:t>https://www.fcc.gov/ecfs/search/filings?proceedings_name=18-176&amp;sort=date_disseminated,DESC</w:t>
      </w:r>
      <w:r>
        <w:fldChar w:fldCharType="end"/>
      </w:r>
    </w:p>
    <w:p w:rsidR="00651A64" w:rsidRPr="00651A64" w:rsidP="00651A6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Affected Service(s)</w:t>
      </w:r>
      <w:r w:rsidRPr="00F21346">
        <w:rPr>
          <w:szCs w:val="22"/>
        </w:rPr>
        <w:t xml:space="preserve"> – </w:t>
      </w:r>
      <w:r w:rsidRPr="00651A64">
        <w:rPr>
          <w:szCs w:val="22"/>
        </w:rPr>
        <w:t>BellSouth Metallic service (aka BellSouth Special Access Metallic)</w:t>
      </w:r>
      <w:r>
        <w:rPr>
          <w:szCs w:val="22"/>
        </w:rPr>
        <w:t>;</w:t>
      </w:r>
      <w:r w:rsidRPr="00651A64">
        <w:rPr>
          <w:szCs w:val="22"/>
        </w:rPr>
        <w:t xml:space="preserve"> Telegraph</w:t>
      </w:r>
      <w:r>
        <w:rPr>
          <w:szCs w:val="22"/>
        </w:rPr>
        <w:t xml:space="preserve"> </w:t>
      </w:r>
      <w:r w:rsidRPr="00651A64">
        <w:rPr>
          <w:szCs w:val="22"/>
        </w:rPr>
        <w:t>Grade services (aka BellSouth Special Access Telegraph)</w:t>
      </w:r>
      <w:r>
        <w:rPr>
          <w:szCs w:val="22"/>
        </w:rPr>
        <w:t>;</w:t>
      </w:r>
      <w:r w:rsidRPr="00651A64">
        <w:rPr>
          <w:szCs w:val="22"/>
        </w:rPr>
        <w:t xml:space="preserve"> Voice Grade service (aka</w:t>
      </w:r>
    </w:p>
    <w:p w:rsidR="00651A64" w:rsidRPr="00651A64" w:rsidP="00651A6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51A64">
        <w:rPr>
          <w:szCs w:val="22"/>
        </w:rPr>
        <w:t>BellSouth Special Access DS0 VG Service)</w:t>
      </w:r>
      <w:r>
        <w:rPr>
          <w:szCs w:val="22"/>
        </w:rPr>
        <w:t>;</w:t>
      </w:r>
      <w:r w:rsidRPr="00651A64">
        <w:rPr>
          <w:szCs w:val="22"/>
        </w:rPr>
        <w:t xml:space="preserve"> Program Audio service (aka BellSouth</w:t>
      </w:r>
    </w:p>
    <w:p w:rsidR="00651A64" w:rsidRPr="00651A64" w:rsidP="00651A6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51A64">
        <w:rPr>
          <w:szCs w:val="22"/>
        </w:rPr>
        <w:t>Special Access Program Audio)</w:t>
      </w:r>
      <w:r>
        <w:rPr>
          <w:szCs w:val="22"/>
        </w:rPr>
        <w:t>;</w:t>
      </w:r>
      <w:r w:rsidRPr="00651A64">
        <w:rPr>
          <w:szCs w:val="22"/>
        </w:rPr>
        <w:t xml:space="preserve"> Digital Data Access service (aka BellSouth Special</w:t>
      </w:r>
    </w:p>
    <w:p w:rsidR="00651A64" w:rsidRPr="00651A64" w:rsidP="00651A6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51A64">
        <w:rPr>
          <w:szCs w:val="22"/>
        </w:rPr>
        <w:t>Access DS0 Digital Data)</w:t>
      </w:r>
      <w:r>
        <w:rPr>
          <w:szCs w:val="22"/>
        </w:rPr>
        <w:t>;</w:t>
      </w:r>
      <w:r w:rsidRPr="00651A64">
        <w:rPr>
          <w:szCs w:val="22"/>
        </w:rPr>
        <w:t xml:space="preserve"> High Capacity service (aka BellSouth Special Access High</w:t>
      </w:r>
    </w:p>
    <w:p w:rsidR="00651A64" w:rsidRPr="00651A64" w:rsidP="00651A6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51A64">
        <w:rPr>
          <w:szCs w:val="22"/>
        </w:rPr>
        <w:t>Capacity)</w:t>
      </w:r>
      <w:r>
        <w:rPr>
          <w:szCs w:val="22"/>
        </w:rPr>
        <w:t>;</w:t>
      </w:r>
      <w:r w:rsidRPr="00651A64">
        <w:rPr>
          <w:szCs w:val="22"/>
        </w:rPr>
        <w:t xml:space="preserve"> and Derived Data Channel (aka BellSouth Special Access Derived Data</w:t>
      </w:r>
    </w:p>
    <w:p w:rsidR="00F21346" w:rsidRPr="00F21346" w:rsidP="00651A6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51A64">
        <w:rPr>
          <w:szCs w:val="22"/>
        </w:rPr>
        <w:t>Channel) service</w:t>
      </w:r>
    </w:p>
    <w:p w:rsidR="00651A64" w:rsidP="00651A6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Service Area(s)</w:t>
      </w:r>
      <w:r w:rsidRPr="00F21346">
        <w:rPr>
          <w:szCs w:val="22"/>
        </w:rPr>
        <w:t xml:space="preserve"> –</w:t>
      </w:r>
      <w:r>
        <w:rPr>
          <w:szCs w:val="22"/>
        </w:rPr>
        <w:t xml:space="preserve"> </w:t>
      </w:r>
      <w:r w:rsidRPr="00651A64">
        <w:rPr>
          <w:szCs w:val="22"/>
        </w:rPr>
        <w:t>Denham Springs,</w:t>
      </w:r>
      <w:r>
        <w:rPr>
          <w:szCs w:val="22"/>
        </w:rPr>
        <w:t xml:space="preserve"> </w:t>
      </w:r>
      <w:r w:rsidRPr="00651A64">
        <w:rPr>
          <w:szCs w:val="22"/>
        </w:rPr>
        <w:t>Louisiana.</w:t>
      </w:r>
    </w:p>
    <w:p w:rsidR="002F05CB" w:rsidP="00F2134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Authorized Date(s)</w:t>
      </w:r>
      <w:r w:rsidRPr="00F21346">
        <w:rPr>
          <w:szCs w:val="22"/>
        </w:rPr>
        <w:t xml:space="preserve"> – </w:t>
      </w:r>
      <w:r>
        <w:rPr>
          <w:szCs w:val="22"/>
        </w:rPr>
        <w:t>o</w:t>
      </w:r>
      <w:r w:rsidRPr="00F21346">
        <w:rPr>
          <w:szCs w:val="22"/>
        </w:rPr>
        <w:t xml:space="preserve">n or after </w:t>
      </w:r>
      <w:r>
        <w:rPr>
          <w:szCs w:val="22"/>
        </w:rPr>
        <w:t>August</w:t>
      </w:r>
      <w:r w:rsidRPr="00F21346">
        <w:rPr>
          <w:szCs w:val="22"/>
        </w:rPr>
        <w:t xml:space="preserve"> </w:t>
      </w:r>
      <w:r>
        <w:rPr>
          <w:szCs w:val="22"/>
        </w:rPr>
        <w:t>6</w:t>
      </w:r>
      <w:r w:rsidRPr="00F21346">
        <w:rPr>
          <w:szCs w:val="22"/>
        </w:rPr>
        <w:t>, 2018</w:t>
      </w:r>
    </w:p>
    <w:p w:rsidR="00F21346" w:rsidRPr="00F21346" w:rsidP="00F2134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Contact(s)</w:t>
      </w:r>
      <w:r w:rsidRPr="00F21346">
        <w:rPr>
          <w:szCs w:val="22"/>
        </w:rPr>
        <w:t xml:space="preserve"> – Kimberly Jackson, (202) 418-7393 (voice), Kimberly.Jackson@fcc.gov, or Carmell Weathers, (202) 418-2325 (voice), Carmell.Weathers@fcc.gov, of the Competition Policy Division, Wireline Competition Bureau</w:t>
      </w:r>
    </w:p>
    <w:p w:rsidR="00F21346" w:rsidP="00F2134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7A0F48"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A6D2C"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7D0A" w:rsidRPr="00FA7D0A" w:rsidP="0007538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hanging="720"/>
        <w:rPr>
          <w:szCs w:val="22"/>
        </w:rPr>
      </w:pPr>
      <w:r w:rsidRPr="00094AB4">
        <w:rPr>
          <w:b/>
          <w:szCs w:val="22"/>
        </w:rPr>
        <w:t xml:space="preserve">     </w:t>
      </w:r>
    </w:p>
    <w:p w:rsidR="002942CF" w:rsidRPr="002942CF" w:rsidP="002942C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sectPr w:rsidSect="009A0CEF">
      <w:footerReference w:type="default" r:id="rId5"/>
      <w:headerReference w:type="first" r:id="rId6"/>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r>
        <w:separator/>
      </w:r>
    </w:p>
  </w:footnote>
  <w:footnote w:type="continuationSeparator" w:id="1">
    <w:p w:rsidR="007A190B">
      <w:r>
        <w:continuationSeparator/>
      </w:r>
    </w:p>
  </w:footnote>
  <w:footnote w:id="2">
    <w:p w:rsidR="00D33FBA" w:rsidRPr="00C91996">
      <w:pPr>
        <w:pStyle w:val="FootnoteText"/>
        <w:rPr>
          <w:sz w:val="20"/>
        </w:rPr>
      </w:pPr>
      <w:r w:rsidRPr="00C91996">
        <w:rPr>
          <w:rStyle w:val="FootnoteReference"/>
          <w:sz w:val="20"/>
        </w:rPr>
        <w:footnoteRef/>
      </w:r>
      <w:r w:rsidRPr="00C91996">
        <w:rPr>
          <w:sz w:val="20"/>
        </w:rPr>
        <w:t xml:space="preserve"> </w:t>
      </w:r>
      <w:r w:rsidRPr="007F5954">
        <w:rPr>
          <w:sz w:val="20"/>
        </w:rPr>
        <w:t>47 CFR § 63.71.</w:t>
      </w:r>
      <w:r w:rsidR="00B45BF0">
        <w:rPr>
          <w:sz w:val="20"/>
        </w:rPr>
        <w:t xml:space="preserve">  </w:t>
      </w:r>
      <w:r w:rsidRPr="00B45BF0" w:rsidR="00B45BF0">
        <w:rPr>
          <w:i/>
          <w:sz w:val="20"/>
        </w:rPr>
        <w:t xml:space="preserve">See </w:t>
      </w:r>
      <w:r w:rsidRPr="00B45BF0" w:rsidR="00B45BF0">
        <w:rPr>
          <w:sz w:val="20"/>
        </w:rPr>
        <w:t>the Appendix for additional details regarding specific proceedings.</w:t>
      </w:r>
    </w:p>
  </w:footnote>
  <w:footnote w:id="3">
    <w:p w:rsidR="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9977BD">
        <w:rPr>
          <w:sz w:val="20"/>
        </w:rPr>
        <w:t>f</w:t>
      </w:r>
      <w:r w:rsidR="00A10681">
        <w:rPr>
          <w:sz w:val="20"/>
        </w:rPr>
        <w:t xml:space="preserve">) </w:t>
      </w:r>
      <w:r w:rsidRPr="00A10681" w:rsidR="00A10681">
        <w:rPr>
          <w:sz w:val="20"/>
        </w:rPr>
        <w:t xml:space="preserve">(stating, in relevant part, that an application filed by a dominant carrier “shall be automatically granted on the </w:t>
      </w:r>
      <w:r w:rsidR="00FE6B4B">
        <w:rPr>
          <w:sz w:val="20"/>
        </w:rPr>
        <w:t>60th</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D33FBA" w:rsidRPr="007F5954"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589888980" r:id="rId2"/>
      </w:pict>
    </w:r>
    <w:r>
      <w:rPr>
        <w:rFonts w:ascii="News Gothic MT" w:hAnsi="News Gothic MT"/>
        <w:b/>
        <w:kern w:val="28"/>
        <w:sz w:val="96"/>
      </w:rPr>
      <w:t>PUBLIC NOTICE</w:t>
    </w:r>
  </w:p>
  <w:p w:rsidR="00D33FBA" w:rsidP="00790164">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1EA05A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55166F"/>
    <w:rPr>
      <w:color w:val="2B579A"/>
      <w:shd w:val="clear" w:color="auto" w:fill="E6E6E6"/>
    </w:rPr>
  </w:style>
  <w:style w:type="character" w:customStyle="1" w:styleId="UnresolvedMention">
    <w:name w:val="Unresolved Mention"/>
    <w:basedOn w:val="DefaultParagraphFont"/>
    <w:uiPriority w:val="99"/>
    <w:semiHidden/>
    <w:unhideWhenUsed/>
    <w:rsid w:val="00B553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