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D5504" w:rsidRPr="00BB356A" w:rsidP="00BB356A">
      <w:pPr>
        <w:tabs>
          <w:tab w:val="left" w:pos="2670"/>
        </w:tabs>
        <w:ind w:firstLine="720"/>
        <w:rPr>
          <w:sz w:val="22"/>
          <w:szCs w:val="22"/>
        </w:rPr>
      </w:pPr>
      <w:r w:rsidRPr="00BB356A">
        <w:rPr>
          <w:sz w:val="22"/>
          <w:szCs w:val="22"/>
        </w:rPr>
        <w:tab/>
      </w:r>
    </w:p>
    <w:p w:rsidR="00624D2A" w:rsidRPr="00BB356A" w:rsidP="00BB356A">
      <w:pPr>
        <w:ind w:firstLine="720"/>
        <w:rPr>
          <w:sz w:val="22"/>
          <w:szCs w:val="22"/>
        </w:rPr>
      </w:pPr>
    </w:p>
    <w:p w:rsidR="00624EA1" w:rsidRPr="00BB356A" w:rsidP="00BB356A">
      <w:pPr>
        <w:jc w:val="right"/>
        <w:rPr>
          <w:sz w:val="22"/>
          <w:szCs w:val="22"/>
        </w:rPr>
      </w:pPr>
      <w:r w:rsidRPr="00BB356A">
        <w:rPr>
          <w:sz w:val="22"/>
          <w:szCs w:val="22"/>
        </w:rPr>
        <w:t xml:space="preserve">DA </w:t>
      </w:r>
      <w:r w:rsidRPr="00BB356A" w:rsidR="000F798C">
        <w:rPr>
          <w:sz w:val="22"/>
          <w:szCs w:val="22"/>
        </w:rPr>
        <w:t>18</w:t>
      </w:r>
      <w:r w:rsidRPr="00BB356A">
        <w:rPr>
          <w:sz w:val="22"/>
          <w:szCs w:val="22"/>
        </w:rPr>
        <w:t>-</w:t>
      </w:r>
      <w:r w:rsidR="00A76F3C">
        <w:rPr>
          <w:sz w:val="22"/>
          <w:szCs w:val="22"/>
        </w:rPr>
        <w:t>601</w:t>
      </w:r>
      <w:bookmarkStart w:id="0" w:name="_GoBack"/>
      <w:bookmarkEnd w:id="0"/>
    </w:p>
    <w:p w:rsidR="00E159C7" w:rsidRPr="00BB356A" w:rsidP="00BB356A">
      <w:pPr>
        <w:pStyle w:val="Header"/>
        <w:tabs>
          <w:tab w:val="left" w:pos="720"/>
          <w:tab w:val="left" w:pos="1440"/>
        </w:tabs>
        <w:rPr>
          <w:sz w:val="22"/>
          <w:szCs w:val="22"/>
        </w:rPr>
      </w:pPr>
      <w:r w:rsidRPr="00BB356A">
        <w:rPr>
          <w:sz w:val="22"/>
          <w:szCs w:val="22"/>
        </w:rPr>
        <w:t xml:space="preserve">Robert </w:t>
      </w:r>
      <w:r w:rsidRPr="00BB356A">
        <w:rPr>
          <w:sz w:val="22"/>
          <w:szCs w:val="22"/>
        </w:rPr>
        <w:t>Vitanza</w:t>
      </w:r>
    </w:p>
    <w:p w:rsidR="00E159C7" w:rsidRPr="00BB356A" w:rsidP="00BB356A">
      <w:pPr>
        <w:pStyle w:val="Header"/>
        <w:tabs>
          <w:tab w:val="left" w:pos="720"/>
          <w:tab w:val="left" w:pos="1440"/>
        </w:tabs>
        <w:rPr>
          <w:sz w:val="22"/>
          <w:szCs w:val="22"/>
        </w:rPr>
      </w:pPr>
      <w:r w:rsidRPr="00BB356A">
        <w:rPr>
          <w:sz w:val="22"/>
          <w:szCs w:val="22"/>
        </w:rPr>
        <w:t>AT&amp;T Services, Inc.</w:t>
      </w:r>
    </w:p>
    <w:p w:rsidR="00E159C7" w:rsidRPr="00BB356A" w:rsidP="00BB356A">
      <w:pPr>
        <w:pStyle w:val="Header"/>
        <w:tabs>
          <w:tab w:val="left" w:pos="720"/>
          <w:tab w:val="left" w:pos="1440"/>
        </w:tabs>
        <w:rPr>
          <w:sz w:val="22"/>
          <w:szCs w:val="22"/>
        </w:rPr>
      </w:pPr>
      <w:r w:rsidRPr="00BB356A">
        <w:rPr>
          <w:sz w:val="22"/>
          <w:szCs w:val="22"/>
        </w:rPr>
        <w:t xml:space="preserve">208 S. </w:t>
      </w:r>
      <w:r w:rsidRPr="00BB356A">
        <w:rPr>
          <w:sz w:val="22"/>
          <w:szCs w:val="22"/>
        </w:rPr>
        <w:t>Akard</w:t>
      </w:r>
      <w:r w:rsidRPr="00BB356A">
        <w:rPr>
          <w:sz w:val="22"/>
          <w:szCs w:val="22"/>
        </w:rPr>
        <w:t xml:space="preserve"> St</w:t>
      </w:r>
    </w:p>
    <w:p w:rsidR="00E159C7" w:rsidRPr="00BB356A" w:rsidP="00BB356A">
      <w:pPr>
        <w:pStyle w:val="Header"/>
        <w:tabs>
          <w:tab w:val="left" w:pos="720"/>
          <w:tab w:val="left" w:pos="1440"/>
        </w:tabs>
        <w:rPr>
          <w:sz w:val="22"/>
          <w:szCs w:val="22"/>
        </w:rPr>
      </w:pPr>
      <w:r w:rsidRPr="00BB356A">
        <w:rPr>
          <w:sz w:val="22"/>
          <w:szCs w:val="22"/>
        </w:rPr>
        <w:t>Rm 2914</w:t>
      </w:r>
    </w:p>
    <w:p w:rsidR="00EA439A" w:rsidRPr="00BB356A" w:rsidP="00BB356A">
      <w:pPr>
        <w:pStyle w:val="Header"/>
        <w:tabs>
          <w:tab w:val="left" w:pos="720"/>
          <w:tab w:val="left" w:pos="1440"/>
          <w:tab w:val="clear" w:pos="4320"/>
        </w:tabs>
        <w:rPr>
          <w:sz w:val="22"/>
          <w:szCs w:val="22"/>
        </w:rPr>
      </w:pPr>
      <w:r w:rsidRPr="00BB356A">
        <w:rPr>
          <w:sz w:val="22"/>
          <w:szCs w:val="22"/>
        </w:rPr>
        <w:t>Dallas, TX 75002</w:t>
      </w:r>
    </w:p>
    <w:p w:rsidR="00EA439A" w:rsidRPr="00BB356A" w:rsidP="00BB356A">
      <w:pPr>
        <w:pStyle w:val="Header"/>
        <w:tabs>
          <w:tab w:val="left" w:pos="720"/>
          <w:tab w:val="left" w:pos="1440"/>
          <w:tab w:val="clear" w:pos="4320"/>
        </w:tabs>
        <w:rPr>
          <w:b/>
          <w:sz w:val="22"/>
          <w:szCs w:val="22"/>
        </w:rPr>
      </w:pPr>
    </w:p>
    <w:p w:rsidR="00056F09" w:rsidRPr="00BB356A" w:rsidP="00BB356A">
      <w:pPr>
        <w:pStyle w:val="Header"/>
        <w:tabs>
          <w:tab w:val="left" w:pos="720"/>
          <w:tab w:val="left" w:pos="1440"/>
          <w:tab w:val="clear" w:pos="4320"/>
        </w:tabs>
        <w:rPr>
          <w:b/>
          <w:sz w:val="22"/>
          <w:szCs w:val="22"/>
        </w:rPr>
      </w:pPr>
      <w:r w:rsidRPr="00BB356A">
        <w:rPr>
          <w:b/>
          <w:sz w:val="22"/>
          <w:szCs w:val="22"/>
        </w:rPr>
        <w:t xml:space="preserve">RE:  </w:t>
      </w:r>
      <w:r w:rsidRPr="00BB356A">
        <w:rPr>
          <w:b/>
          <w:sz w:val="22"/>
          <w:szCs w:val="22"/>
        </w:rPr>
        <w:t xml:space="preserve">Request </w:t>
      </w:r>
      <w:r w:rsidRPr="00BB356A" w:rsidR="00D21344">
        <w:rPr>
          <w:b/>
          <w:sz w:val="22"/>
          <w:szCs w:val="22"/>
        </w:rPr>
        <w:t xml:space="preserve">for </w:t>
      </w:r>
      <w:r w:rsidRPr="00BB356A" w:rsidR="004A2A1D">
        <w:rPr>
          <w:b/>
          <w:sz w:val="22"/>
          <w:szCs w:val="22"/>
        </w:rPr>
        <w:t>Waive</w:t>
      </w:r>
      <w:r w:rsidRPr="00BB356A" w:rsidR="00D21344">
        <w:rPr>
          <w:b/>
          <w:sz w:val="22"/>
          <w:szCs w:val="22"/>
        </w:rPr>
        <w:t>r</w:t>
      </w:r>
      <w:r w:rsidRPr="00BB356A" w:rsidR="004A2A1D">
        <w:rPr>
          <w:b/>
          <w:sz w:val="22"/>
          <w:szCs w:val="22"/>
        </w:rPr>
        <w:t xml:space="preserve"> </w:t>
      </w:r>
      <w:r w:rsidRPr="00BB356A" w:rsidR="00D21344">
        <w:rPr>
          <w:b/>
          <w:sz w:val="22"/>
          <w:szCs w:val="22"/>
        </w:rPr>
        <w:t xml:space="preserve">of </w:t>
      </w:r>
      <w:r w:rsidRPr="00BB356A" w:rsidR="00DF2E8C">
        <w:rPr>
          <w:b/>
          <w:sz w:val="22"/>
          <w:szCs w:val="22"/>
        </w:rPr>
        <w:t>Section 27.14(g)</w:t>
      </w:r>
      <w:r w:rsidRPr="00BB356A" w:rsidR="00D21344">
        <w:rPr>
          <w:b/>
          <w:sz w:val="22"/>
          <w:szCs w:val="22"/>
        </w:rPr>
        <w:t xml:space="preserve">, </w:t>
      </w:r>
      <w:r w:rsidRPr="00BB356A" w:rsidR="00DF2E8C">
        <w:rPr>
          <w:b/>
          <w:sz w:val="22"/>
          <w:szCs w:val="22"/>
        </w:rPr>
        <w:t xml:space="preserve">WT Docket No. </w:t>
      </w:r>
      <w:r w:rsidRPr="00BB356A" w:rsidR="008055A6">
        <w:rPr>
          <w:b/>
          <w:sz w:val="22"/>
          <w:szCs w:val="22"/>
        </w:rPr>
        <w:t>18-67</w:t>
      </w:r>
    </w:p>
    <w:p w:rsidR="00056F09" w:rsidRPr="00BB356A" w:rsidP="00BB356A">
      <w:pPr>
        <w:pStyle w:val="Header"/>
        <w:tabs>
          <w:tab w:val="left" w:pos="720"/>
          <w:tab w:val="left" w:pos="1440"/>
          <w:tab w:val="clear" w:pos="4320"/>
        </w:tabs>
        <w:rPr>
          <w:sz w:val="22"/>
          <w:szCs w:val="22"/>
        </w:rPr>
      </w:pPr>
    </w:p>
    <w:p w:rsidR="00056F09" w:rsidRPr="00BB356A" w:rsidP="00BB356A">
      <w:pPr>
        <w:rPr>
          <w:sz w:val="22"/>
          <w:szCs w:val="22"/>
        </w:rPr>
      </w:pPr>
      <w:r w:rsidRPr="00BB356A">
        <w:rPr>
          <w:sz w:val="22"/>
          <w:szCs w:val="22"/>
        </w:rPr>
        <w:t xml:space="preserve">Dear </w:t>
      </w:r>
      <w:r w:rsidRPr="00BB356A" w:rsidR="005F4C06">
        <w:rPr>
          <w:sz w:val="22"/>
          <w:szCs w:val="22"/>
        </w:rPr>
        <w:t xml:space="preserve">Mr. </w:t>
      </w:r>
      <w:r w:rsidRPr="00BB356A" w:rsidR="00E159C7">
        <w:rPr>
          <w:sz w:val="22"/>
          <w:szCs w:val="22"/>
        </w:rPr>
        <w:t>Vitanza</w:t>
      </w:r>
      <w:r w:rsidRPr="00BB356A">
        <w:rPr>
          <w:sz w:val="22"/>
          <w:szCs w:val="22"/>
        </w:rPr>
        <w:t>:</w:t>
      </w:r>
    </w:p>
    <w:p w:rsidR="00823DEF" w:rsidRPr="00BB356A" w:rsidP="00BB356A">
      <w:pPr>
        <w:pStyle w:val="ParaNum"/>
      </w:pPr>
    </w:p>
    <w:p w:rsidR="0031530E" w:rsidRPr="00BB356A" w:rsidP="00BB356A">
      <w:pPr>
        <w:pStyle w:val="ParaNum"/>
      </w:pPr>
      <w:r w:rsidRPr="00BB356A">
        <w:t>T</w:t>
      </w:r>
      <w:r w:rsidRPr="00BB356A" w:rsidR="00A55147">
        <w:t xml:space="preserve">he Mobility Division </w:t>
      </w:r>
      <w:r w:rsidRPr="00BB356A" w:rsidR="002C26C1">
        <w:t>(</w:t>
      </w:r>
      <w:r w:rsidRPr="00C31AFE" w:rsidR="002C26C1">
        <w:t>Division</w:t>
      </w:r>
      <w:r w:rsidRPr="00BB356A" w:rsidR="002C26C1">
        <w:t xml:space="preserve">) </w:t>
      </w:r>
      <w:r w:rsidRPr="00BB356A" w:rsidR="00A55147">
        <w:t>of the Wireless Telecommunications Bureau (</w:t>
      </w:r>
      <w:r w:rsidRPr="00C31AFE" w:rsidR="00A55147">
        <w:t>Bureau</w:t>
      </w:r>
      <w:r w:rsidRPr="00BB356A" w:rsidR="00A55147">
        <w:t xml:space="preserve">) </w:t>
      </w:r>
      <w:r w:rsidRPr="00BB356A" w:rsidR="005F4C06">
        <w:t xml:space="preserve">hereby </w:t>
      </w:r>
      <w:r w:rsidRPr="00BB356A" w:rsidR="00C110DC">
        <w:t xml:space="preserve">grants </w:t>
      </w:r>
      <w:r w:rsidRPr="00BB356A" w:rsidR="009938DC">
        <w:t xml:space="preserve">the request of </w:t>
      </w:r>
      <w:r w:rsidRPr="00BB356A" w:rsidR="00FF01FD">
        <w:rPr>
          <w:color w:val="auto"/>
        </w:rPr>
        <w:t>AT&amp;T Mobility Spectrum LLC (AT&amp;T)</w:t>
      </w:r>
      <w:r w:rsidRPr="00BB356A" w:rsidR="00FF01FD">
        <w:t xml:space="preserve"> </w:t>
      </w:r>
      <w:r w:rsidRPr="00BB356A" w:rsidR="009938DC">
        <w:t xml:space="preserve">for </w:t>
      </w:r>
      <w:r w:rsidRPr="00BB356A" w:rsidR="00E53795">
        <w:t xml:space="preserve">a </w:t>
      </w:r>
      <w:r w:rsidRPr="00BB356A" w:rsidR="009938DC">
        <w:t xml:space="preserve">limited </w:t>
      </w:r>
      <w:r w:rsidRPr="00BB356A" w:rsidR="00A005DA">
        <w:t>waiver of Section 27.14(g) of the Commission’s rules</w:t>
      </w:r>
      <w:r w:rsidRPr="00BB356A" w:rsidR="00183E35">
        <w:t>.</w:t>
      </w:r>
      <w:r>
        <w:rPr>
          <w:vertAlign w:val="superscript"/>
        </w:rPr>
        <w:footnoteReference w:id="3"/>
      </w:r>
      <w:r w:rsidRPr="00BB356A" w:rsidR="00183E35">
        <w:t xml:space="preserve">  The waiver </w:t>
      </w:r>
      <w:r w:rsidRPr="00BB356A" w:rsidR="00B166E9">
        <w:t xml:space="preserve">will </w:t>
      </w:r>
      <w:r w:rsidRPr="00BB356A" w:rsidR="00F3444F">
        <w:t xml:space="preserve">allow AT&amp;T to meet </w:t>
      </w:r>
      <w:r w:rsidRPr="00BB356A" w:rsidR="007E4AC2">
        <w:t>population-</w:t>
      </w:r>
      <w:r w:rsidR="005639BC">
        <w:t>based,</w:t>
      </w:r>
      <w:r w:rsidRPr="00BB356A" w:rsidR="007E4AC2">
        <w:t xml:space="preserve"> rather than geographic-based</w:t>
      </w:r>
      <w:r w:rsidR="005639BC">
        <w:t>,</w:t>
      </w:r>
      <w:r w:rsidRPr="00BB356A" w:rsidR="007E4AC2">
        <w:t xml:space="preserve"> construction </w:t>
      </w:r>
      <w:r w:rsidRPr="00BB356A" w:rsidR="00323ADD">
        <w:t>benchmarks</w:t>
      </w:r>
      <w:r w:rsidRPr="00BB356A" w:rsidR="00C922EA">
        <w:t xml:space="preserve"> for a Lower 700 MHz </w:t>
      </w:r>
      <w:r w:rsidRPr="00BB356A" w:rsidR="007E4AC2">
        <w:t xml:space="preserve">B </w:t>
      </w:r>
      <w:r w:rsidRPr="00BB356A" w:rsidR="00F01C5C">
        <w:t xml:space="preserve">Block </w:t>
      </w:r>
      <w:r w:rsidRPr="00BB356A" w:rsidR="00C922EA">
        <w:t>license</w:t>
      </w:r>
      <w:r w:rsidRPr="00BB356A" w:rsidR="00E01616">
        <w:t xml:space="preserve">, </w:t>
      </w:r>
      <w:r w:rsidRPr="00BB356A" w:rsidR="00C02A24">
        <w:t xml:space="preserve">Call Sign </w:t>
      </w:r>
      <w:r w:rsidRPr="00BB356A" w:rsidR="00D545D6">
        <w:t>WQIZ597</w:t>
      </w:r>
      <w:r w:rsidRPr="00BB356A" w:rsidR="00135C7E">
        <w:t xml:space="preserve"> (Cellular Market Area (CMA) </w:t>
      </w:r>
      <w:r w:rsidRPr="00BB356A" w:rsidR="00D545D6">
        <w:t>316</w:t>
      </w:r>
      <w:r w:rsidRPr="00BB356A" w:rsidR="00135C7E">
        <w:t xml:space="preserve"> </w:t>
      </w:r>
      <w:r w:rsidRPr="00BB356A" w:rsidR="00D545D6">
        <w:t>Alaska 2 - Bethel</w:t>
      </w:r>
      <w:r w:rsidRPr="00BB356A" w:rsidR="00135C7E">
        <w:t>)</w:t>
      </w:r>
      <w:r w:rsidRPr="00BB356A" w:rsidR="00EA66E2">
        <w:t xml:space="preserve"> </w:t>
      </w:r>
      <w:r w:rsidRPr="00BB356A" w:rsidR="00D545D6">
        <w:t>(the License or CMA316</w:t>
      </w:r>
      <w:r w:rsidRPr="00BB356A" w:rsidR="00D71AB4">
        <w:t>)</w:t>
      </w:r>
      <w:r w:rsidRPr="00BB356A" w:rsidR="009938DC">
        <w:t>.</w:t>
      </w:r>
      <w:r w:rsidRPr="00BB356A" w:rsidR="00A005DA">
        <w:t xml:space="preserve">  </w:t>
      </w:r>
      <w:r w:rsidRPr="00BB356A" w:rsidR="009938DC">
        <w:t>W</w:t>
      </w:r>
      <w:r w:rsidRPr="00BB356A" w:rsidR="005C653D">
        <w:t>e find that</w:t>
      </w:r>
      <w:r w:rsidRPr="00BB356A" w:rsidR="00711E6C">
        <w:t>, consistent with prior precedent,</w:t>
      </w:r>
      <w:r w:rsidRPr="00BB356A" w:rsidR="005C653D">
        <w:t xml:space="preserve"> </w:t>
      </w:r>
      <w:r w:rsidRPr="00BB356A" w:rsidR="0097330C">
        <w:t>strict ap</w:t>
      </w:r>
      <w:r w:rsidR="00D8619D">
        <w:t>plication of Section 27.14(g)</w:t>
      </w:r>
      <w:r w:rsidRPr="00BB356A" w:rsidR="0097330C">
        <w:t xml:space="preserve"> </w:t>
      </w:r>
      <w:r w:rsidRPr="00BB356A" w:rsidR="005639BC">
        <w:t xml:space="preserve">in this case </w:t>
      </w:r>
      <w:r w:rsidRPr="00BB356A" w:rsidR="0097330C">
        <w:t>would be contrary to the public interest, given the unique challenges of serving this rural Alaska CMA—including challenges that the Commission has broadly recognized in other contexts concerning Alaska.</w:t>
      </w:r>
      <w:r>
        <w:rPr>
          <w:rStyle w:val="FootnoteReference"/>
        </w:rPr>
        <w:footnoteReference w:id="4"/>
      </w:r>
    </w:p>
    <w:p w:rsidR="0031530E" w:rsidRPr="00BB356A" w:rsidP="00BB356A">
      <w:pPr>
        <w:pStyle w:val="ParaNum"/>
      </w:pPr>
    </w:p>
    <w:p w:rsidR="0031530E" w:rsidRPr="00BB356A" w:rsidP="00BB356A">
      <w:pPr>
        <w:pStyle w:val="ParaNum"/>
      </w:pPr>
      <w:r w:rsidRPr="00BB356A">
        <w:rPr>
          <w:i/>
        </w:rPr>
        <w:t>Background</w:t>
      </w:r>
      <w:r w:rsidRPr="00BB356A">
        <w:t xml:space="preserve">.  </w:t>
      </w:r>
      <w:r w:rsidRPr="00BB356A" w:rsidR="004150CE">
        <w:t xml:space="preserve">In the </w:t>
      </w:r>
      <w:r w:rsidRPr="00BB356A" w:rsidR="004150CE">
        <w:rPr>
          <w:i/>
        </w:rPr>
        <w:t>700 MHz Second Report and Order</w:t>
      </w:r>
      <w:r w:rsidRPr="00BB356A" w:rsidR="004150CE">
        <w:t>,</w:t>
      </w:r>
      <w:r w:rsidRPr="00BB356A" w:rsidR="004150CE">
        <w:rPr>
          <w:i/>
        </w:rPr>
        <w:t xml:space="preserve"> </w:t>
      </w:r>
      <w:r w:rsidRPr="00BB356A" w:rsidR="004150CE">
        <w:t xml:space="preserve">the Commission adopted interim and end-of-license term construction </w:t>
      </w:r>
      <w:r w:rsidRPr="00BB356A" w:rsidR="004150CE">
        <w:t>benchmarks for certain</w:t>
      </w:r>
      <w:r w:rsidRPr="00BB356A" w:rsidR="004150CE">
        <w:t xml:space="preserve"> 700 MHz band licensees.</w:t>
      </w:r>
      <w:r>
        <w:rPr>
          <w:rStyle w:val="FootnoteReference"/>
        </w:rPr>
        <w:footnoteReference w:id="5"/>
      </w:r>
      <w:r w:rsidRPr="00BB356A" w:rsidR="004150CE">
        <w:t xml:space="preserve">  </w:t>
      </w:r>
      <w:r w:rsidRPr="00BB356A" w:rsidR="004150CE">
        <w:t>The Commission required Lower 700 MHz band A and B Block licensees to provide signal coverage and offer service over at least 35 percent of their license area by June 13, 2013,</w:t>
      </w:r>
      <w:r>
        <w:rPr>
          <w:rStyle w:val="FootnoteReference"/>
        </w:rPr>
        <w:footnoteReference w:id="6"/>
      </w:r>
      <w:r w:rsidRPr="00BB356A" w:rsidR="004150CE">
        <w:t xml:space="preserve"> later extended to December 13, 2016</w:t>
      </w:r>
      <w:r>
        <w:rPr>
          <w:rStyle w:val="FootnoteReference"/>
        </w:rPr>
        <w:footnoteReference w:id="7"/>
      </w:r>
      <w:r w:rsidRPr="00BB356A" w:rsidR="004150CE">
        <w:t xml:space="preserve"> (Interim Construction Requirement), and to provide signal coverage and offer service over at least 70 percent of that area by the end of their initial 10-year license term, here June 13, 2019 (Final Construction Requirement).</w:t>
      </w:r>
      <w:r>
        <w:rPr>
          <w:rStyle w:val="FootnoteReference"/>
        </w:rPr>
        <w:footnoteReference w:id="8"/>
      </w:r>
      <w:r w:rsidRPr="00BB356A" w:rsidR="004150CE">
        <w:t xml:space="preserve">  Section 27.14(g)(1) provides that, if a licensee does not satisfy the Interim Construction Requirement of 35 percent, its license term will be reduced by two years, thereby requiring it to meet the Final Construction Requirement of 70 percent two years sooner.</w:t>
      </w:r>
      <w:r>
        <w:rPr>
          <w:rStyle w:val="FootnoteReference"/>
        </w:rPr>
        <w:footnoteReference w:id="9"/>
      </w:r>
      <w:r w:rsidRPr="00BB356A" w:rsidR="004150CE">
        <w:t xml:space="preserve">  </w:t>
      </w:r>
      <w:r w:rsidRPr="00BB356A" w:rsidR="004150CE">
        <w:t>Further, if a licensee does not meet its Final Construction Requirement (whether or not accelerated) as required by Section 27.14(g)(1), it will be subject to a “keep-what-you-serve” rule under Section 27.14(g)(2), whereby its “authorization will terminate automatically without Commission action for those geographic portions of its license in which the licensee is not providing service, and those unserved areas will become available for reassignment by the Commission.”</w:t>
      </w:r>
      <w:r>
        <w:rPr>
          <w:rStyle w:val="FootnoteReference"/>
        </w:rPr>
        <w:footnoteReference w:id="10"/>
      </w:r>
    </w:p>
    <w:p w:rsidR="0031530E" w:rsidRPr="00BB356A" w:rsidP="00BB356A">
      <w:pPr>
        <w:pStyle w:val="ParaNum"/>
      </w:pPr>
    </w:p>
    <w:p w:rsidR="00D260C1" w:rsidRPr="00BB356A" w:rsidP="00BB356A">
      <w:pPr>
        <w:pStyle w:val="ParaNum"/>
      </w:pPr>
      <w:r w:rsidRPr="00BB356A">
        <w:t xml:space="preserve">AT&amp;T filed the </w:t>
      </w:r>
      <w:r w:rsidRPr="00BB356A" w:rsidR="008A6777">
        <w:t xml:space="preserve">amended </w:t>
      </w:r>
      <w:r w:rsidRPr="00BB356A" w:rsidR="00E1535E">
        <w:t xml:space="preserve">Waiver Request </w:t>
      </w:r>
      <w:r w:rsidRPr="00BB356A" w:rsidR="004A20E9">
        <w:t xml:space="preserve">on </w:t>
      </w:r>
      <w:r w:rsidRPr="00BB356A" w:rsidR="008A6777">
        <w:t>March 12, 2018</w:t>
      </w:r>
      <w:r w:rsidRPr="00BB356A" w:rsidR="004A20E9">
        <w:t>,</w:t>
      </w:r>
      <w:r>
        <w:rPr>
          <w:rStyle w:val="FootnoteReference"/>
        </w:rPr>
        <w:footnoteReference w:id="11"/>
      </w:r>
      <w:r w:rsidRPr="00BB356A" w:rsidR="004A20E9">
        <w:t xml:space="preserve"> </w:t>
      </w:r>
      <w:r w:rsidRPr="00BB356A" w:rsidR="00D71AB4">
        <w:t xml:space="preserve">proposing </w:t>
      </w:r>
      <w:r w:rsidRPr="00BB356A" w:rsidR="005E023A">
        <w:t xml:space="preserve">to </w:t>
      </w:r>
      <w:r w:rsidRPr="00BB356A" w:rsidR="00457ED7">
        <w:t xml:space="preserve">satisfy the </w:t>
      </w:r>
      <w:r w:rsidRPr="00BB356A" w:rsidR="00864F24">
        <w:t>Interim and Final Construction Requirements</w:t>
      </w:r>
      <w:r w:rsidRPr="00BB356A" w:rsidR="00E3550E">
        <w:t xml:space="preserve"> as follows</w:t>
      </w:r>
      <w:r w:rsidRPr="00BB356A" w:rsidR="008A6777">
        <w:t>:</w:t>
      </w:r>
    </w:p>
    <w:p w:rsidR="00D260C1" w:rsidRPr="00BB356A" w:rsidP="00BB356A">
      <w:pPr>
        <w:pStyle w:val="ParaNum"/>
      </w:pPr>
    </w:p>
    <w:p w:rsidR="00936F2B" w:rsidRPr="00BB356A" w:rsidP="00BB356A">
      <w:pPr>
        <w:pStyle w:val="ListParagraph"/>
        <w:numPr>
          <w:ilvl w:val="0"/>
          <w:numId w:val="39"/>
        </w:numPr>
        <w:ind w:left="1080"/>
        <w:rPr>
          <w:szCs w:val="22"/>
        </w:rPr>
      </w:pPr>
      <w:r w:rsidRPr="00BB356A">
        <w:rPr>
          <w:szCs w:val="22"/>
        </w:rPr>
        <w:t xml:space="preserve">By </w:t>
      </w:r>
      <w:r w:rsidRPr="00BB356A" w:rsidR="00457ED7">
        <w:rPr>
          <w:szCs w:val="22"/>
        </w:rPr>
        <w:t>December 13, 2016</w:t>
      </w:r>
      <w:r w:rsidRPr="00BB356A">
        <w:rPr>
          <w:szCs w:val="22"/>
        </w:rPr>
        <w:t xml:space="preserve">, provide coverage and offer service </w:t>
      </w:r>
      <w:r w:rsidRPr="00BB356A" w:rsidR="00276B56">
        <w:rPr>
          <w:szCs w:val="22"/>
        </w:rPr>
        <w:t xml:space="preserve">to </w:t>
      </w:r>
      <w:r w:rsidRPr="00BB356A" w:rsidR="005823F8">
        <w:rPr>
          <w:szCs w:val="22"/>
        </w:rPr>
        <w:t>at least</w:t>
      </w:r>
      <w:r w:rsidRPr="00BB356A" w:rsidR="00205FA5">
        <w:rPr>
          <w:szCs w:val="22"/>
        </w:rPr>
        <w:t xml:space="preserve"> 75</w:t>
      </w:r>
      <w:r w:rsidRPr="00BB356A">
        <w:rPr>
          <w:szCs w:val="22"/>
        </w:rPr>
        <w:t xml:space="preserve"> percent of </w:t>
      </w:r>
      <w:r w:rsidRPr="00BB356A" w:rsidR="005823F8">
        <w:rPr>
          <w:szCs w:val="22"/>
        </w:rPr>
        <w:t>CM</w:t>
      </w:r>
      <w:r w:rsidRPr="00BB356A" w:rsidR="00AB5DCA">
        <w:rPr>
          <w:szCs w:val="22"/>
        </w:rPr>
        <w:t>A316</w:t>
      </w:r>
      <w:r w:rsidRPr="00BB356A" w:rsidR="005823F8">
        <w:rPr>
          <w:szCs w:val="22"/>
        </w:rPr>
        <w:t xml:space="preserve">’s </w:t>
      </w:r>
      <w:r w:rsidRPr="00BB356A" w:rsidR="00AB5DCA">
        <w:rPr>
          <w:szCs w:val="22"/>
        </w:rPr>
        <w:t>population</w:t>
      </w:r>
      <w:r w:rsidRPr="00BB356A">
        <w:rPr>
          <w:szCs w:val="22"/>
        </w:rPr>
        <w:t>.</w:t>
      </w:r>
      <w:r>
        <w:rPr>
          <w:rStyle w:val="FootnoteReference"/>
          <w:szCs w:val="22"/>
        </w:rPr>
        <w:footnoteReference w:id="12"/>
      </w:r>
    </w:p>
    <w:p w:rsidR="00E03C31" w:rsidRPr="00BB356A" w:rsidP="00BB356A">
      <w:pPr>
        <w:pStyle w:val="ListParagraph"/>
        <w:ind w:left="1080" w:hanging="360"/>
        <w:rPr>
          <w:szCs w:val="22"/>
        </w:rPr>
      </w:pPr>
    </w:p>
    <w:p w:rsidR="00E03C31" w:rsidRPr="00BB356A" w:rsidP="005616C4">
      <w:pPr>
        <w:pStyle w:val="ListParagraph"/>
        <w:numPr>
          <w:ilvl w:val="0"/>
          <w:numId w:val="39"/>
        </w:numPr>
        <w:ind w:left="1080"/>
        <w:rPr>
          <w:szCs w:val="22"/>
        </w:rPr>
      </w:pPr>
      <w:r w:rsidRPr="00BB356A">
        <w:rPr>
          <w:szCs w:val="22"/>
        </w:rPr>
        <w:t xml:space="preserve">By June 13, 2019, provide coverage </w:t>
      </w:r>
      <w:r w:rsidRPr="00BB356A" w:rsidR="00AB5DCA">
        <w:rPr>
          <w:szCs w:val="22"/>
        </w:rPr>
        <w:t>and offer service to at least 80</w:t>
      </w:r>
      <w:r w:rsidRPr="00BB356A">
        <w:rPr>
          <w:szCs w:val="22"/>
        </w:rPr>
        <w:t xml:space="preserve"> percent of </w:t>
      </w:r>
      <w:r w:rsidRPr="00BB356A" w:rsidR="00AB5DCA">
        <w:rPr>
          <w:szCs w:val="22"/>
        </w:rPr>
        <w:t>CMA316</w:t>
      </w:r>
      <w:r w:rsidRPr="00BB356A">
        <w:rPr>
          <w:szCs w:val="22"/>
        </w:rPr>
        <w:t>’s population.</w:t>
      </w:r>
      <w:r>
        <w:rPr>
          <w:rStyle w:val="FootnoteReference"/>
          <w:szCs w:val="22"/>
        </w:rPr>
        <w:footnoteReference w:id="13"/>
      </w:r>
    </w:p>
    <w:p w:rsidR="00F03D94" w:rsidRPr="00BB356A" w:rsidP="005616C4">
      <w:pPr>
        <w:pStyle w:val="ListParagraph"/>
        <w:ind w:left="1080" w:hanging="360"/>
        <w:rPr>
          <w:szCs w:val="22"/>
        </w:rPr>
      </w:pPr>
    </w:p>
    <w:p w:rsidR="000E51AC" w:rsidRPr="00BB356A" w:rsidP="005616C4">
      <w:pPr>
        <w:pStyle w:val="ListParagraph"/>
        <w:numPr>
          <w:ilvl w:val="0"/>
          <w:numId w:val="39"/>
        </w:numPr>
        <w:ind w:left="1080"/>
        <w:rPr>
          <w:szCs w:val="22"/>
        </w:rPr>
      </w:pPr>
      <w:r w:rsidRPr="00BB356A">
        <w:rPr>
          <w:szCs w:val="22"/>
        </w:rPr>
        <w:t>B</w:t>
      </w:r>
      <w:r w:rsidRPr="00BB356A" w:rsidR="00457ED7">
        <w:rPr>
          <w:szCs w:val="22"/>
        </w:rPr>
        <w:t xml:space="preserve">y June 13, </w:t>
      </w:r>
      <w:r w:rsidRPr="00BB356A" w:rsidR="00E014C5">
        <w:rPr>
          <w:szCs w:val="22"/>
        </w:rPr>
        <w:t>2020</w:t>
      </w:r>
      <w:r w:rsidRPr="00BB356A">
        <w:rPr>
          <w:szCs w:val="22"/>
        </w:rPr>
        <w:t>, provide coverage and offer</w:t>
      </w:r>
      <w:r w:rsidRPr="00BB356A" w:rsidR="00A77496">
        <w:rPr>
          <w:szCs w:val="22"/>
        </w:rPr>
        <w:t xml:space="preserve"> </w:t>
      </w:r>
      <w:r w:rsidRPr="00BB356A">
        <w:rPr>
          <w:szCs w:val="22"/>
        </w:rPr>
        <w:t xml:space="preserve">service </w:t>
      </w:r>
      <w:r w:rsidRPr="00BB356A" w:rsidR="0048605C">
        <w:rPr>
          <w:szCs w:val="22"/>
        </w:rPr>
        <w:t xml:space="preserve">to </w:t>
      </w:r>
      <w:r w:rsidRPr="00BB356A" w:rsidR="005823F8">
        <w:rPr>
          <w:szCs w:val="22"/>
        </w:rPr>
        <w:t xml:space="preserve">at least </w:t>
      </w:r>
      <w:r w:rsidRPr="00BB356A" w:rsidR="007D19C9">
        <w:rPr>
          <w:szCs w:val="22"/>
        </w:rPr>
        <w:t>85</w:t>
      </w:r>
      <w:r w:rsidRPr="00BB356A" w:rsidR="00A77496">
        <w:rPr>
          <w:szCs w:val="22"/>
        </w:rPr>
        <w:t xml:space="preserve"> percent</w:t>
      </w:r>
      <w:r w:rsidRPr="00BB356A">
        <w:rPr>
          <w:szCs w:val="22"/>
        </w:rPr>
        <w:t xml:space="preserve"> of </w:t>
      </w:r>
      <w:r w:rsidRPr="00BB356A" w:rsidR="00AB5DCA">
        <w:rPr>
          <w:szCs w:val="22"/>
        </w:rPr>
        <w:t>CMA316</w:t>
      </w:r>
      <w:r w:rsidRPr="005616C4" w:rsidR="005823F8">
        <w:rPr>
          <w:szCs w:val="22"/>
        </w:rPr>
        <w:t>’s population</w:t>
      </w:r>
      <w:r w:rsidRPr="005616C4" w:rsidR="00A678A3">
        <w:rPr>
          <w:szCs w:val="22"/>
        </w:rPr>
        <w:t>.</w:t>
      </w:r>
      <w:r>
        <w:rPr>
          <w:rStyle w:val="FootnoteReference"/>
          <w:szCs w:val="22"/>
        </w:rPr>
        <w:footnoteReference w:id="14"/>
      </w:r>
      <w:r w:rsidRPr="00BB356A" w:rsidR="00A678A3">
        <w:rPr>
          <w:szCs w:val="22"/>
        </w:rPr>
        <w:t xml:space="preserve">  </w:t>
      </w:r>
    </w:p>
    <w:p w:rsidR="00F03D94" w:rsidRPr="00BB356A" w:rsidP="005616C4">
      <w:pPr>
        <w:pStyle w:val="ListParagraph"/>
        <w:ind w:left="1170" w:firstLine="720"/>
        <w:rPr>
          <w:szCs w:val="22"/>
        </w:rPr>
      </w:pPr>
    </w:p>
    <w:p w:rsidR="00936F2B" w:rsidRPr="00BB356A" w:rsidP="005616C4">
      <w:pPr>
        <w:pStyle w:val="ParaNum"/>
      </w:pPr>
      <w:r w:rsidRPr="005616C4">
        <w:t xml:space="preserve">AT&amp;T </w:t>
      </w:r>
      <w:r w:rsidRPr="005616C4" w:rsidR="005823F8">
        <w:t xml:space="preserve">also committed to </w:t>
      </w:r>
      <w:r w:rsidRPr="005616C4">
        <w:t>maintain</w:t>
      </w:r>
      <w:r w:rsidRPr="005616C4" w:rsidR="005823F8">
        <w:t>ing</w:t>
      </w:r>
      <w:r w:rsidRPr="005616C4">
        <w:t xml:space="preserve"> coverage and service </w:t>
      </w:r>
      <w:r w:rsidRPr="005616C4" w:rsidR="0048605C">
        <w:t xml:space="preserve">to </w:t>
      </w:r>
      <w:r w:rsidRPr="005616C4" w:rsidR="005823F8">
        <w:t xml:space="preserve">at least </w:t>
      </w:r>
      <w:r w:rsidRPr="005616C4">
        <w:t>8</w:t>
      </w:r>
      <w:r w:rsidRPr="005616C4" w:rsidR="007D19C9">
        <w:t>5</w:t>
      </w:r>
      <w:r w:rsidRPr="005616C4">
        <w:t xml:space="preserve"> </w:t>
      </w:r>
      <w:r w:rsidRPr="005616C4" w:rsidR="007D19C9">
        <w:t>percent of CMA316</w:t>
      </w:r>
      <w:r w:rsidRPr="005616C4" w:rsidR="005823F8">
        <w:t>’s population</w:t>
      </w:r>
      <w:r w:rsidRPr="005616C4">
        <w:t xml:space="preserve"> for five years </w:t>
      </w:r>
      <w:r w:rsidRPr="005616C4" w:rsidR="0048605C">
        <w:t xml:space="preserve">from the </w:t>
      </w:r>
      <w:r w:rsidRPr="005616C4" w:rsidR="00382558">
        <w:t xml:space="preserve">proposed </w:t>
      </w:r>
      <w:r w:rsidRPr="005616C4" w:rsidR="0048605C">
        <w:t xml:space="preserve">June 13, </w:t>
      </w:r>
      <w:r w:rsidRPr="005616C4" w:rsidR="00884D8C">
        <w:t>2020</w:t>
      </w:r>
      <w:r w:rsidRPr="005616C4" w:rsidR="000C6D41">
        <w:t>,</w:t>
      </w:r>
      <w:r w:rsidRPr="005616C4">
        <w:t xml:space="preserve"> </w:t>
      </w:r>
      <w:r w:rsidRPr="005616C4" w:rsidR="009A4FB4">
        <w:t>benchmark</w:t>
      </w:r>
      <w:r w:rsidRPr="005616C4">
        <w:t xml:space="preserve"> (</w:t>
      </w:r>
      <w:r w:rsidRPr="005616C4">
        <w:rPr>
          <w:i/>
        </w:rPr>
        <w:t>i.e.</w:t>
      </w:r>
      <w:r w:rsidRPr="005616C4">
        <w:t xml:space="preserve">, through June 13, </w:t>
      </w:r>
      <w:r w:rsidRPr="005616C4" w:rsidR="00884D8C">
        <w:t>2025</w:t>
      </w:r>
      <w:r w:rsidRPr="005616C4">
        <w:t>).</w:t>
      </w:r>
      <w:r>
        <w:rPr>
          <w:rStyle w:val="FootnoteReference"/>
        </w:rPr>
        <w:footnoteReference w:id="15"/>
      </w:r>
      <w:r w:rsidRPr="00BB356A" w:rsidR="0048605C">
        <w:t xml:space="preserve">  </w:t>
      </w:r>
      <w:r w:rsidRPr="005616C4" w:rsidR="0040794F">
        <w:t xml:space="preserve">AT&amp;T further stated that </w:t>
      </w:r>
      <w:r w:rsidRPr="005616C4" w:rsidR="007D19C9">
        <w:t xml:space="preserve">it will file reports confirming it has met these benchmarks within 15 days </w:t>
      </w:r>
      <w:r w:rsidR="00727DB1">
        <w:t xml:space="preserve">of each, </w:t>
      </w:r>
      <w:r w:rsidRPr="005616C4" w:rsidR="007D19C9">
        <w:t xml:space="preserve">and </w:t>
      </w:r>
      <w:r w:rsidR="00727DB1">
        <w:t>that it will</w:t>
      </w:r>
      <w:r w:rsidRPr="005616C4" w:rsidR="007D19C9">
        <w:t xml:space="preserve"> negotiate in good faith with any third party seeking to lease spectrum in any geographic area of CMA316 not served by AT&amp;T</w:t>
      </w:r>
      <w:r w:rsidRPr="005616C4" w:rsidR="00A77496">
        <w:t>.</w:t>
      </w:r>
      <w:r>
        <w:rPr>
          <w:rStyle w:val="FootnoteReference"/>
        </w:rPr>
        <w:footnoteReference w:id="16"/>
      </w:r>
    </w:p>
    <w:p w:rsidR="001B670F" w:rsidRPr="005616C4" w:rsidP="005616C4">
      <w:pPr>
        <w:pStyle w:val="ParaNum"/>
      </w:pPr>
    </w:p>
    <w:p w:rsidR="0030115D" w:rsidRPr="00BB356A" w:rsidP="005616C4">
      <w:pPr>
        <w:autoSpaceDE w:val="0"/>
        <w:autoSpaceDN w:val="0"/>
        <w:adjustRightInd w:val="0"/>
        <w:ind w:firstLine="720"/>
        <w:rPr>
          <w:sz w:val="22"/>
          <w:szCs w:val="22"/>
        </w:rPr>
      </w:pPr>
      <w:r w:rsidRPr="005616C4">
        <w:rPr>
          <w:sz w:val="22"/>
          <w:szCs w:val="22"/>
        </w:rPr>
        <w:t>The Waiver Request appeared on public notice for comment on March 29, 2018.</w:t>
      </w:r>
      <w:r>
        <w:rPr>
          <w:rStyle w:val="FootnoteReference"/>
          <w:sz w:val="22"/>
          <w:szCs w:val="22"/>
        </w:rPr>
        <w:footnoteReference w:id="17"/>
      </w:r>
      <w:r w:rsidRPr="00BB356A">
        <w:rPr>
          <w:sz w:val="22"/>
          <w:szCs w:val="22"/>
        </w:rPr>
        <w:t xml:space="preserve">  </w:t>
      </w:r>
      <w:r w:rsidRPr="00BB356A" w:rsidR="001B670F">
        <w:rPr>
          <w:sz w:val="22"/>
          <w:szCs w:val="22"/>
        </w:rPr>
        <w:t xml:space="preserve">On </w:t>
      </w:r>
      <w:r w:rsidRPr="00BB356A" w:rsidR="006B15CA">
        <w:rPr>
          <w:sz w:val="22"/>
          <w:szCs w:val="22"/>
        </w:rPr>
        <w:t>April 30, 2018</w:t>
      </w:r>
      <w:r w:rsidRPr="00BB356A" w:rsidR="001B670F">
        <w:rPr>
          <w:sz w:val="22"/>
          <w:szCs w:val="22"/>
        </w:rPr>
        <w:t xml:space="preserve">, </w:t>
      </w:r>
      <w:r w:rsidRPr="00BB356A" w:rsidR="00306BFD">
        <w:rPr>
          <w:sz w:val="22"/>
          <w:szCs w:val="22"/>
        </w:rPr>
        <w:t xml:space="preserve">the </w:t>
      </w:r>
      <w:r w:rsidRPr="00BB356A" w:rsidR="001B670F">
        <w:rPr>
          <w:sz w:val="22"/>
          <w:szCs w:val="22"/>
        </w:rPr>
        <w:t xml:space="preserve">Rural Wireless Association, Inc. (RWA) filed </w:t>
      </w:r>
      <w:r w:rsidRPr="00BB356A" w:rsidR="00B3553A">
        <w:rPr>
          <w:sz w:val="22"/>
          <w:szCs w:val="22"/>
        </w:rPr>
        <w:t>comments opposing the Waiver Request</w:t>
      </w:r>
      <w:r w:rsidRPr="00BB356A" w:rsidR="00516A34">
        <w:rPr>
          <w:sz w:val="22"/>
          <w:szCs w:val="22"/>
        </w:rPr>
        <w:t>.</w:t>
      </w:r>
      <w:r>
        <w:rPr>
          <w:rStyle w:val="FootnoteReference"/>
          <w:sz w:val="22"/>
          <w:szCs w:val="22"/>
        </w:rPr>
        <w:footnoteReference w:id="18"/>
      </w:r>
      <w:r w:rsidRPr="00BB356A" w:rsidR="00F85C28">
        <w:rPr>
          <w:sz w:val="22"/>
          <w:szCs w:val="22"/>
        </w:rPr>
        <w:t xml:space="preserve">  </w:t>
      </w:r>
      <w:r w:rsidRPr="00BB356A" w:rsidR="00516A34">
        <w:rPr>
          <w:sz w:val="22"/>
          <w:szCs w:val="22"/>
        </w:rPr>
        <w:t xml:space="preserve">RWA argues that AT&amp;T’s Waiver Request </w:t>
      </w:r>
      <w:r w:rsidRPr="005616C4" w:rsidR="0022750A">
        <w:rPr>
          <w:sz w:val="22"/>
          <w:szCs w:val="22"/>
        </w:rPr>
        <w:t xml:space="preserve">fails </w:t>
      </w:r>
      <w:r w:rsidRPr="00BB356A" w:rsidR="0022750A">
        <w:rPr>
          <w:sz w:val="22"/>
          <w:szCs w:val="22"/>
        </w:rPr>
        <w:t>to</w:t>
      </w:r>
      <w:r w:rsidRPr="005616C4" w:rsidR="0022750A">
        <w:rPr>
          <w:sz w:val="22"/>
          <w:szCs w:val="22"/>
        </w:rPr>
        <w:t xml:space="preserve"> </w:t>
      </w:r>
      <w:r w:rsidRPr="005616C4" w:rsidR="00B1760C">
        <w:rPr>
          <w:sz w:val="22"/>
          <w:szCs w:val="22"/>
        </w:rPr>
        <w:t>meet the Commission’s waiver standard</w:t>
      </w:r>
      <w:r w:rsidRPr="005616C4" w:rsidR="00333579">
        <w:rPr>
          <w:sz w:val="22"/>
          <w:szCs w:val="22"/>
        </w:rPr>
        <w:t>,</w:t>
      </w:r>
      <w:r w:rsidRPr="00BB356A" w:rsidR="00333579">
        <w:rPr>
          <w:sz w:val="22"/>
          <w:szCs w:val="22"/>
        </w:rPr>
        <w:t xml:space="preserve"> the Waiver Request </w:t>
      </w:r>
      <w:r w:rsidR="004B4644">
        <w:rPr>
          <w:sz w:val="22"/>
          <w:szCs w:val="22"/>
        </w:rPr>
        <w:t xml:space="preserve">is </w:t>
      </w:r>
      <w:r w:rsidRPr="00BB356A" w:rsidR="00333579">
        <w:rPr>
          <w:sz w:val="22"/>
          <w:szCs w:val="22"/>
        </w:rPr>
        <w:t xml:space="preserve">essentially an untimely challenge of the Commission’s 700 MHz </w:t>
      </w:r>
      <w:r w:rsidRPr="00BB356A" w:rsidR="00EC5E69">
        <w:rPr>
          <w:sz w:val="22"/>
          <w:szCs w:val="22"/>
        </w:rPr>
        <w:t>rules</w:t>
      </w:r>
      <w:r w:rsidRPr="00BB356A" w:rsidR="00333579">
        <w:rPr>
          <w:sz w:val="22"/>
          <w:szCs w:val="22"/>
        </w:rPr>
        <w:t xml:space="preserve">, AT&amp;T made a business decision </w:t>
      </w:r>
      <w:r w:rsidR="004B4644">
        <w:rPr>
          <w:sz w:val="22"/>
          <w:szCs w:val="22"/>
        </w:rPr>
        <w:t xml:space="preserve">not </w:t>
      </w:r>
      <w:r w:rsidRPr="00BB356A" w:rsidR="00333579">
        <w:rPr>
          <w:sz w:val="22"/>
          <w:szCs w:val="22"/>
        </w:rPr>
        <w:t>to build,</w:t>
      </w:r>
      <w:r w:rsidRPr="005616C4" w:rsidR="00B1760C">
        <w:rPr>
          <w:sz w:val="22"/>
          <w:szCs w:val="22"/>
        </w:rPr>
        <w:t xml:space="preserve"> </w:t>
      </w:r>
      <w:r w:rsidRPr="005616C4" w:rsidR="00333579">
        <w:rPr>
          <w:sz w:val="22"/>
          <w:szCs w:val="22"/>
        </w:rPr>
        <w:t>and granting the Waiver Request would be counter to Commission precedent</w:t>
      </w:r>
      <w:r w:rsidRPr="00BB356A" w:rsidR="00032BF0">
        <w:rPr>
          <w:sz w:val="22"/>
          <w:szCs w:val="22"/>
        </w:rPr>
        <w:t>.</w:t>
      </w:r>
      <w:r>
        <w:rPr>
          <w:rStyle w:val="FootnoteReference"/>
          <w:sz w:val="22"/>
          <w:szCs w:val="22"/>
        </w:rPr>
        <w:footnoteReference w:id="19"/>
      </w:r>
      <w:r w:rsidRPr="00BB356A" w:rsidR="00516A34">
        <w:rPr>
          <w:sz w:val="22"/>
          <w:szCs w:val="22"/>
        </w:rPr>
        <w:t xml:space="preserve">  In response, AT&amp;T </w:t>
      </w:r>
      <w:r w:rsidRPr="00BB356A">
        <w:rPr>
          <w:sz w:val="22"/>
          <w:szCs w:val="22"/>
        </w:rPr>
        <w:t>asserts</w:t>
      </w:r>
      <w:r w:rsidRPr="00BB356A" w:rsidR="00516A34">
        <w:rPr>
          <w:sz w:val="22"/>
          <w:szCs w:val="22"/>
        </w:rPr>
        <w:t xml:space="preserve"> </w:t>
      </w:r>
      <w:r w:rsidRPr="00BB356A" w:rsidR="008559A4">
        <w:rPr>
          <w:sz w:val="22"/>
          <w:szCs w:val="22"/>
        </w:rPr>
        <w:t>that</w:t>
      </w:r>
      <w:r w:rsidRPr="00BB356A" w:rsidR="008559A4">
        <w:rPr>
          <w:sz w:val="22"/>
          <w:szCs w:val="22"/>
        </w:rPr>
        <w:t xml:space="preserve"> “RWA’s objections are unconvincing because it fails to acknowledge the uniqueness of CMA316, the challenges of building and maintaining a network in its remote areas, and speculates about the ability of other providers to provide </w:t>
      </w:r>
      <w:r w:rsidRPr="005616C4" w:rsidR="008559A4">
        <w:rPr>
          <w:sz w:val="22"/>
          <w:szCs w:val="22"/>
        </w:rPr>
        <w:t>the same or better levels of service.”</w:t>
      </w:r>
      <w:r>
        <w:rPr>
          <w:rStyle w:val="FootnoteReference"/>
          <w:sz w:val="22"/>
          <w:szCs w:val="22"/>
        </w:rPr>
        <w:footnoteReference w:id="20"/>
      </w:r>
    </w:p>
    <w:p w:rsidR="0030115D" w:rsidRPr="005616C4" w:rsidP="005616C4">
      <w:pPr>
        <w:autoSpaceDE w:val="0"/>
        <w:autoSpaceDN w:val="0"/>
        <w:adjustRightInd w:val="0"/>
        <w:ind w:firstLine="720"/>
        <w:rPr>
          <w:sz w:val="22"/>
          <w:szCs w:val="22"/>
        </w:rPr>
      </w:pPr>
    </w:p>
    <w:p w:rsidR="0030115D" w:rsidRPr="00BB356A" w:rsidP="005616C4">
      <w:pPr>
        <w:autoSpaceDE w:val="0"/>
        <w:autoSpaceDN w:val="0"/>
        <w:adjustRightInd w:val="0"/>
        <w:ind w:firstLine="720"/>
        <w:rPr>
          <w:sz w:val="22"/>
          <w:szCs w:val="22"/>
        </w:rPr>
      </w:pPr>
      <w:r>
        <w:rPr>
          <w:sz w:val="22"/>
          <w:szCs w:val="22"/>
        </w:rPr>
        <w:t>The only other commenter</w:t>
      </w:r>
      <w:r w:rsidRPr="005616C4" w:rsidR="008A6777">
        <w:rPr>
          <w:sz w:val="22"/>
          <w:szCs w:val="22"/>
        </w:rPr>
        <w:t xml:space="preserve">, </w:t>
      </w:r>
      <w:r w:rsidRPr="005616C4" w:rsidR="008559A4">
        <w:rPr>
          <w:sz w:val="22"/>
          <w:szCs w:val="22"/>
        </w:rPr>
        <w:t>Arctic Slope Telephone Association Cooperative, Inc. (ASTAC)</w:t>
      </w:r>
      <w:r w:rsidRPr="005616C4" w:rsidR="00E75C16">
        <w:rPr>
          <w:sz w:val="22"/>
          <w:szCs w:val="22"/>
        </w:rPr>
        <w:t>,</w:t>
      </w:r>
      <w:r w:rsidRPr="005616C4" w:rsidR="008559A4">
        <w:rPr>
          <w:sz w:val="22"/>
          <w:szCs w:val="22"/>
        </w:rPr>
        <w:t xml:space="preserve"> supports the AT&amp;T Waiver Request.</w:t>
      </w:r>
      <w:r>
        <w:rPr>
          <w:rStyle w:val="FootnoteReference"/>
          <w:sz w:val="22"/>
          <w:szCs w:val="22"/>
        </w:rPr>
        <w:footnoteReference w:id="21"/>
      </w:r>
      <w:r w:rsidRPr="00BB356A" w:rsidR="008559A4">
        <w:rPr>
          <w:sz w:val="22"/>
          <w:szCs w:val="22"/>
        </w:rPr>
        <w:t xml:space="preserve">  ASTAC, a provider of wireless services in Alaska and a lessee of a portion of </w:t>
      </w:r>
      <w:r w:rsidR="0018736F">
        <w:rPr>
          <w:sz w:val="22"/>
          <w:szCs w:val="22"/>
        </w:rPr>
        <w:t xml:space="preserve">the spectrum licensed to AT&amp;T in </w:t>
      </w:r>
      <w:r w:rsidR="004C14B3">
        <w:rPr>
          <w:sz w:val="22"/>
          <w:szCs w:val="22"/>
        </w:rPr>
        <w:t xml:space="preserve">a defined area within </w:t>
      </w:r>
      <w:r w:rsidRPr="00BB356A" w:rsidR="008559A4">
        <w:rPr>
          <w:sz w:val="22"/>
          <w:szCs w:val="22"/>
        </w:rPr>
        <w:t xml:space="preserve">CMA316, states that Alaska’s uniqueness </w:t>
      </w:r>
      <w:r w:rsidRPr="00BB356A" w:rsidR="004648D0">
        <w:rPr>
          <w:sz w:val="22"/>
          <w:szCs w:val="22"/>
        </w:rPr>
        <w:t>warrants the alternative regulatory approach AT&amp;T has proposed, and it disagrees with RWA’s arguments.</w:t>
      </w:r>
      <w:r>
        <w:rPr>
          <w:rStyle w:val="FootnoteReference"/>
          <w:sz w:val="22"/>
          <w:szCs w:val="22"/>
        </w:rPr>
        <w:footnoteReference w:id="22"/>
      </w:r>
      <w:r w:rsidRPr="00BB356A" w:rsidR="008559A4">
        <w:rPr>
          <w:sz w:val="22"/>
          <w:szCs w:val="22"/>
        </w:rPr>
        <w:t xml:space="preserve"> </w:t>
      </w:r>
    </w:p>
    <w:p w:rsidR="0030115D" w:rsidRPr="005616C4" w:rsidP="005616C4">
      <w:pPr>
        <w:autoSpaceDE w:val="0"/>
        <w:autoSpaceDN w:val="0"/>
        <w:adjustRightInd w:val="0"/>
        <w:ind w:firstLine="720"/>
        <w:rPr>
          <w:sz w:val="22"/>
          <w:szCs w:val="22"/>
        </w:rPr>
      </w:pPr>
    </w:p>
    <w:p w:rsidR="0030115D" w:rsidRPr="00BB356A" w:rsidP="005616C4">
      <w:pPr>
        <w:autoSpaceDE w:val="0"/>
        <w:autoSpaceDN w:val="0"/>
        <w:adjustRightInd w:val="0"/>
        <w:ind w:firstLine="720"/>
        <w:rPr>
          <w:sz w:val="22"/>
          <w:szCs w:val="22"/>
        </w:rPr>
      </w:pPr>
      <w:r w:rsidRPr="005616C4">
        <w:rPr>
          <w:i/>
          <w:sz w:val="22"/>
          <w:szCs w:val="22"/>
        </w:rPr>
        <w:t>Discussion</w:t>
      </w:r>
      <w:r w:rsidRPr="005616C4">
        <w:rPr>
          <w:sz w:val="22"/>
          <w:szCs w:val="22"/>
        </w:rPr>
        <w:t xml:space="preserve">.  </w:t>
      </w:r>
      <w:r w:rsidRPr="005616C4" w:rsidR="00422C0B">
        <w:rPr>
          <w:spacing w:val="-3"/>
          <w:sz w:val="22"/>
          <w:szCs w:val="22"/>
        </w:rPr>
        <w:t>R</w:t>
      </w:r>
      <w:r w:rsidRPr="005616C4" w:rsidR="00422C0B">
        <w:rPr>
          <w:sz w:val="22"/>
          <w:szCs w:val="22"/>
        </w:rPr>
        <w:t>equests to waive the requirements of the wireless construction rules must “meet a high hurdle at the starting gate.”</w:t>
      </w:r>
      <w:r>
        <w:rPr>
          <w:sz w:val="22"/>
          <w:szCs w:val="22"/>
          <w:vertAlign w:val="superscript"/>
        </w:rPr>
        <w:footnoteReference w:id="23"/>
      </w:r>
      <w:r w:rsidRPr="00BB356A" w:rsidR="00422C0B">
        <w:rPr>
          <w:sz w:val="22"/>
          <w:szCs w:val="22"/>
        </w:rPr>
        <w:t xml:space="preserve">  In determining whether that standard </w:t>
      </w:r>
      <w:r w:rsidRPr="00BB356A" w:rsidR="00422C0B">
        <w:rPr>
          <w:sz w:val="22"/>
          <w:szCs w:val="22"/>
        </w:rPr>
        <w:t>is met</w:t>
      </w:r>
      <w:r w:rsidRPr="00BB356A" w:rsidR="00422C0B">
        <w:rPr>
          <w:sz w:val="22"/>
          <w:szCs w:val="22"/>
        </w:rPr>
        <w:t>, we must evaluate each case based on the specific circumstances that it presents.  Under Section 1.925(b)(3)(</w:t>
      </w:r>
      <w:r w:rsidRPr="00BB356A" w:rsidR="00422C0B">
        <w:rPr>
          <w:sz w:val="22"/>
          <w:szCs w:val="22"/>
        </w:rPr>
        <w:t>i</w:t>
      </w:r>
      <w:r w:rsidRPr="00BB356A" w:rsidR="00422C0B">
        <w:rPr>
          <w:sz w:val="22"/>
          <w:szCs w:val="22"/>
        </w:rPr>
        <w:t xml:space="preserve">) of the Commission’s rules, the Commission may </w:t>
      </w:r>
      <w:r w:rsidR="004B4644">
        <w:rPr>
          <w:sz w:val="22"/>
          <w:szCs w:val="22"/>
        </w:rPr>
        <w:t xml:space="preserve">waive </w:t>
      </w:r>
      <w:r w:rsidRPr="00BB356A" w:rsidR="00422C0B">
        <w:rPr>
          <w:sz w:val="22"/>
          <w:szCs w:val="22"/>
        </w:rPr>
        <w:t xml:space="preserve">rule when </w:t>
      </w:r>
      <w:bookmarkStart w:id="4" w:name="_Hlk515462165"/>
      <w:r w:rsidRPr="00BB356A" w:rsidR="00422C0B">
        <w:rPr>
          <w:sz w:val="22"/>
          <w:szCs w:val="22"/>
        </w:rPr>
        <w:t>(1) the underlying purpose of the rule would not be served or would be frustrated by application to the instant case, and (2) a grant of the requested waiver would be in the public interest.</w:t>
      </w:r>
      <w:r>
        <w:rPr>
          <w:rStyle w:val="FootnoteReference"/>
          <w:sz w:val="22"/>
          <w:szCs w:val="22"/>
        </w:rPr>
        <w:footnoteReference w:id="24"/>
      </w:r>
      <w:r w:rsidRPr="00BB356A" w:rsidR="00422C0B">
        <w:rPr>
          <w:sz w:val="22"/>
          <w:szCs w:val="22"/>
        </w:rPr>
        <w:t xml:space="preserve">  Under Section 1.925(b)(3)(ii) of the Commission’s rules, the Commission may </w:t>
      </w:r>
      <w:r w:rsidR="004B4644">
        <w:rPr>
          <w:sz w:val="22"/>
          <w:szCs w:val="22"/>
        </w:rPr>
        <w:t xml:space="preserve">waive </w:t>
      </w:r>
      <w:r w:rsidRPr="00BB356A" w:rsidR="00422C0B">
        <w:rPr>
          <w:sz w:val="22"/>
          <w:szCs w:val="22"/>
        </w:rPr>
        <w:t>a rule when, in view of the unique or unusual factual circumstances of the instant case, application of the rule(s) would be inequitable, unduly burdensome, or contrary to the public inte</w:t>
      </w:r>
      <w:r w:rsidRPr="005616C4" w:rsidR="00422C0B">
        <w:rPr>
          <w:sz w:val="22"/>
          <w:szCs w:val="22"/>
        </w:rPr>
        <w:t>rest, or the applicant has no reasonable alternative</w:t>
      </w:r>
      <w:bookmarkEnd w:id="4"/>
      <w:r w:rsidRPr="005616C4" w:rsidR="00422C0B">
        <w:rPr>
          <w:sz w:val="22"/>
          <w:szCs w:val="22"/>
        </w:rPr>
        <w:t>.</w:t>
      </w:r>
      <w:r>
        <w:rPr>
          <w:rStyle w:val="FootnoteReference"/>
          <w:sz w:val="22"/>
          <w:szCs w:val="22"/>
        </w:rPr>
        <w:footnoteReference w:id="25"/>
      </w:r>
      <w:r w:rsidRPr="00BB356A" w:rsidR="00422C0B">
        <w:rPr>
          <w:sz w:val="22"/>
          <w:szCs w:val="22"/>
        </w:rPr>
        <w:t xml:space="preserve">  </w:t>
      </w:r>
    </w:p>
    <w:p w:rsidR="0030115D" w:rsidRPr="005616C4" w:rsidP="005616C4">
      <w:pPr>
        <w:autoSpaceDE w:val="0"/>
        <w:autoSpaceDN w:val="0"/>
        <w:adjustRightInd w:val="0"/>
        <w:ind w:firstLine="720"/>
        <w:rPr>
          <w:sz w:val="22"/>
          <w:szCs w:val="22"/>
        </w:rPr>
      </w:pPr>
    </w:p>
    <w:p w:rsidR="00C515E3" w:rsidRPr="00BB356A" w:rsidP="005616C4">
      <w:pPr>
        <w:autoSpaceDE w:val="0"/>
        <w:autoSpaceDN w:val="0"/>
        <w:adjustRightInd w:val="0"/>
        <w:ind w:firstLine="720"/>
        <w:rPr>
          <w:sz w:val="22"/>
          <w:szCs w:val="22"/>
        </w:rPr>
      </w:pPr>
      <w:r w:rsidRPr="005616C4">
        <w:rPr>
          <w:sz w:val="22"/>
          <w:szCs w:val="22"/>
        </w:rPr>
        <w:t xml:space="preserve">Although a waiver applicant need only satisfy </w:t>
      </w:r>
      <w:r w:rsidRPr="00605C6E">
        <w:rPr>
          <w:i/>
          <w:sz w:val="22"/>
          <w:szCs w:val="22"/>
        </w:rPr>
        <w:t>either</w:t>
      </w:r>
      <w:r w:rsidRPr="005616C4">
        <w:rPr>
          <w:sz w:val="22"/>
          <w:szCs w:val="22"/>
        </w:rPr>
        <w:t xml:space="preserve"> Section 1.925(b)(3)(</w:t>
      </w:r>
      <w:r w:rsidRPr="005616C4">
        <w:rPr>
          <w:sz w:val="22"/>
          <w:szCs w:val="22"/>
        </w:rPr>
        <w:t>i</w:t>
      </w:r>
      <w:r w:rsidRPr="005616C4">
        <w:rPr>
          <w:sz w:val="22"/>
          <w:szCs w:val="22"/>
        </w:rPr>
        <w:t xml:space="preserve">) or (ii), here, based on our review of the record before us, we find that AT&amp;T has satisfied the requirements of </w:t>
      </w:r>
      <w:r w:rsidRPr="00605C6E">
        <w:rPr>
          <w:i/>
          <w:sz w:val="22"/>
          <w:szCs w:val="22"/>
        </w:rPr>
        <w:t>both</w:t>
      </w:r>
      <w:r w:rsidRPr="005616C4">
        <w:rPr>
          <w:sz w:val="22"/>
          <w:szCs w:val="22"/>
        </w:rPr>
        <w:t xml:space="preserve"> Sections 1.925(b)(3)(</w:t>
      </w:r>
      <w:r w:rsidRPr="005616C4">
        <w:rPr>
          <w:sz w:val="22"/>
          <w:szCs w:val="22"/>
        </w:rPr>
        <w:t>i</w:t>
      </w:r>
      <w:r w:rsidRPr="005616C4">
        <w:rPr>
          <w:sz w:val="22"/>
          <w:szCs w:val="22"/>
        </w:rPr>
        <w:t>) and (ii)</w:t>
      </w:r>
      <w:r w:rsidRPr="005616C4" w:rsidR="00530182">
        <w:rPr>
          <w:sz w:val="22"/>
          <w:szCs w:val="22"/>
        </w:rPr>
        <w:t xml:space="preserve">.  Specifically, we </w:t>
      </w:r>
      <w:r w:rsidRPr="005616C4">
        <w:rPr>
          <w:sz w:val="22"/>
          <w:szCs w:val="22"/>
        </w:rPr>
        <w:t>find that the underlying purpose of Section 27.14(g)—“to better promote access to spectrum and the provision of service, especially in rural areas”</w:t>
      </w:r>
      <w:r>
        <w:rPr>
          <w:rStyle w:val="FootnoteReference"/>
          <w:sz w:val="22"/>
          <w:szCs w:val="22"/>
        </w:rPr>
        <w:footnoteReference w:id="26"/>
      </w:r>
      <w:r w:rsidRPr="00BB356A">
        <w:rPr>
          <w:sz w:val="22"/>
          <w:szCs w:val="22"/>
        </w:rPr>
        <w:t>—would be frustrated by application of the rule here and that grant of the requested waiver, subject to the performance and related conditions we adopt below, will serve the public interest.  We also find that</w:t>
      </w:r>
      <w:r w:rsidR="004C14B3">
        <w:rPr>
          <w:sz w:val="22"/>
          <w:szCs w:val="22"/>
        </w:rPr>
        <w:t>,</w:t>
      </w:r>
      <w:r w:rsidRPr="00BB356A">
        <w:rPr>
          <w:sz w:val="22"/>
          <w:szCs w:val="22"/>
        </w:rPr>
        <w:t xml:space="preserve"> in view of the unique factual challenges of serving Alaska, application of Section 27.14(g) here wou</w:t>
      </w:r>
      <w:r w:rsidRPr="005616C4">
        <w:rPr>
          <w:sz w:val="22"/>
          <w:szCs w:val="22"/>
        </w:rPr>
        <w:t xml:space="preserve">ld be contrary to the public interest.  </w:t>
      </w:r>
      <w:r w:rsidRPr="005616C4" w:rsidR="00530182">
        <w:rPr>
          <w:sz w:val="22"/>
          <w:szCs w:val="22"/>
        </w:rPr>
        <w:t xml:space="preserve">As discussed below, the circumstances specific to this case include:  the License area’s vastness and remoteness, lack of backhaul and other infrastructure, </w:t>
      </w:r>
      <w:r w:rsidRPr="005616C4" w:rsidR="00540C1F">
        <w:rPr>
          <w:sz w:val="22"/>
          <w:szCs w:val="22"/>
        </w:rPr>
        <w:t>challenging</w:t>
      </w:r>
      <w:r w:rsidRPr="005616C4" w:rsidR="00530182">
        <w:rPr>
          <w:sz w:val="22"/>
          <w:szCs w:val="22"/>
        </w:rPr>
        <w:t xml:space="preserve"> </w:t>
      </w:r>
      <w:r w:rsidRPr="005616C4" w:rsidR="00E41A9A">
        <w:rPr>
          <w:sz w:val="22"/>
          <w:szCs w:val="22"/>
        </w:rPr>
        <w:t>geographic and weather conditions</w:t>
      </w:r>
      <w:r w:rsidRPr="005616C4" w:rsidR="00530182">
        <w:rPr>
          <w:sz w:val="22"/>
          <w:szCs w:val="22"/>
        </w:rPr>
        <w:t>, sparse population, rural area, and extremely limited availability of high speed broadband services compared to other parts of the country.</w:t>
      </w:r>
      <w:r>
        <w:rPr>
          <w:rStyle w:val="FootnoteReference"/>
          <w:sz w:val="22"/>
          <w:szCs w:val="22"/>
        </w:rPr>
        <w:footnoteReference w:id="27"/>
      </w:r>
    </w:p>
    <w:p w:rsidR="00C515E3" w:rsidRPr="005616C4" w:rsidP="005616C4">
      <w:pPr>
        <w:autoSpaceDE w:val="0"/>
        <w:autoSpaceDN w:val="0"/>
        <w:adjustRightInd w:val="0"/>
        <w:ind w:firstLine="720"/>
        <w:rPr>
          <w:sz w:val="22"/>
          <w:szCs w:val="22"/>
        </w:rPr>
      </w:pPr>
    </w:p>
    <w:p w:rsidR="0030115D" w:rsidRPr="005616C4" w:rsidP="005616C4">
      <w:pPr>
        <w:autoSpaceDE w:val="0"/>
        <w:autoSpaceDN w:val="0"/>
        <w:adjustRightInd w:val="0"/>
        <w:ind w:firstLine="720"/>
        <w:rPr>
          <w:sz w:val="22"/>
          <w:szCs w:val="22"/>
        </w:rPr>
      </w:pPr>
      <w:r w:rsidRPr="005616C4">
        <w:rPr>
          <w:sz w:val="22"/>
          <w:szCs w:val="22"/>
        </w:rPr>
        <w:t>RWA contends that the Waiver Request in not grantable because “</w:t>
      </w:r>
      <w:r w:rsidRPr="005616C4" w:rsidR="000C754F">
        <w:rPr>
          <w:sz w:val="22"/>
          <w:szCs w:val="22"/>
        </w:rPr>
        <w:t xml:space="preserve">AT&amp;T fails to demonstrate the presence of any </w:t>
      </w:r>
      <w:r w:rsidRPr="00BB356A" w:rsidR="0023288C">
        <w:rPr>
          <w:sz w:val="22"/>
          <w:szCs w:val="22"/>
        </w:rPr>
        <w:t xml:space="preserve">[ ] </w:t>
      </w:r>
      <w:r w:rsidRPr="00BB356A" w:rsidR="000C754F">
        <w:rPr>
          <w:sz w:val="22"/>
          <w:szCs w:val="22"/>
        </w:rPr>
        <w:t>unavoidable circumstances</w:t>
      </w:r>
      <w:r w:rsidRPr="00BB356A" w:rsidR="007A4C0E">
        <w:rPr>
          <w:sz w:val="22"/>
          <w:szCs w:val="22"/>
        </w:rPr>
        <w:t>.</w:t>
      </w:r>
      <w:r w:rsidRPr="005616C4" w:rsidR="007A4C0E">
        <w:rPr>
          <w:sz w:val="22"/>
          <w:szCs w:val="22"/>
        </w:rPr>
        <w:t>”</w:t>
      </w:r>
      <w:r>
        <w:rPr>
          <w:rStyle w:val="FootnoteReference"/>
          <w:spacing w:val="-1"/>
          <w:sz w:val="22"/>
          <w:szCs w:val="22"/>
        </w:rPr>
        <w:footnoteReference w:id="28"/>
      </w:r>
      <w:r w:rsidRPr="00BB356A" w:rsidR="007A4C0E">
        <w:rPr>
          <w:sz w:val="22"/>
          <w:szCs w:val="22"/>
        </w:rPr>
        <w:t xml:space="preserve">  It further</w:t>
      </w:r>
      <w:r w:rsidRPr="00BB356A">
        <w:rPr>
          <w:sz w:val="22"/>
          <w:szCs w:val="22"/>
        </w:rPr>
        <w:t xml:space="preserve"> </w:t>
      </w:r>
      <w:r w:rsidR="00D97F25">
        <w:rPr>
          <w:sz w:val="22"/>
          <w:szCs w:val="22"/>
        </w:rPr>
        <w:t>claims</w:t>
      </w:r>
      <w:r w:rsidRPr="00BB356A" w:rsidR="00D97F25">
        <w:rPr>
          <w:sz w:val="22"/>
          <w:szCs w:val="22"/>
        </w:rPr>
        <w:t xml:space="preserve"> </w:t>
      </w:r>
      <w:r w:rsidRPr="00BB356A">
        <w:rPr>
          <w:sz w:val="22"/>
          <w:szCs w:val="22"/>
        </w:rPr>
        <w:t xml:space="preserve">that AT&amp;T’s choice to </w:t>
      </w:r>
      <w:r w:rsidR="00350A84">
        <w:rPr>
          <w:sz w:val="22"/>
          <w:szCs w:val="22"/>
        </w:rPr>
        <w:t xml:space="preserve">wait to </w:t>
      </w:r>
      <w:r w:rsidRPr="00BB356A">
        <w:rPr>
          <w:sz w:val="22"/>
          <w:szCs w:val="22"/>
        </w:rPr>
        <w:t xml:space="preserve">construct additional </w:t>
      </w:r>
      <w:r w:rsidRPr="005616C4" w:rsidR="00DA42C6">
        <w:rPr>
          <w:spacing w:val="-1"/>
          <w:sz w:val="22"/>
          <w:szCs w:val="22"/>
        </w:rPr>
        <w:t>sites</w:t>
      </w:r>
      <w:r w:rsidRPr="005616C4" w:rsidR="00DA42C6">
        <w:rPr>
          <w:spacing w:val="7"/>
          <w:sz w:val="22"/>
          <w:szCs w:val="22"/>
        </w:rPr>
        <w:t xml:space="preserve"> </w:t>
      </w:r>
      <w:r w:rsidRPr="005616C4">
        <w:rPr>
          <w:sz w:val="22"/>
          <w:szCs w:val="22"/>
        </w:rPr>
        <w:t>in</w:t>
      </w:r>
      <w:r w:rsidRPr="005616C4" w:rsidR="00DA42C6">
        <w:rPr>
          <w:spacing w:val="7"/>
          <w:sz w:val="22"/>
          <w:szCs w:val="22"/>
        </w:rPr>
        <w:t xml:space="preserve"> </w:t>
      </w:r>
      <w:r w:rsidRPr="005616C4" w:rsidR="00DA42C6">
        <w:rPr>
          <w:sz w:val="22"/>
          <w:szCs w:val="22"/>
        </w:rPr>
        <w:t>2019 was</w:t>
      </w:r>
      <w:r w:rsidRPr="005616C4">
        <w:rPr>
          <w:sz w:val="22"/>
          <w:szCs w:val="22"/>
        </w:rPr>
        <w:t xml:space="preserve"> </w:t>
      </w:r>
      <w:r w:rsidRPr="005616C4" w:rsidR="001E30AF">
        <w:rPr>
          <w:sz w:val="22"/>
          <w:szCs w:val="22"/>
        </w:rPr>
        <w:t>“</w:t>
      </w:r>
      <w:r w:rsidRPr="005616C4" w:rsidR="00DA42C6">
        <w:rPr>
          <w:sz w:val="22"/>
          <w:szCs w:val="22"/>
        </w:rPr>
        <w:t>a business decision made by AT&amp;T</w:t>
      </w:r>
      <w:r w:rsidRPr="005616C4" w:rsidR="007A4C0E">
        <w:rPr>
          <w:sz w:val="22"/>
          <w:szCs w:val="22"/>
        </w:rPr>
        <w:t xml:space="preserve"> </w:t>
      </w:r>
      <w:r w:rsidRPr="005616C4" w:rsidR="00DA42C6">
        <w:rPr>
          <w:sz w:val="22"/>
          <w:szCs w:val="22"/>
        </w:rPr>
        <w:t>and should not be considered a circumstance beyond the licensee’s control that would justify a waiver of the Commission’s buildout rules</w:t>
      </w:r>
      <w:r w:rsidRPr="005616C4" w:rsidR="00DA42C6">
        <w:rPr>
          <w:spacing w:val="-1"/>
          <w:sz w:val="22"/>
          <w:szCs w:val="22"/>
        </w:rPr>
        <w:t>.</w:t>
      </w:r>
      <w:r w:rsidRPr="005616C4">
        <w:rPr>
          <w:spacing w:val="-1"/>
          <w:sz w:val="22"/>
          <w:szCs w:val="22"/>
        </w:rPr>
        <w:t>”</w:t>
      </w:r>
      <w:r>
        <w:rPr>
          <w:rStyle w:val="FootnoteReference"/>
          <w:spacing w:val="-1"/>
          <w:sz w:val="22"/>
          <w:szCs w:val="22"/>
        </w:rPr>
        <w:footnoteReference w:id="29"/>
      </w:r>
      <w:r w:rsidRPr="00BB356A" w:rsidR="00292874">
        <w:rPr>
          <w:sz w:val="22"/>
          <w:szCs w:val="22"/>
        </w:rPr>
        <w:t xml:space="preserve">  </w:t>
      </w:r>
      <w:r w:rsidRPr="00BB356A" w:rsidR="00004940">
        <w:rPr>
          <w:sz w:val="22"/>
          <w:szCs w:val="22"/>
        </w:rPr>
        <w:t>At the outset, we</w:t>
      </w:r>
      <w:r w:rsidRPr="00BB356A" w:rsidR="00245922">
        <w:rPr>
          <w:sz w:val="22"/>
          <w:szCs w:val="22"/>
        </w:rPr>
        <w:t xml:space="preserve"> note that </w:t>
      </w:r>
      <w:r w:rsidRPr="005616C4" w:rsidR="00245922">
        <w:rPr>
          <w:sz w:val="22"/>
          <w:szCs w:val="22"/>
        </w:rPr>
        <w:t>the Commission previously has rejected RWA’s assertion that the Division may grant a waiver of Sec</w:t>
      </w:r>
      <w:r w:rsidR="00E5194C">
        <w:rPr>
          <w:sz w:val="22"/>
          <w:szCs w:val="22"/>
        </w:rPr>
        <w:t>tion 27.14(g)</w:t>
      </w:r>
      <w:r w:rsidRPr="005616C4" w:rsidR="00245922">
        <w:rPr>
          <w:sz w:val="22"/>
          <w:szCs w:val="22"/>
        </w:rPr>
        <w:t xml:space="preserve"> to a licensee only if unavoidable circumstances prevented it from meeting the license’s construction requirement</w:t>
      </w:r>
      <w:r w:rsidRPr="005616C4" w:rsidR="00FD4163">
        <w:rPr>
          <w:sz w:val="22"/>
          <w:szCs w:val="22"/>
        </w:rPr>
        <w:t>.</w:t>
      </w:r>
      <w:r>
        <w:rPr>
          <w:rStyle w:val="FootnoteReference"/>
          <w:sz w:val="22"/>
          <w:szCs w:val="22"/>
        </w:rPr>
        <w:footnoteReference w:id="30"/>
      </w:r>
      <w:r w:rsidRPr="00BB356A" w:rsidR="00FD4163">
        <w:rPr>
          <w:sz w:val="22"/>
          <w:szCs w:val="22"/>
        </w:rPr>
        <w:t xml:space="preserve">  W</w:t>
      </w:r>
      <w:r w:rsidRPr="00BB356A" w:rsidR="00245922">
        <w:rPr>
          <w:sz w:val="22"/>
          <w:szCs w:val="22"/>
        </w:rPr>
        <w:t xml:space="preserve">e </w:t>
      </w:r>
      <w:r w:rsidRPr="00BB356A" w:rsidR="00DA42C6">
        <w:rPr>
          <w:sz w:val="22"/>
          <w:szCs w:val="22"/>
        </w:rPr>
        <w:t xml:space="preserve">reject RWA’s </w:t>
      </w:r>
      <w:r w:rsidRPr="005616C4" w:rsidR="00FD4163">
        <w:rPr>
          <w:sz w:val="22"/>
          <w:szCs w:val="22"/>
        </w:rPr>
        <w:t xml:space="preserve">assertion </w:t>
      </w:r>
      <w:r w:rsidR="001A4862">
        <w:rPr>
          <w:sz w:val="22"/>
          <w:szCs w:val="22"/>
        </w:rPr>
        <w:t>in this particular context</w:t>
      </w:r>
      <w:r w:rsidRPr="005616C4" w:rsidR="001A4862">
        <w:rPr>
          <w:sz w:val="22"/>
          <w:szCs w:val="22"/>
        </w:rPr>
        <w:t xml:space="preserve"> </w:t>
      </w:r>
      <w:r w:rsidRPr="005616C4" w:rsidR="00FD4163">
        <w:rPr>
          <w:sz w:val="22"/>
          <w:szCs w:val="22"/>
        </w:rPr>
        <w:t>as well</w:t>
      </w:r>
      <w:r w:rsidRPr="005616C4" w:rsidR="00DA42C6">
        <w:rPr>
          <w:sz w:val="22"/>
          <w:szCs w:val="22"/>
        </w:rPr>
        <w:t>.</w:t>
      </w:r>
    </w:p>
    <w:p w:rsidR="0030115D" w:rsidRPr="005616C4" w:rsidP="00BB356A">
      <w:pPr>
        <w:autoSpaceDE w:val="0"/>
        <w:autoSpaceDN w:val="0"/>
        <w:adjustRightInd w:val="0"/>
        <w:ind w:firstLine="720"/>
        <w:rPr>
          <w:sz w:val="22"/>
          <w:szCs w:val="22"/>
        </w:rPr>
      </w:pPr>
    </w:p>
    <w:p w:rsidR="00245922" w:rsidRPr="005616C4" w:rsidP="00AA53B6">
      <w:pPr>
        <w:autoSpaceDE w:val="0"/>
        <w:autoSpaceDN w:val="0"/>
        <w:adjustRightInd w:val="0"/>
        <w:ind w:firstLine="720"/>
        <w:rPr>
          <w:sz w:val="22"/>
          <w:szCs w:val="22"/>
        </w:rPr>
      </w:pPr>
      <w:r w:rsidRPr="005616C4">
        <w:rPr>
          <w:sz w:val="22"/>
          <w:szCs w:val="22"/>
        </w:rPr>
        <w:t>W</w:t>
      </w:r>
      <w:r w:rsidRPr="005616C4" w:rsidR="00DA42C6">
        <w:rPr>
          <w:sz w:val="22"/>
          <w:szCs w:val="22"/>
        </w:rPr>
        <w:t xml:space="preserve">hile the Commission stated in the </w:t>
      </w:r>
      <w:r w:rsidRPr="005616C4" w:rsidR="00DA42C6">
        <w:rPr>
          <w:i/>
          <w:sz w:val="22"/>
          <w:szCs w:val="22"/>
        </w:rPr>
        <w:t>700 MHz Second Report and Order</w:t>
      </w:r>
      <w:r w:rsidRPr="005616C4" w:rsidR="00DA42C6">
        <w:rPr>
          <w:sz w:val="22"/>
          <w:szCs w:val="22"/>
        </w:rPr>
        <w:t xml:space="preserve"> that it did “not envision granting waivers or extensions of construction periods except where unavoidable circumstances beyond the licensee’s control delay construction,” it did not foreclo</w:t>
      </w:r>
      <w:r w:rsidRPr="00BB356A" w:rsidR="00DA42C6">
        <w:rPr>
          <w:sz w:val="22"/>
          <w:szCs w:val="22"/>
        </w:rPr>
        <w:t>se the granting of waivers in particular cases that satisfy the FCC’s waiver rules.</w:t>
      </w:r>
      <w:r>
        <w:rPr>
          <w:rStyle w:val="FootnoteReference"/>
          <w:sz w:val="22"/>
          <w:szCs w:val="22"/>
        </w:rPr>
        <w:footnoteReference w:id="31"/>
      </w:r>
      <w:r w:rsidRPr="00BB356A" w:rsidR="00DA42C6">
        <w:rPr>
          <w:sz w:val="22"/>
          <w:szCs w:val="22"/>
        </w:rPr>
        <w:t xml:space="preserve">  </w:t>
      </w:r>
      <w:r w:rsidRPr="00BB356A" w:rsidR="00292874">
        <w:rPr>
          <w:sz w:val="22"/>
          <w:szCs w:val="22"/>
        </w:rPr>
        <w:t>Rather, the Commission anticipated that the type of waiver that AT&amp;T seeks might be necessary in certain factual circumstances for the Lower 700 MHz band.</w:t>
      </w:r>
      <w:r>
        <w:rPr>
          <w:rStyle w:val="FootnoteReference"/>
          <w:sz w:val="22"/>
          <w:szCs w:val="22"/>
        </w:rPr>
        <w:footnoteReference w:id="32"/>
      </w:r>
      <w:r w:rsidRPr="00BB356A" w:rsidR="00292874">
        <w:rPr>
          <w:sz w:val="22"/>
          <w:szCs w:val="22"/>
        </w:rPr>
        <w:t xml:space="preserve">  In fact, in the more recent </w:t>
      </w:r>
      <w:r w:rsidRPr="00BB356A" w:rsidR="00292874">
        <w:rPr>
          <w:i/>
          <w:sz w:val="22"/>
          <w:szCs w:val="22"/>
        </w:rPr>
        <w:t>700 MHz Reconsideration Order</w:t>
      </w:r>
      <w:r w:rsidRPr="00BB356A" w:rsidR="00292874">
        <w:rPr>
          <w:sz w:val="22"/>
          <w:szCs w:val="22"/>
        </w:rPr>
        <w:t xml:space="preserve">, the Commission </w:t>
      </w:r>
      <w:r w:rsidRPr="00BB356A" w:rsidR="00292874">
        <w:rPr>
          <w:sz w:val="22"/>
          <w:szCs w:val="22"/>
        </w:rPr>
        <w:t>explained that</w:t>
      </w:r>
      <w:r w:rsidRPr="00BB356A" w:rsidR="00292874">
        <w:rPr>
          <w:sz w:val="22"/>
          <w:szCs w:val="22"/>
        </w:rPr>
        <w:t xml:space="preserve"> “[f]or specific cases of hardship . . . providers can seek waiver relief” related to their construction obligations.</w:t>
      </w:r>
      <w:r>
        <w:rPr>
          <w:sz w:val="22"/>
          <w:szCs w:val="22"/>
          <w:vertAlign w:val="superscript"/>
        </w:rPr>
        <w:footnoteReference w:id="33"/>
      </w:r>
      <w:r w:rsidRPr="00BB356A" w:rsidR="00292874">
        <w:rPr>
          <w:sz w:val="22"/>
          <w:szCs w:val="22"/>
        </w:rPr>
        <w:t xml:space="preserve">  The Commission explained that “requests must be well founded and not based solely on grounds of low population density,” and it directed staff to “consider these types of requests on a case-by-case basis</w:t>
      </w:r>
      <w:r w:rsidRPr="005616C4" w:rsidR="0025166F">
        <w:rPr>
          <w:sz w:val="22"/>
          <w:szCs w:val="22"/>
        </w:rPr>
        <w:t>.</w:t>
      </w:r>
      <w:r w:rsidRPr="005616C4" w:rsidR="00292874">
        <w:rPr>
          <w:sz w:val="22"/>
          <w:szCs w:val="22"/>
        </w:rPr>
        <w:t>”</w:t>
      </w:r>
      <w:r>
        <w:rPr>
          <w:sz w:val="22"/>
          <w:szCs w:val="22"/>
          <w:vertAlign w:val="superscript"/>
        </w:rPr>
        <w:footnoteReference w:id="34"/>
      </w:r>
      <w:r w:rsidR="00AA53B6">
        <w:rPr>
          <w:sz w:val="22"/>
          <w:szCs w:val="22"/>
        </w:rPr>
        <w:t xml:space="preserve">  </w:t>
      </w:r>
      <w:r w:rsidRPr="005616C4">
        <w:rPr>
          <w:sz w:val="22"/>
          <w:szCs w:val="22"/>
        </w:rPr>
        <w:t>In addition,</w:t>
      </w:r>
      <w:r w:rsidRPr="005616C4" w:rsidR="00C55EC2">
        <w:rPr>
          <w:sz w:val="22"/>
          <w:szCs w:val="22"/>
        </w:rPr>
        <w:t xml:space="preserve"> </w:t>
      </w:r>
      <w:r w:rsidRPr="005616C4">
        <w:rPr>
          <w:sz w:val="22"/>
          <w:szCs w:val="22"/>
        </w:rPr>
        <w:t>RWA’s argument conflates the standard for an extension under Section 1.946(e)(1), which expressly requires a showing that failure to meet the deadline is “due to involuntary loss of site or other causes beyond [the licensee’s] control,”</w:t>
      </w:r>
      <w:r>
        <w:rPr>
          <w:rStyle w:val="FootnoteReference"/>
          <w:sz w:val="22"/>
          <w:szCs w:val="22"/>
        </w:rPr>
        <w:footnoteReference w:id="35"/>
      </w:r>
      <w:r w:rsidRPr="00BB356A">
        <w:rPr>
          <w:sz w:val="22"/>
          <w:szCs w:val="22"/>
        </w:rPr>
        <w:t xml:space="preserve"> with that for waiver under Section 1.925(b)(3).</w:t>
      </w:r>
      <w:r>
        <w:rPr>
          <w:rStyle w:val="FootnoteReference"/>
          <w:sz w:val="22"/>
          <w:szCs w:val="22"/>
        </w:rPr>
        <w:footnoteReference w:id="36"/>
      </w:r>
      <w:r w:rsidRPr="00BB356A">
        <w:rPr>
          <w:sz w:val="22"/>
          <w:szCs w:val="22"/>
        </w:rPr>
        <w:t xml:space="preserve">  </w:t>
      </w:r>
      <w:r w:rsidR="00EE177F">
        <w:rPr>
          <w:sz w:val="22"/>
          <w:szCs w:val="22"/>
        </w:rPr>
        <w:t>For all of these reasons, we</w:t>
      </w:r>
      <w:r w:rsidRPr="00BB356A">
        <w:rPr>
          <w:sz w:val="22"/>
          <w:szCs w:val="22"/>
        </w:rPr>
        <w:t xml:space="preserve"> reject</w:t>
      </w:r>
      <w:r w:rsidRPr="005616C4">
        <w:rPr>
          <w:sz w:val="22"/>
          <w:szCs w:val="22"/>
        </w:rPr>
        <w:t xml:space="preserve"> RWA’s contention.</w:t>
      </w:r>
    </w:p>
    <w:p w:rsidR="00C515E3" w:rsidRPr="005616C4" w:rsidP="005616C4">
      <w:pPr>
        <w:autoSpaceDE w:val="0"/>
        <w:autoSpaceDN w:val="0"/>
        <w:adjustRightInd w:val="0"/>
        <w:ind w:firstLine="720"/>
        <w:rPr>
          <w:sz w:val="22"/>
          <w:szCs w:val="22"/>
        </w:rPr>
      </w:pPr>
    </w:p>
    <w:p w:rsidR="00C515E3" w:rsidRPr="005616C4" w:rsidP="00BB356A">
      <w:pPr>
        <w:autoSpaceDE w:val="0"/>
        <w:autoSpaceDN w:val="0"/>
        <w:adjustRightInd w:val="0"/>
        <w:ind w:firstLine="720"/>
        <w:rPr>
          <w:sz w:val="22"/>
          <w:szCs w:val="22"/>
        </w:rPr>
      </w:pPr>
      <w:r w:rsidRPr="00BB356A">
        <w:rPr>
          <w:sz w:val="22"/>
          <w:szCs w:val="22"/>
        </w:rPr>
        <w:t xml:space="preserve">RWA further argues that AT&amp;T’s Waiver Request </w:t>
      </w:r>
      <w:r w:rsidR="002D40A0">
        <w:rPr>
          <w:sz w:val="22"/>
          <w:szCs w:val="22"/>
        </w:rPr>
        <w:t xml:space="preserve">is </w:t>
      </w:r>
      <w:r w:rsidRPr="00BB356A">
        <w:rPr>
          <w:sz w:val="22"/>
          <w:szCs w:val="22"/>
        </w:rPr>
        <w:t xml:space="preserve">effectively an untimely petition for reconsideration of </w:t>
      </w:r>
      <w:r w:rsidRPr="00BB356A" w:rsidR="007F5C25">
        <w:rPr>
          <w:sz w:val="22"/>
          <w:szCs w:val="22"/>
        </w:rPr>
        <w:t xml:space="preserve">the </w:t>
      </w:r>
      <w:r w:rsidRPr="00BB356A">
        <w:rPr>
          <w:sz w:val="22"/>
          <w:szCs w:val="22"/>
        </w:rPr>
        <w:t xml:space="preserve">Commission’s decision to require geographic benchmarks in lieu of population benchmarks for Lower 700 MHz B Block licenses in the State of Alaska and </w:t>
      </w:r>
      <w:r w:rsidRPr="00BB356A">
        <w:rPr>
          <w:sz w:val="22"/>
          <w:szCs w:val="22"/>
        </w:rPr>
        <w:t>must be rejected</w:t>
      </w:r>
      <w:r w:rsidRPr="00BB356A">
        <w:rPr>
          <w:sz w:val="22"/>
          <w:szCs w:val="22"/>
        </w:rPr>
        <w:t xml:space="preserve"> as such.</w:t>
      </w:r>
      <w:r>
        <w:rPr>
          <w:rStyle w:val="FootnoteReference"/>
          <w:sz w:val="22"/>
          <w:szCs w:val="22"/>
        </w:rPr>
        <w:footnoteReference w:id="37"/>
      </w:r>
      <w:r w:rsidRPr="00BB356A">
        <w:rPr>
          <w:sz w:val="22"/>
          <w:szCs w:val="22"/>
        </w:rPr>
        <w:t xml:space="preserve">   We disagree.  A</w:t>
      </w:r>
      <w:r w:rsidRPr="005616C4" w:rsidR="00CB0310">
        <w:rPr>
          <w:sz w:val="22"/>
          <w:szCs w:val="22"/>
        </w:rPr>
        <w:t xml:space="preserve"> </w:t>
      </w:r>
      <w:r w:rsidRPr="005616C4">
        <w:rPr>
          <w:sz w:val="22"/>
          <w:szCs w:val="22"/>
        </w:rPr>
        <w:t xml:space="preserve">waiver request is not a petition for reconsideration simply because it seeks relief </w:t>
      </w:r>
      <w:r w:rsidR="00932D27">
        <w:rPr>
          <w:sz w:val="22"/>
          <w:szCs w:val="22"/>
        </w:rPr>
        <w:t>from</w:t>
      </w:r>
      <w:r w:rsidRPr="005616C4">
        <w:rPr>
          <w:sz w:val="22"/>
          <w:szCs w:val="22"/>
        </w:rPr>
        <w:t xml:space="preserve"> a particular rule(s) for a specific set of circumstances</w:t>
      </w:r>
      <w:r w:rsidR="002D40A0">
        <w:rPr>
          <w:sz w:val="22"/>
          <w:szCs w:val="22"/>
        </w:rPr>
        <w:t>; if it were, then all waiver requests would amount to reconsideration requests</w:t>
      </w:r>
      <w:r w:rsidRPr="005616C4">
        <w:rPr>
          <w:sz w:val="22"/>
          <w:szCs w:val="22"/>
        </w:rPr>
        <w:t xml:space="preserve">.  It is </w:t>
      </w:r>
      <w:r w:rsidRPr="005616C4">
        <w:rPr>
          <w:sz w:val="22"/>
          <w:szCs w:val="22"/>
        </w:rPr>
        <w:t>well-established</w:t>
      </w:r>
      <w:r w:rsidRPr="005616C4">
        <w:rPr>
          <w:sz w:val="22"/>
          <w:szCs w:val="22"/>
        </w:rPr>
        <w:t xml:space="preserve"> that the Commission may waive a rule where the particular facts make strict compliance inconsistent with the public interest,</w:t>
      </w:r>
      <w:r>
        <w:rPr>
          <w:rStyle w:val="FootnoteReference"/>
          <w:sz w:val="22"/>
          <w:szCs w:val="22"/>
        </w:rPr>
        <w:footnoteReference w:id="38"/>
      </w:r>
      <w:r w:rsidRPr="00BB356A">
        <w:rPr>
          <w:sz w:val="22"/>
          <w:szCs w:val="22"/>
        </w:rPr>
        <w:t xml:space="preserve"> and it may take into account considerations of hardship, equity, or more effective implementation of overall policy on an individual basis.</w:t>
      </w:r>
      <w:r>
        <w:rPr>
          <w:rStyle w:val="FootnoteReference"/>
          <w:sz w:val="22"/>
          <w:szCs w:val="22"/>
        </w:rPr>
        <w:footnoteReference w:id="39"/>
      </w:r>
      <w:r w:rsidRPr="00BB356A">
        <w:rPr>
          <w:sz w:val="22"/>
          <w:szCs w:val="22"/>
        </w:rPr>
        <w:t xml:space="preserve">  RWA s</w:t>
      </w:r>
      <w:r w:rsidRPr="005616C4">
        <w:rPr>
          <w:sz w:val="22"/>
          <w:szCs w:val="22"/>
        </w:rPr>
        <w:t>tates that “[t]he Commission could have chosen to impose population</w:t>
      </w:r>
      <w:r w:rsidR="001453E5">
        <w:rPr>
          <w:sz w:val="22"/>
          <w:szCs w:val="22"/>
        </w:rPr>
        <w:t>-</w:t>
      </w:r>
      <w:r w:rsidRPr="005616C4">
        <w:rPr>
          <w:sz w:val="22"/>
          <w:szCs w:val="22"/>
        </w:rPr>
        <w:t>based buildout requirements in Alaska due to all of the factors cited by AT&amp;T as making that State unique.  It chose not to do so.”</w:t>
      </w:r>
      <w:r>
        <w:rPr>
          <w:rStyle w:val="FootnoteReference"/>
          <w:sz w:val="22"/>
          <w:szCs w:val="22"/>
        </w:rPr>
        <w:footnoteReference w:id="40"/>
      </w:r>
      <w:r w:rsidRPr="00BB356A">
        <w:rPr>
          <w:sz w:val="22"/>
          <w:szCs w:val="22"/>
        </w:rPr>
        <w:t xml:space="preserve">  RW</w:t>
      </w:r>
      <w:r w:rsidRPr="005616C4">
        <w:rPr>
          <w:sz w:val="22"/>
          <w:szCs w:val="22"/>
        </w:rPr>
        <w:t>A is correct</w:t>
      </w:r>
      <w:r w:rsidR="001453E5">
        <w:rPr>
          <w:sz w:val="22"/>
          <w:szCs w:val="22"/>
        </w:rPr>
        <w:t>, but that statement alone is not dispositive</w:t>
      </w:r>
      <w:r w:rsidRPr="005616C4">
        <w:rPr>
          <w:sz w:val="22"/>
          <w:szCs w:val="22"/>
        </w:rPr>
        <w:t xml:space="preserve">.  </w:t>
      </w:r>
      <w:r w:rsidR="001453E5">
        <w:rPr>
          <w:sz w:val="22"/>
          <w:szCs w:val="22"/>
        </w:rPr>
        <w:t>T</w:t>
      </w:r>
      <w:r w:rsidRPr="005616C4">
        <w:rPr>
          <w:sz w:val="22"/>
          <w:szCs w:val="22"/>
        </w:rPr>
        <w:t xml:space="preserve">he Commission chose to evaluate these types of </w:t>
      </w:r>
      <w:r w:rsidRPr="00BB356A">
        <w:rPr>
          <w:sz w:val="22"/>
          <w:szCs w:val="22"/>
        </w:rPr>
        <w:t>situations on a case-by-case basis, as we do here.  Somewhat counterintuitively, RWA also highlights AT&amp;T’s ability to meet its Interim Construction Requirement for CMA317</w:t>
      </w:r>
      <w:r>
        <w:rPr>
          <w:rStyle w:val="FootnoteReference"/>
          <w:sz w:val="22"/>
          <w:szCs w:val="22"/>
        </w:rPr>
        <w:footnoteReference w:id="41"/>
      </w:r>
      <w:r w:rsidRPr="00BB356A">
        <w:rPr>
          <w:sz w:val="22"/>
          <w:szCs w:val="22"/>
        </w:rPr>
        <w:t xml:space="preserve"> and CMA187</w:t>
      </w:r>
      <w:r>
        <w:rPr>
          <w:rStyle w:val="FootnoteReference"/>
          <w:sz w:val="22"/>
          <w:szCs w:val="22"/>
        </w:rPr>
        <w:footnoteReference w:id="42"/>
      </w:r>
      <w:r w:rsidRPr="00BB356A">
        <w:rPr>
          <w:sz w:val="22"/>
          <w:szCs w:val="22"/>
        </w:rPr>
        <w:t xml:space="preserve"> to </w:t>
      </w:r>
      <w:r w:rsidRPr="005616C4">
        <w:rPr>
          <w:sz w:val="22"/>
          <w:szCs w:val="22"/>
        </w:rPr>
        <w:t>demonstrate that the 700 MHz rules are appropriate for Alaska and as evidence that we should not grant a waiver here</w:t>
      </w:r>
      <w:r w:rsidRPr="00BB356A">
        <w:rPr>
          <w:sz w:val="22"/>
          <w:szCs w:val="22"/>
        </w:rPr>
        <w:t>.</w:t>
      </w:r>
      <w:r>
        <w:rPr>
          <w:rStyle w:val="FootnoteReference"/>
          <w:sz w:val="22"/>
          <w:szCs w:val="22"/>
        </w:rPr>
        <w:footnoteReference w:id="43"/>
      </w:r>
      <w:r w:rsidRPr="00BB356A">
        <w:rPr>
          <w:sz w:val="22"/>
          <w:szCs w:val="22"/>
        </w:rPr>
        <w:t xml:space="preserve">  This argument in fact demonstrates that AT&amp;T is not seeking a </w:t>
      </w:r>
      <w:r w:rsidRPr="005616C4">
        <w:rPr>
          <w:sz w:val="22"/>
          <w:szCs w:val="22"/>
        </w:rPr>
        <w:t xml:space="preserve">reworking of the rules for the entire State of Alaska, and has only sought waiver where the unique circumstances justify.  </w:t>
      </w:r>
    </w:p>
    <w:p w:rsidR="00C515E3" w:rsidRPr="005616C4" w:rsidP="005616C4">
      <w:pPr>
        <w:autoSpaceDE w:val="0"/>
        <w:autoSpaceDN w:val="0"/>
        <w:adjustRightInd w:val="0"/>
        <w:ind w:firstLine="720"/>
        <w:rPr>
          <w:sz w:val="22"/>
          <w:szCs w:val="22"/>
        </w:rPr>
      </w:pPr>
    </w:p>
    <w:p w:rsidR="0030115D" w:rsidRPr="005616C4" w:rsidP="005616C4">
      <w:pPr>
        <w:autoSpaceDE w:val="0"/>
        <w:autoSpaceDN w:val="0"/>
        <w:adjustRightInd w:val="0"/>
        <w:ind w:firstLine="720"/>
        <w:rPr>
          <w:sz w:val="22"/>
          <w:szCs w:val="22"/>
        </w:rPr>
      </w:pPr>
      <w:r w:rsidRPr="005616C4">
        <w:rPr>
          <w:sz w:val="22"/>
          <w:szCs w:val="22"/>
        </w:rPr>
        <w:t>RWA also claims that AT&amp;T fails to demonstrate</w:t>
      </w:r>
      <w:r w:rsidRPr="005616C4" w:rsidR="000C754F">
        <w:rPr>
          <w:sz w:val="22"/>
          <w:szCs w:val="22"/>
        </w:rPr>
        <w:t xml:space="preserve"> </w:t>
      </w:r>
      <w:r w:rsidRPr="005616C4">
        <w:rPr>
          <w:sz w:val="22"/>
          <w:szCs w:val="22"/>
        </w:rPr>
        <w:t>that “the</w:t>
      </w:r>
      <w:r w:rsidRPr="005616C4" w:rsidR="000C754F">
        <w:rPr>
          <w:sz w:val="22"/>
          <w:szCs w:val="22"/>
        </w:rPr>
        <w:t xml:space="preserve"> uniqueness of Alaska had anything to do with AT&amp;T’s failure to meet its interim buildout obligation in CMA316</w:t>
      </w:r>
      <w:r w:rsidRPr="00BB356A">
        <w:rPr>
          <w:sz w:val="22"/>
          <w:szCs w:val="22"/>
        </w:rPr>
        <w:t>” and that its</w:t>
      </w:r>
      <w:r w:rsidRPr="00BB356A" w:rsidR="000C754F">
        <w:rPr>
          <w:sz w:val="22"/>
          <w:szCs w:val="22"/>
        </w:rPr>
        <w:t xml:space="preserve"> failure </w:t>
      </w:r>
      <w:r w:rsidRPr="00BB356A">
        <w:rPr>
          <w:sz w:val="22"/>
          <w:szCs w:val="22"/>
        </w:rPr>
        <w:t>“</w:t>
      </w:r>
      <w:r w:rsidRPr="00BB356A" w:rsidR="000C754F">
        <w:rPr>
          <w:sz w:val="22"/>
          <w:szCs w:val="22"/>
        </w:rPr>
        <w:t>by its own admission was attributable entirely to the fact that it incorrectly calculated its existing coverage by failing to include all native lands in its coverage calculations as the rules require it to do.</w:t>
      </w:r>
      <w:r w:rsidRPr="00BB356A">
        <w:rPr>
          <w:sz w:val="22"/>
          <w:szCs w:val="22"/>
        </w:rPr>
        <w:t>”</w:t>
      </w:r>
      <w:r>
        <w:rPr>
          <w:rStyle w:val="FootnoteReference"/>
          <w:sz w:val="22"/>
          <w:szCs w:val="22"/>
        </w:rPr>
        <w:footnoteReference w:id="44"/>
      </w:r>
      <w:r w:rsidRPr="00BB356A">
        <w:rPr>
          <w:sz w:val="22"/>
          <w:szCs w:val="22"/>
        </w:rPr>
        <w:t xml:space="preserve">  We disagree </w:t>
      </w:r>
      <w:r w:rsidRPr="005616C4" w:rsidR="00D70279">
        <w:rPr>
          <w:sz w:val="22"/>
          <w:szCs w:val="22"/>
        </w:rPr>
        <w:t>with RWA’s assessment.  Rather, we</w:t>
      </w:r>
      <w:r w:rsidRPr="005616C4">
        <w:rPr>
          <w:sz w:val="22"/>
          <w:szCs w:val="22"/>
        </w:rPr>
        <w:t xml:space="preserve"> are persuaded by</w:t>
      </w:r>
      <w:r w:rsidRPr="005616C4" w:rsidR="00D70279">
        <w:rPr>
          <w:sz w:val="22"/>
          <w:szCs w:val="22"/>
        </w:rPr>
        <w:t xml:space="preserve"> AT&amp;T and ASTAC’s descriptions</w:t>
      </w:r>
      <w:r w:rsidRPr="005616C4">
        <w:rPr>
          <w:sz w:val="22"/>
          <w:szCs w:val="22"/>
        </w:rPr>
        <w:t xml:space="preserve"> </w:t>
      </w:r>
      <w:r w:rsidRPr="005616C4" w:rsidR="00D70279">
        <w:rPr>
          <w:sz w:val="22"/>
          <w:szCs w:val="22"/>
        </w:rPr>
        <w:t xml:space="preserve">of </w:t>
      </w:r>
      <w:r w:rsidRPr="005616C4">
        <w:rPr>
          <w:sz w:val="22"/>
          <w:szCs w:val="22"/>
        </w:rPr>
        <w:t>Alaska’s unique characteristics</w:t>
      </w:r>
      <w:r w:rsidRPr="005616C4" w:rsidR="00F90147">
        <w:rPr>
          <w:sz w:val="22"/>
          <w:szCs w:val="22"/>
        </w:rPr>
        <w:t xml:space="preserve"> and agree with AT&amp;T that the many unique circumstances attendant to serving CMA316, including its vast size, lack of infrastructure, its sparse population distribution, and difficult geographic and weather conditions, make it impracticable to meet the applicable geographic construction requirements.</w:t>
      </w:r>
      <w:r>
        <w:rPr>
          <w:rStyle w:val="FootnoteReference"/>
          <w:sz w:val="22"/>
          <w:szCs w:val="22"/>
        </w:rPr>
        <w:footnoteReference w:id="45"/>
      </w:r>
      <w:r w:rsidRPr="00BB356A" w:rsidR="00002D65">
        <w:rPr>
          <w:sz w:val="22"/>
          <w:szCs w:val="22"/>
        </w:rPr>
        <w:t xml:space="preserve">  </w:t>
      </w:r>
      <w:r w:rsidRPr="00BB356A" w:rsidR="00B87AFA">
        <w:rPr>
          <w:sz w:val="22"/>
          <w:szCs w:val="22"/>
        </w:rPr>
        <w:t>T</w:t>
      </w:r>
      <w:r w:rsidRPr="00BB356A" w:rsidR="00002D65">
        <w:rPr>
          <w:sz w:val="22"/>
          <w:szCs w:val="22"/>
        </w:rPr>
        <w:t>hat AT&amp;T at one point believed it could overcome these challenges to meet the interim requirement does not negate th</w:t>
      </w:r>
      <w:r w:rsidRPr="005616C4" w:rsidR="008043AF">
        <w:rPr>
          <w:sz w:val="22"/>
          <w:szCs w:val="22"/>
        </w:rPr>
        <w:t>is</w:t>
      </w:r>
      <w:r w:rsidRPr="005616C4" w:rsidR="00B87AFA">
        <w:rPr>
          <w:sz w:val="22"/>
          <w:szCs w:val="22"/>
        </w:rPr>
        <w:t xml:space="preserve"> fact.</w:t>
      </w:r>
    </w:p>
    <w:p w:rsidR="0030115D" w:rsidRPr="005616C4" w:rsidP="005616C4">
      <w:pPr>
        <w:autoSpaceDE w:val="0"/>
        <w:autoSpaceDN w:val="0"/>
        <w:adjustRightInd w:val="0"/>
        <w:ind w:firstLine="720"/>
        <w:rPr>
          <w:sz w:val="22"/>
          <w:szCs w:val="22"/>
        </w:rPr>
      </w:pPr>
    </w:p>
    <w:p w:rsidR="0030115D" w:rsidRPr="00BB356A" w:rsidP="005616C4">
      <w:pPr>
        <w:autoSpaceDE w:val="0"/>
        <w:autoSpaceDN w:val="0"/>
        <w:adjustRightInd w:val="0"/>
        <w:ind w:firstLine="720"/>
        <w:rPr>
          <w:sz w:val="22"/>
          <w:szCs w:val="22"/>
        </w:rPr>
      </w:pPr>
      <w:r w:rsidRPr="005616C4">
        <w:rPr>
          <w:sz w:val="22"/>
          <w:szCs w:val="22"/>
        </w:rPr>
        <w:t>As the Commission has previously stated, “Alaska is indeed unique among other markets in the 700 MHz band.  The challenges of bringing widespread service to Alaska are not present in any other state to the same degree.”</w:t>
      </w:r>
      <w:r>
        <w:rPr>
          <w:rStyle w:val="FootnoteReference"/>
          <w:sz w:val="22"/>
          <w:szCs w:val="22"/>
        </w:rPr>
        <w:footnoteReference w:id="46"/>
      </w:r>
      <w:r w:rsidRPr="00BB356A">
        <w:rPr>
          <w:sz w:val="22"/>
          <w:szCs w:val="22"/>
        </w:rPr>
        <w:t xml:space="preserve">  The License area’s</w:t>
      </w:r>
      <w:r w:rsidRPr="00BB356A" w:rsidR="00F90147">
        <w:rPr>
          <w:sz w:val="22"/>
          <w:szCs w:val="22"/>
        </w:rPr>
        <w:t xml:space="preserve"> </w:t>
      </w:r>
      <w:r w:rsidRPr="00BB356A" w:rsidR="00D70279">
        <w:rPr>
          <w:sz w:val="22"/>
          <w:szCs w:val="22"/>
        </w:rPr>
        <w:t xml:space="preserve">“harsh terrain and severe weather” </w:t>
      </w:r>
      <w:r w:rsidR="00D8114E">
        <w:rPr>
          <w:sz w:val="22"/>
          <w:szCs w:val="22"/>
        </w:rPr>
        <w:t>create</w:t>
      </w:r>
      <w:r w:rsidRPr="00BB356A" w:rsidR="00D8114E">
        <w:rPr>
          <w:sz w:val="22"/>
          <w:szCs w:val="22"/>
        </w:rPr>
        <w:t xml:space="preserve"> </w:t>
      </w:r>
      <w:r w:rsidRPr="00BB356A" w:rsidR="00D70279">
        <w:rPr>
          <w:sz w:val="22"/>
          <w:szCs w:val="22"/>
        </w:rPr>
        <w:t xml:space="preserve">unique challenges to </w:t>
      </w:r>
      <w:r w:rsidRPr="005616C4" w:rsidR="00C74D72">
        <w:rPr>
          <w:sz w:val="22"/>
          <w:szCs w:val="22"/>
        </w:rPr>
        <w:t>“</w:t>
      </w:r>
      <w:r w:rsidRPr="005616C4" w:rsidR="00D70279">
        <w:rPr>
          <w:sz w:val="22"/>
          <w:szCs w:val="22"/>
        </w:rPr>
        <w:t>constructing a wireless network</w:t>
      </w:r>
      <w:r w:rsidRPr="005616C4" w:rsidR="00C74D72">
        <w:rPr>
          <w:sz w:val="22"/>
          <w:szCs w:val="22"/>
        </w:rPr>
        <w:t xml:space="preserve"> to serve some of the most sparsely populated areas of the country.”</w:t>
      </w:r>
      <w:r>
        <w:rPr>
          <w:rStyle w:val="FootnoteReference"/>
          <w:sz w:val="22"/>
          <w:szCs w:val="22"/>
        </w:rPr>
        <w:footnoteReference w:id="47"/>
      </w:r>
      <w:r w:rsidRPr="00BB356A" w:rsidR="00216CAE">
        <w:rPr>
          <w:sz w:val="22"/>
          <w:szCs w:val="22"/>
        </w:rPr>
        <w:t xml:space="preserve">  </w:t>
      </w:r>
      <w:r w:rsidRPr="00BB356A" w:rsidR="00E9505F">
        <w:rPr>
          <w:sz w:val="22"/>
          <w:szCs w:val="22"/>
        </w:rPr>
        <w:t>Covering more than 232,811 square miles,</w:t>
      </w:r>
      <w:r>
        <w:rPr>
          <w:rStyle w:val="FootnoteReference"/>
          <w:sz w:val="22"/>
          <w:szCs w:val="22"/>
        </w:rPr>
        <w:footnoteReference w:id="48"/>
      </w:r>
      <w:r w:rsidRPr="00BB356A" w:rsidR="00E9505F">
        <w:rPr>
          <w:sz w:val="22"/>
          <w:szCs w:val="22"/>
        </w:rPr>
        <w:t xml:space="preserve"> </w:t>
      </w:r>
      <w:r w:rsidRPr="00BB356A" w:rsidR="00323D39">
        <w:rPr>
          <w:sz w:val="22"/>
          <w:szCs w:val="22"/>
        </w:rPr>
        <w:t>CMA316 “is a massive, remote area with few or no roads (and thus can only be reached by aircraft or snowmobile) or communities and with minimal demand for service.”</w:t>
      </w:r>
      <w:r>
        <w:rPr>
          <w:rStyle w:val="FootnoteReference"/>
          <w:sz w:val="22"/>
          <w:szCs w:val="22"/>
        </w:rPr>
        <w:footnoteReference w:id="49"/>
      </w:r>
      <w:r w:rsidRPr="00BB356A" w:rsidR="00323D39">
        <w:rPr>
          <w:sz w:val="22"/>
          <w:szCs w:val="22"/>
        </w:rPr>
        <w:t xml:space="preserve">  </w:t>
      </w:r>
      <w:r w:rsidRPr="00BB356A" w:rsidR="00C67946">
        <w:rPr>
          <w:sz w:val="22"/>
          <w:szCs w:val="22"/>
        </w:rPr>
        <w:t xml:space="preserve">Much of the License area consists of glaciers and mountains, </w:t>
      </w:r>
      <w:r w:rsidR="000A620B">
        <w:rPr>
          <w:sz w:val="22"/>
          <w:szCs w:val="22"/>
        </w:rPr>
        <w:t xml:space="preserve">and it includes </w:t>
      </w:r>
      <w:r w:rsidRPr="00BB356A" w:rsidR="00C67946">
        <w:rPr>
          <w:sz w:val="22"/>
          <w:szCs w:val="22"/>
        </w:rPr>
        <w:t>the Aleutian Islands</w:t>
      </w:r>
      <w:r w:rsidR="000A620B">
        <w:rPr>
          <w:sz w:val="22"/>
          <w:szCs w:val="22"/>
        </w:rPr>
        <w:t>, which</w:t>
      </w:r>
      <w:r w:rsidRPr="00BB356A" w:rsidR="00C67946">
        <w:rPr>
          <w:sz w:val="22"/>
          <w:szCs w:val="22"/>
        </w:rPr>
        <w:t xml:space="preserve"> occupy 6,821 square miles</w:t>
      </w:r>
      <w:r w:rsidR="000A620B">
        <w:rPr>
          <w:sz w:val="22"/>
          <w:szCs w:val="22"/>
        </w:rPr>
        <w:t xml:space="preserve"> and </w:t>
      </w:r>
      <w:r w:rsidRPr="00BB356A" w:rsidR="000A620B">
        <w:rPr>
          <w:sz w:val="22"/>
          <w:szCs w:val="22"/>
        </w:rPr>
        <w:t xml:space="preserve">extend into </w:t>
      </w:r>
      <w:r w:rsidRPr="005616C4" w:rsidR="000A620B">
        <w:rPr>
          <w:sz w:val="22"/>
          <w:szCs w:val="22"/>
        </w:rPr>
        <w:t>the Pacific Ocean for about 1,100 miles</w:t>
      </w:r>
      <w:r w:rsidRPr="00BB356A" w:rsidR="00C67946">
        <w:rPr>
          <w:sz w:val="22"/>
          <w:szCs w:val="22"/>
        </w:rPr>
        <w:t>.</w:t>
      </w:r>
      <w:r>
        <w:rPr>
          <w:rStyle w:val="FootnoteReference"/>
          <w:sz w:val="22"/>
          <w:szCs w:val="22"/>
        </w:rPr>
        <w:footnoteReference w:id="50"/>
      </w:r>
      <w:r w:rsidRPr="00BB356A" w:rsidR="00C67946">
        <w:rPr>
          <w:sz w:val="22"/>
          <w:szCs w:val="22"/>
        </w:rPr>
        <w:t xml:space="preserve">  </w:t>
      </w:r>
      <w:r w:rsidRPr="00BB356A" w:rsidR="00323D39">
        <w:rPr>
          <w:sz w:val="22"/>
          <w:szCs w:val="22"/>
        </w:rPr>
        <w:t>In addition, a</w:t>
      </w:r>
      <w:r w:rsidRPr="00BB356A" w:rsidR="00216CAE">
        <w:rPr>
          <w:sz w:val="22"/>
          <w:szCs w:val="22"/>
        </w:rPr>
        <w:t xml:space="preserve">s AT&amp;T notes, in the </w:t>
      </w:r>
      <w:r w:rsidRPr="00BB356A" w:rsidR="00216CAE">
        <w:rPr>
          <w:i/>
          <w:sz w:val="22"/>
          <w:szCs w:val="22"/>
        </w:rPr>
        <w:t>Alaska Plan</w:t>
      </w:r>
      <w:r w:rsidRPr="005616C4" w:rsidR="00216CAE">
        <w:rPr>
          <w:sz w:val="22"/>
          <w:szCs w:val="22"/>
        </w:rPr>
        <w:t>, the Commission found that carriers in Alaska face unique conditions due to “its remoteness, lack of roads, challenges and costs associated with transporting fuel, lack of scalability per community, satellite and backhaul availability, extreme weather conditions, challenging topography, and short construction season.”</w:t>
      </w:r>
      <w:r>
        <w:rPr>
          <w:sz w:val="22"/>
          <w:szCs w:val="22"/>
          <w:vertAlign w:val="superscript"/>
        </w:rPr>
        <w:footnoteReference w:id="51"/>
      </w:r>
      <w:r w:rsidRPr="00BB356A" w:rsidR="00216CAE">
        <w:rPr>
          <w:sz w:val="22"/>
          <w:szCs w:val="22"/>
        </w:rPr>
        <w:t xml:space="preserve">  </w:t>
      </w:r>
    </w:p>
    <w:p w:rsidR="0030115D" w:rsidRPr="005616C4" w:rsidP="005616C4">
      <w:pPr>
        <w:autoSpaceDE w:val="0"/>
        <w:autoSpaceDN w:val="0"/>
        <w:adjustRightInd w:val="0"/>
        <w:ind w:firstLine="720"/>
        <w:rPr>
          <w:sz w:val="22"/>
          <w:szCs w:val="22"/>
        </w:rPr>
      </w:pPr>
    </w:p>
    <w:p w:rsidR="0030115D" w:rsidRPr="00BB356A" w:rsidP="005616C4">
      <w:pPr>
        <w:autoSpaceDE w:val="0"/>
        <w:autoSpaceDN w:val="0"/>
        <w:adjustRightInd w:val="0"/>
        <w:ind w:firstLine="720"/>
        <w:rPr>
          <w:sz w:val="22"/>
          <w:szCs w:val="22"/>
        </w:rPr>
      </w:pPr>
      <w:r w:rsidRPr="005616C4">
        <w:rPr>
          <w:sz w:val="22"/>
          <w:szCs w:val="22"/>
        </w:rPr>
        <w:t>Alaska is the largest state by area, yet has the lowest population density of any state.</w:t>
      </w:r>
      <w:r>
        <w:rPr>
          <w:rStyle w:val="FootnoteReference"/>
          <w:sz w:val="22"/>
          <w:szCs w:val="22"/>
        </w:rPr>
        <w:footnoteReference w:id="52"/>
      </w:r>
      <w:r w:rsidRPr="00BB356A">
        <w:rPr>
          <w:sz w:val="22"/>
          <w:szCs w:val="22"/>
        </w:rPr>
        <w:t xml:space="preserve">  CMA316</w:t>
      </w:r>
      <w:r w:rsidRPr="00BB356A" w:rsidR="00200857">
        <w:rPr>
          <w:sz w:val="22"/>
          <w:szCs w:val="22"/>
        </w:rPr>
        <w:t xml:space="preserve"> itself</w:t>
      </w:r>
      <w:r w:rsidRPr="005616C4">
        <w:rPr>
          <w:sz w:val="22"/>
          <w:szCs w:val="22"/>
        </w:rPr>
        <w:t xml:space="preserve"> </w:t>
      </w:r>
      <w:r w:rsidRPr="005616C4" w:rsidR="00E9505F">
        <w:rPr>
          <w:sz w:val="22"/>
          <w:szCs w:val="22"/>
        </w:rPr>
        <w:t>covers an</w:t>
      </w:r>
      <w:r w:rsidRPr="005616C4">
        <w:rPr>
          <w:sz w:val="22"/>
          <w:szCs w:val="22"/>
        </w:rPr>
        <w:t xml:space="preserve"> area </w:t>
      </w:r>
      <w:r w:rsidRPr="005616C4" w:rsidR="008D6BB6">
        <w:rPr>
          <w:sz w:val="22"/>
          <w:szCs w:val="22"/>
        </w:rPr>
        <w:t xml:space="preserve">30 </w:t>
      </w:r>
      <w:r w:rsidRPr="005616C4">
        <w:rPr>
          <w:sz w:val="22"/>
          <w:szCs w:val="22"/>
        </w:rPr>
        <w:t xml:space="preserve">percent larger than California, with less than .5 percent of </w:t>
      </w:r>
      <w:r w:rsidR="00D8114E">
        <w:rPr>
          <w:sz w:val="22"/>
          <w:szCs w:val="22"/>
        </w:rPr>
        <w:t>the latter’s</w:t>
      </w:r>
      <w:r w:rsidRPr="005616C4" w:rsidR="00D8114E">
        <w:rPr>
          <w:sz w:val="22"/>
          <w:szCs w:val="22"/>
        </w:rPr>
        <w:t xml:space="preserve"> </w:t>
      </w:r>
      <w:r w:rsidRPr="005616C4">
        <w:rPr>
          <w:sz w:val="22"/>
          <w:szCs w:val="22"/>
        </w:rPr>
        <w:t>population.</w:t>
      </w:r>
      <w:r>
        <w:rPr>
          <w:rStyle w:val="FootnoteReference"/>
          <w:sz w:val="22"/>
          <w:szCs w:val="22"/>
        </w:rPr>
        <w:footnoteReference w:id="53"/>
      </w:r>
      <w:r w:rsidRPr="00BB356A">
        <w:rPr>
          <w:sz w:val="22"/>
          <w:szCs w:val="22"/>
        </w:rPr>
        <w:t xml:space="preserve">  It is closest in size to Texas, </w:t>
      </w:r>
      <w:r w:rsidRPr="00BB356A" w:rsidR="00737BCF">
        <w:rPr>
          <w:sz w:val="22"/>
          <w:szCs w:val="22"/>
        </w:rPr>
        <w:t xml:space="preserve">also </w:t>
      </w:r>
      <w:r w:rsidRPr="00BB356A">
        <w:rPr>
          <w:sz w:val="22"/>
          <w:szCs w:val="22"/>
        </w:rPr>
        <w:t xml:space="preserve">with less than </w:t>
      </w:r>
      <w:r w:rsidRPr="00BB356A" w:rsidR="00737BCF">
        <w:rPr>
          <w:sz w:val="22"/>
          <w:szCs w:val="22"/>
        </w:rPr>
        <w:t>.5</w:t>
      </w:r>
      <w:r w:rsidRPr="005616C4">
        <w:rPr>
          <w:sz w:val="22"/>
          <w:szCs w:val="22"/>
        </w:rPr>
        <w:t xml:space="preserve"> percent of its population.</w:t>
      </w:r>
      <w:r>
        <w:rPr>
          <w:rStyle w:val="FootnoteReference"/>
          <w:sz w:val="22"/>
          <w:szCs w:val="22"/>
        </w:rPr>
        <w:footnoteReference w:id="54"/>
      </w:r>
      <w:r w:rsidRPr="00BB356A">
        <w:rPr>
          <w:sz w:val="22"/>
          <w:szCs w:val="22"/>
        </w:rPr>
        <w:t xml:space="preserve">  The Commission defines a “rural” county as one with a population density of 100 persons per square mile or less</w:t>
      </w:r>
      <w:r w:rsidRPr="00BB356A" w:rsidR="00BF2471">
        <w:rPr>
          <w:sz w:val="22"/>
          <w:szCs w:val="22"/>
        </w:rPr>
        <w:t>;</w:t>
      </w:r>
      <w:r>
        <w:rPr>
          <w:rStyle w:val="FootnoteReference"/>
          <w:sz w:val="22"/>
          <w:szCs w:val="22"/>
        </w:rPr>
        <w:footnoteReference w:id="55"/>
      </w:r>
      <w:r w:rsidRPr="00BB356A" w:rsidR="00BF2471">
        <w:rPr>
          <w:sz w:val="22"/>
          <w:szCs w:val="22"/>
        </w:rPr>
        <w:t xml:space="preserve"> a</w:t>
      </w:r>
      <w:r w:rsidRPr="00BB356A" w:rsidR="0020310D">
        <w:rPr>
          <w:sz w:val="22"/>
          <w:szCs w:val="22"/>
        </w:rPr>
        <w:t>ll 1</w:t>
      </w:r>
      <w:r w:rsidRPr="00BB356A" w:rsidR="00BF2471">
        <w:rPr>
          <w:sz w:val="22"/>
          <w:szCs w:val="22"/>
        </w:rPr>
        <w:t>0</w:t>
      </w:r>
      <w:r w:rsidRPr="00BB356A" w:rsidR="0020310D">
        <w:rPr>
          <w:sz w:val="22"/>
          <w:szCs w:val="22"/>
        </w:rPr>
        <w:t xml:space="preserve"> of the</w:t>
      </w:r>
      <w:r w:rsidRPr="005616C4" w:rsidR="00BF2471">
        <w:rPr>
          <w:sz w:val="22"/>
          <w:szCs w:val="22"/>
        </w:rPr>
        <w:t xml:space="preserve"> boroughs (the equivalent of counties) comprising CMA316 are rural.</w:t>
      </w:r>
      <w:r>
        <w:rPr>
          <w:rStyle w:val="FootnoteReference"/>
          <w:sz w:val="22"/>
          <w:szCs w:val="22"/>
        </w:rPr>
        <w:footnoteReference w:id="56"/>
      </w:r>
      <w:r w:rsidRPr="00BB356A" w:rsidR="0020310D">
        <w:rPr>
          <w:sz w:val="22"/>
          <w:szCs w:val="22"/>
        </w:rPr>
        <w:t xml:space="preserve"> </w:t>
      </w:r>
      <w:r w:rsidRPr="00BB356A" w:rsidR="00BF2471">
        <w:rPr>
          <w:sz w:val="22"/>
          <w:szCs w:val="22"/>
        </w:rPr>
        <w:t xml:space="preserve"> </w:t>
      </w:r>
      <w:r w:rsidRPr="00BB356A" w:rsidR="005B239F">
        <w:rPr>
          <w:sz w:val="22"/>
          <w:szCs w:val="22"/>
        </w:rPr>
        <w:t xml:space="preserve">In fact, </w:t>
      </w:r>
      <w:r w:rsidRPr="00BB356A" w:rsidR="00EA4BCB">
        <w:rPr>
          <w:sz w:val="22"/>
          <w:szCs w:val="22"/>
        </w:rPr>
        <w:t xml:space="preserve">CMA316 has an average population density of one </w:t>
      </w:r>
      <w:r w:rsidRPr="005616C4" w:rsidR="00EA4BCB">
        <w:rPr>
          <w:sz w:val="22"/>
          <w:szCs w:val="22"/>
        </w:rPr>
        <w:t>person per square mile, with f</w:t>
      </w:r>
      <w:r w:rsidRPr="005616C4" w:rsidR="00BF2471">
        <w:rPr>
          <w:sz w:val="22"/>
          <w:szCs w:val="22"/>
        </w:rPr>
        <w:t>ive</w:t>
      </w:r>
      <w:r w:rsidRPr="005616C4">
        <w:rPr>
          <w:sz w:val="22"/>
          <w:szCs w:val="22"/>
        </w:rPr>
        <w:t xml:space="preserve"> of the</w:t>
      </w:r>
      <w:r w:rsidRPr="005616C4" w:rsidR="00BF2471">
        <w:rPr>
          <w:sz w:val="22"/>
          <w:szCs w:val="22"/>
        </w:rPr>
        <w:t xml:space="preserve"> 10</w:t>
      </w:r>
      <w:r w:rsidRPr="005616C4">
        <w:rPr>
          <w:sz w:val="22"/>
          <w:szCs w:val="22"/>
        </w:rPr>
        <w:t xml:space="preserve"> boroughs h</w:t>
      </w:r>
      <w:r w:rsidRPr="005616C4" w:rsidR="00EA4BCB">
        <w:rPr>
          <w:sz w:val="22"/>
          <w:szCs w:val="22"/>
        </w:rPr>
        <w:t>aving</w:t>
      </w:r>
      <w:r w:rsidRPr="005616C4">
        <w:rPr>
          <w:sz w:val="22"/>
          <w:szCs w:val="22"/>
        </w:rPr>
        <w:t xml:space="preserve"> a population density of less tha</w:t>
      </w:r>
      <w:r w:rsidRPr="005616C4" w:rsidR="00EA4BCB">
        <w:rPr>
          <w:sz w:val="22"/>
          <w:szCs w:val="22"/>
        </w:rPr>
        <w:t>n half a person per square mile, and</w:t>
      </w:r>
      <w:r w:rsidRPr="005616C4">
        <w:rPr>
          <w:sz w:val="22"/>
          <w:szCs w:val="22"/>
        </w:rPr>
        <w:t xml:space="preserve"> the other </w:t>
      </w:r>
      <w:r w:rsidRPr="005616C4" w:rsidR="00BF2471">
        <w:rPr>
          <w:sz w:val="22"/>
          <w:szCs w:val="22"/>
        </w:rPr>
        <w:t>five hav</w:t>
      </w:r>
      <w:r w:rsidRPr="005616C4" w:rsidR="00EA4BCB">
        <w:rPr>
          <w:sz w:val="22"/>
          <w:szCs w:val="22"/>
        </w:rPr>
        <w:t>ing</w:t>
      </w:r>
      <w:r w:rsidRPr="005616C4">
        <w:rPr>
          <w:sz w:val="22"/>
          <w:szCs w:val="22"/>
        </w:rPr>
        <w:t xml:space="preserve"> a density of </w:t>
      </w:r>
      <w:r w:rsidRPr="005616C4" w:rsidR="00BF2471">
        <w:rPr>
          <w:sz w:val="22"/>
          <w:szCs w:val="22"/>
        </w:rPr>
        <w:t>less than four</w:t>
      </w:r>
      <w:r w:rsidRPr="005616C4">
        <w:rPr>
          <w:sz w:val="22"/>
          <w:szCs w:val="22"/>
        </w:rPr>
        <w:t xml:space="preserve"> persons per square mile.</w:t>
      </w:r>
      <w:r>
        <w:rPr>
          <w:rStyle w:val="FootnoteReference"/>
          <w:sz w:val="22"/>
          <w:szCs w:val="22"/>
        </w:rPr>
        <w:footnoteReference w:id="57"/>
      </w:r>
      <w:r w:rsidRPr="00BB356A">
        <w:rPr>
          <w:sz w:val="22"/>
          <w:szCs w:val="22"/>
        </w:rPr>
        <w:t xml:space="preserve"> </w:t>
      </w:r>
      <w:r w:rsidRPr="00BB356A" w:rsidR="00244BBE">
        <w:rPr>
          <w:sz w:val="22"/>
          <w:szCs w:val="22"/>
        </w:rPr>
        <w:t xml:space="preserve"> As AT&amp;T states, the “rural areas of Alaska are historically underserved.”</w:t>
      </w:r>
      <w:r>
        <w:rPr>
          <w:rStyle w:val="FootnoteReference"/>
          <w:sz w:val="22"/>
          <w:szCs w:val="22"/>
        </w:rPr>
        <w:footnoteReference w:id="58"/>
      </w:r>
      <w:r w:rsidRPr="00BB356A" w:rsidR="00244BBE">
        <w:rPr>
          <w:sz w:val="22"/>
          <w:szCs w:val="22"/>
        </w:rPr>
        <w:t xml:space="preserve">  </w:t>
      </w:r>
      <w:r w:rsidRPr="005616C4" w:rsidR="00B82814">
        <w:rPr>
          <w:sz w:val="22"/>
          <w:szCs w:val="22"/>
        </w:rPr>
        <w:t>“</w:t>
      </w:r>
      <w:r w:rsidRPr="005616C4" w:rsidR="00E5760A">
        <w:rPr>
          <w:sz w:val="22"/>
          <w:szCs w:val="22"/>
        </w:rPr>
        <w:t xml:space="preserve">Alaska ranks last in the United States for access to broadband service with a speed greater than 25 Mbps </w:t>
      </w:r>
      <w:r w:rsidRPr="005616C4" w:rsidR="00244BBE">
        <w:rPr>
          <w:sz w:val="22"/>
          <w:szCs w:val="22"/>
        </w:rPr>
        <w:t xml:space="preserve">and last among the states with download speeds greater than 3 Mbps combined with upload speeds of greater than 0.7 Mbps. </w:t>
      </w:r>
      <w:r w:rsidRPr="005616C4" w:rsidR="00E5760A">
        <w:rPr>
          <w:sz w:val="22"/>
          <w:szCs w:val="22"/>
        </w:rPr>
        <w:t xml:space="preserve"> Alaska</w:t>
      </w:r>
      <w:r w:rsidRPr="005616C4" w:rsidR="00244BBE">
        <w:rPr>
          <w:sz w:val="22"/>
          <w:szCs w:val="22"/>
        </w:rPr>
        <w:t xml:space="preserve"> also </w:t>
      </w:r>
      <w:r w:rsidRPr="005616C4" w:rsidR="00E5760A">
        <w:rPr>
          <w:sz w:val="22"/>
          <w:szCs w:val="22"/>
        </w:rPr>
        <w:t xml:space="preserve">is </w:t>
      </w:r>
      <w:r w:rsidRPr="005616C4" w:rsidR="00244BBE">
        <w:rPr>
          <w:sz w:val="22"/>
          <w:szCs w:val="22"/>
        </w:rPr>
        <w:t>49th of 50 states in terms of population served by no broadband service provider and by at least one broadband provider and 50th out of 50 states in terms of population served by at least two broadband providers.</w:t>
      </w:r>
      <w:r w:rsidRPr="005616C4" w:rsidR="00B82814">
        <w:rPr>
          <w:sz w:val="22"/>
          <w:szCs w:val="22"/>
        </w:rPr>
        <w:t>”</w:t>
      </w:r>
      <w:r>
        <w:rPr>
          <w:rStyle w:val="FootnoteReference"/>
          <w:sz w:val="22"/>
          <w:szCs w:val="22"/>
        </w:rPr>
        <w:footnoteReference w:id="59"/>
      </w:r>
    </w:p>
    <w:p w:rsidR="00081DC6" w:rsidRPr="005616C4" w:rsidP="005616C4">
      <w:pPr>
        <w:autoSpaceDE w:val="0"/>
        <w:autoSpaceDN w:val="0"/>
        <w:adjustRightInd w:val="0"/>
        <w:ind w:firstLine="720"/>
        <w:rPr>
          <w:sz w:val="22"/>
          <w:szCs w:val="22"/>
        </w:rPr>
      </w:pPr>
    </w:p>
    <w:p w:rsidR="00081DC6" w:rsidRPr="00BB356A" w:rsidP="005616C4">
      <w:pPr>
        <w:ind w:firstLine="720"/>
        <w:rPr>
          <w:sz w:val="22"/>
          <w:szCs w:val="22"/>
        </w:rPr>
      </w:pPr>
      <w:r w:rsidRPr="005616C4">
        <w:rPr>
          <w:sz w:val="22"/>
          <w:szCs w:val="22"/>
        </w:rPr>
        <w:t>In addition, t</w:t>
      </w:r>
      <w:r w:rsidRPr="005616C4">
        <w:rPr>
          <w:sz w:val="22"/>
          <w:szCs w:val="22"/>
        </w:rPr>
        <w:t xml:space="preserve">he Commission, in the </w:t>
      </w:r>
      <w:r w:rsidRPr="005616C4">
        <w:rPr>
          <w:i/>
          <w:sz w:val="22"/>
          <w:szCs w:val="22"/>
        </w:rPr>
        <w:t>700 MHz Second Report and</w:t>
      </w:r>
      <w:r w:rsidRPr="005616C4">
        <w:rPr>
          <w:sz w:val="22"/>
          <w:szCs w:val="22"/>
        </w:rPr>
        <w:t xml:space="preserve"> </w:t>
      </w:r>
      <w:r w:rsidRPr="005616C4">
        <w:rPr>
          <w:i/>
          <w:sz w:val="22"/>
          <w:szCs w:val="22"/>
        </w:rPr>
        <w:t>Order,</w:t>
      </w:r>
      <w:r w:rsidRPr="005616C4">
        <w:rPr>
          <w:sz w:val="22"/>
          <w:szCs w:val="22"/>
        </w:rPr>
        <w:t xml:space="preserve"> emphasized that it was creating licenses in the Lower 700 MHz A and B Block “based on </w:t>
      </w:r>
      <w:r w:rsidRPr="005616C4">
        <w:rPr>
          <w:i/>
          <w:sz w:val="22"/>
          <w:szCs w:val="22"/>
        </w:rPr>
        <w:t>smaller geographic</w:t>
      </w:r>
      <w:r w:rsidRPr="005616C4">
        <w:rPr>
          <w:sz w:val="22"/>
          <w:szCs w:val="22"/>
        </w:rPr>
        <w:t xml:space="preserve"> </w:t>
      </w:r>
      <w:r w:rsidRPr="005616C4">
        <w:rPr>
          <w:i/>
          <w:sz w:val="22"/>
          <w:szCs w:val="22"/>
        </w:rPr>
        <w:t>service areas</w:t>
      </w:r>
      <w:r w:rsidRPr="005616C4">
        <w:rPr>
          <w:sz w:val="22"/>
          <w:szCs w:val="22"/>
        </w:rPr>
        <w:t xml:space="preserve">, which would be more readily available to providers that tend to serve rural consumers,” and that the “keep-what-you-serve” </w:t>
      </w:r>
      <w:r w:rsidR="001453E5">
        <w:rPr>
          <w:sz w:val="22"/>
          <w:szCs w:val="22"/>
        </w:rPr>
        <w:t xml:space="preserve">approach </w:t>
      </w:r>
      <w:r w:rsidRPr="005616C4">
        <w:rPr>
          <w:sz w:val="22"/>
          <w:szCs w:val="22"/>
        </w:rPr>
        <w:t>allowed for the creation of even smaller areas.</w:t>
      </w:r>
      <w:r>
        <w:rPr>
          <w:rStyle w:val="FootnoteReference"/>
          <w:sz w:val="22"/>
          <w:szCs w:val="22"/>
        </w:rPr>
        <w:footnoteReference w:id="60"/>
      </w:r>
      <w:r w:rsidRPr="00BB356A">
        <w:rPr>
          <w:sz w:val="22"/>
          <w:szCs w:val="22"/>
        </w:rPr>
        <w:t xml:space="preserve">  Commission records show that the average size of a CMA in the United States is approximately 5,526 square miles, while the average size of a REAG is about 337,993 square miles.</w:t>
      </w:r>
      <w:r>
        <w:rPr>
          <w:rStyle w:val="FootnoteReference"/>
          <w:sz w:val="22"/>
          <w:szCs w:val="22"/>
        </w:rPr>
        <w:footnoteReference w:id="61"/>
      </w:r>
      <w:r w:rsidRPr="00BB356A">
        <w:rPr>
          <w:sz w:val="22"/>
          <w:szCs w:val="22"/>
        </w:rPr>
        <w:t xml:space="preserve">  </w:t>
      </w:r>
      <w:r w:rsidRPr="00BB356A" w:rsidR="00B45F62">
        <w:rPr>
          <w:sz w:val="22"/>
          <w:szCs w:val="22"/>
        </w:rPr>
        <w:t xml:space="preserve">At </w:t>
      </w:r>
      <w:r w:rsidRPr="00BB356A" w:rsidR="00221AA6">
        <w:rPr>
          <w:sz w:val="22"/>
          <w:szCs w:val="22"/>
        </w:rPr>
        <w:t xml:space="preserve">232,811 square miles, </w:t>
      </w:r>
      <w:r w:rsidRPr="005616C4" w:rsidR="00B52EC6">
        <w:rPr>
          <w:sz w:val="22"/>
          <w:szCs w:val="22"/>
        </w:rPr>
        <w:t>CMA316</w:t>
      </w:r>
      <w:r w:rsidRPr="005616C4" w:rsidR="00B45F62">
        <w:rPr>
          <w:sz w:val="22"/>
          <w:szCs w:val="22"/>
        </w:rPr>
        <w:t xml:space="preserve"> </w:t>
      </w:r>
      <w:r w:rsidRPr="005616C4">
        <w:rPr>
          <w:sz w:val="22"/>
          <w:szCs w:val="22"/>
        </w:rPr>
        <w:t>is la</w:t>
      </w:r>
      <w:r w:rsidRPr="005616C4" w:rsidR="007B7DBB">
        <w:rPr>
          <w:sz w:val="22"/>
          <w:szCs w:val="22"/>
        </w:rPr>
        <w:t xml:space="preserve">rger than </w:t>
      </w:r>
      <w:r w:rsidRPr="005616C4" w:rsidR="009C26AF">
        <w:rPr>
          <w:sz w:val="22"/>
          <w:szCs w:val="22"/>
        </w:rPr>
        <w:t>five</w:t>
      </w:r>
      <w:r w:rsidRPr="005616C4" w:rsidR="007B7DBB">
        <w:rPr>
          <w:sz w:val="22"/>
          <w:szCs w:val="22"/>
        </w:rPr>
        <w:t xml:space="preserve"> of the 12 </w:t>
      </w:r>
      <w:r w:rsidRPr="005616C4" w:rsidR="007B7DBB">
        <w:rPr>
          <w:sz w:val="22"/>
          <w:szCs w:val="22"/>
        </w:rPr>
        <w:t>REAGs</w:t>
      </w:r>
      <w:r w:rsidRPr="005616C4">
        <w:rPr>
          <w:sz w:val="22"/>
          <w:szCs w:val="22"/>
        </w:rPr>
        <w:t>.</w:t>
      </w:r>
      <w:r>
        <w:rPr>
          <w:rStyle w:val="FootnoteReference"/>
          <w:sz w:val="22"/>
          <w:szCs w:val="22"/>
        </w:rPr>
        <w:footnoteReference w:id="62"/>
      </w:r>
      <w:r w:rsidRPr="00BB356A">
        <w:rPr>
          <w:sz w:val="22"/>
          <w:szCs w:val="22"/>
        </w:rPr>
        <w:t xml:space="preserve">  </w:t>
      </w:r>
      <w:r w:rsidRPr="00BB356A" w:rsidR="00232CC5">
        <w:rPr>
          <w:sz w:val="22"/>
          <w:szCs w:val="22"/>
        </w:rPr>
        <w:t>Given the considerations identified here, we consider waiving the applicable buildout requirements with the specified conditions instead to lead to an outcome comparable to that wh</w:t>
      </w:r>
      <w:r w:rsidRPr="005616C4" w:rsidR="00232CC5">
        <w:rPr>
          <w:sz w:val="22"/>
          <w:szCs w:val="22"/>
        </w:rPr>
        <w:t xml:space="preserve">ich the Commission envisioned for </w:t>
      </w:r>
      <w:r w:rsidR="008C6773">
        <w:rPr>
          <w:sz w:val="22"/>
          <w:szCs w:val="22"/>
        </w:rPr>
        <w:t>REAGs</w:t>
      </w:r>
      <w:r w:rsidRPr="005616C4" w:rsidR="00232CC5">
        <w:rPr>
          <w:sz w:val="22"/>
          <w:szCs w:val="22"/>
        </w:rPr>
        <w:t>.</w:t>
      </w:r>
      <w:r>
        <w:rPr>
          <w:rStyle w:val="FootnoteReference"/>
          <w:sz w:val="22"/>
          <w:szCs w:val="22"/>
        </w:rPr>
        <w:footnoteReference w:id="63"/>
      </w:r>
    </w:p>
    <w:p w:rsidR="00081DC6" w:rsidRPr="00BB356A" w:rsidP="005616C4">
      <w:pPr>
        <w:autoSpaceDE w:val="0"/>
        <w:autoSpaceDN w:val="0"/>
        <w:adjustRightInd w:val="0"/>
        <w:ind w:firstLine="720"/>
        <w:rPr>
          <w:sz w:val="22"/>
          <w:szCs w:val="22"/>
        </w:rPr>
      </w:pPr>
    </w:p>
    <w:p w:rsidR="0030115D" w:rsidRPr="00BB356A" w:rsidP="005616C4">
      <w:pPr>
        <w:autoSpaceDE w:val="0"/>
        <w:autoSpaceDN w:val="0"/>
        <w:adjustRightInd w:val="0"/>
        <w:ind w:firstLine="720"/>
        <w:rPr>
          <w:sz w:val="22"/>
          <w:szCs w:val="22"/>
        </w:rPr>
      </w:pPr>
      <w:r w:rsidRPr="00BB356A">
        <w:rPr>
          <w:sz w:val="22"/>
          <w:szCs w:val="22"/>
        </w:rPr>
        <w:t xml:space="preserve">RWA also disputes AT&amp;T’s contentions that a waiver would serve the public interest because: </w:t>
      </w:r>
      <w:r w:rsidRPr="005616C4" w:rsidR="00B848F9">
        <w:rPr>
          <w:sz w:val="22"/>
          <w:szCs w:val="22"/>
        </w:rPr>
        <w:t>“</w:t>
      </w:r>
      <w:r w:rsidRPr="005616C4">
        <w:rPr>
          <w:sz w:val="22"/>
          <w:szCs w:val="22"/>
        </w:rPr>
        <w:t>(</w:t>
      </w:r>
      <w:r w:rsidRPr="005616C4">
        <w:rPr>
          <w:sz w:val="22"/>
          <w:szCs w:val="22"/>
        </w:rPr>
        <w:t>i</w:t>
      </w:r>
      <w:r w:rsidRPr="005616C4">
        <w:rPr>
          <w:sz w:val="22"/>
          <w:szCs w:val="22"/>
        </w:rPr>
        <w:t>) enf</w:t>
      </w:r>
      <w:r w:rsidRPr="005616C4" w:rsidR="00B848F9">
        <w:rPr>
          <w:sz w:val="22"/>
          <w:szCs w:val="22"/>
        </w:rPr>
        <w:t>orcement of the buildout rules ‘</w:t>
      </w:r>
      <w:r w:rsidRPr="005616C4">
        <w:rPr>
          <w:sz w:val="22"/>
          <w:szCs w:val="22"/>
        </w:rPr>
        <w:t xml:space="preserve">would merely delay broadband deployment </w:t>
      </w:r>
      <w:r w:rsidRPr="005616C4" w:rsidR="00B848F9">
        <w:rPr>
          <w:sz w:val="22"/>
          <w:szCs w:val="22"/>
        </w:rPr>
        <w:t>at least in the near future’;  (ii) ‘</w:t>
      </w:r>
      <w:r w:rsidRPr="005616C4">
        <w:rPr>
          <w:sz w:val="22"/>
          <w:szCs w:val="22"/>
        </w:rPr>
        <w:t>[o]</w:t>
      </w:r>
      <w:r w:rsidRPr="005616C4">
        <w:rPr>
          <w:sz w:val="22"/>
          <w:szCs w:val="22"/>
        </w:rPr>
        <w:t>ther</w:t>
      </w:r>
      <w:r w:rsidRPr="005616C4">
        <w:rPr>
          <w:sz w:val="22"/>
          <w:szCs w:val="22"/>
        </w:rPr>
        <w:t xml:space="preserve"> providers would not likely</w:t>
      </w:r>
      <w:r w:rsidRPr="005616C4" w:rsidR="00B848F9">
        <w:rPr>
          <w:sz w:val="22"/>
          <w:szCs w:val="22"/>
        </w:rPr>
        <w:t xml:space="preserve"> </w:t>
      </w:r>
      <w:r w:rsidRPr="005616C4">
        <w:rPr>
          <w:sz w:val="22"/>
          <w:szCs w:val="22"/>
        </w:rPr>
        <w:t>claim the unserved areas and provide service in these remotes</w:t>
      </w:r>
      <w:r w:rsidRPr="005616C4" w:rsidR="00B848F9">
        <w:rPr>
          <w:sz w:val="22"/>
          <w:szCs w:val="22"/>
        </w:rPr>
        <w:t>t and sparsely populated areas</w:t>
      </w:r>
      <w:r w:rsidR="005C0911">
        <w:rPr>
          <w:sz w:val="22"/>
          <w:szCs w:val="22"/>
        </w:rPr>
        <w:t>[,]</w:t>
      </w:r>
      <w:r w:rsidRPr="005616C4" w:rsidR="00B848F9">
        <w:rPr>
          <w:sz w:val="22"/>
          <w:szCs w:val="22"/>
        </w:rPr>
        <w:t xml:space="preserve">’ </w:t>
      </w:r>
      <w:r w:rsidRPr="005616C4">
        <w:rPr>
          <w:sz w:val="22"/>
          <w:szCs w:val="22"/>
        </w:rPr>
        <w:t>and</w:t>
      </w:r>
      <w:r w:rsidR="005C0911">
        <w:rPr>
          <w:sz w:val="22"/>
          <w:szCs w:val="22"/>
        </w:rPr>
        <w:t>[]</w:t>
      </w:r>
      <w:r w:rsidRPr="00BB356A" w:rsidR="00B848F9">
        <w:rPr>
          <w:sz w:val="22"/>
          <w:szCs w:val="22"/>
        </w:rPr>
        <w:t xml:space="preserve"> (iii) ‘</w:t>
      </w:r>
      <w:r w:rsidRPr="00BB356A">
        <w:rPr>
          <w:sz w:val="22"/>
          <w:szCs w:val="22"/>
        </w:rPr>
        <w:t>even if claimed, those new licensees would experience the same challenges as AT&amp;T and not likely meet their ge</w:t>
      </w:r>
      <w:r w:rsidRPr="00BB356A" w:rsidR="00B848F9">
        <w:rPr>
          <w:sz w:val="22"/>
          <w:szCs w:val="22"/>
        </w:rPr>
        <w:t>ographic coverage benchmarks.’”</w:t>
      </w:r>
      <w:r>
        <w:rPr>
          <w:rStyle w:val="FootnoteReference"/>
          <w:sz w:val="22"/>
          <w:szCs w:val="22"/>
        </w:rPr>
        <w:footnoteReference w:id="64"/>
      </w:r>
      <w:r w:rsidRPr="00BB356A">
        <w:rPr>
          <w:sz w:val="22"/>
          <w:szCs w:val="22"/>
        </w:rPr>
        <w:t xml:space="preserve"> </w:t>
      </w:r>
      <w:r w:rsidRPr="00BB356A" w:rsidR="002D2224">
        <w:rPr>
          <w:sz w:val="22"/>
          <w:szCs w:val="22"/>
        </w:rPr>
        <w:t xml:space="preserve"> Rather, RWA says, “[t]</w:t>
      </w:r>
      <w:r w:rsidRPr="005616C4">
        <w:rPr>
          <w:sz w:val="22"/>
          <w:szCs w:val="22"/>
        </w:rPr>
        <w:t>hese</w:t>
      </w:r>
      <w:r w:rsidRPr="005616C4">
        <w:rPr>
          <w:sz w:val="22"/>
          <w:szCs w:val="22"/>
        </w:rPr>
        <w:t xml:space="preserve"> assertions are unsupported, purely speculative and are contrary to the facts and the law.</w:t>
      </w:r>
      <w:r w:rsidRPr="005616C4" w:rsidR="002D2224">
        <w:rPr>
          <w:sz w:val="22"/>
          <w:szCs w:val="22"/>
        </w:rPr>
        <w:t>”</w:t>
      </w:r>
      <w:r>
        <w:rPr>
          <w:rStyle w:val="FootnoteReference"/>
          <w:sz w:val="22"/>
          <w:szCs w:val="22"/>
        </w:rPr>
        <w:footnoteReference w:id="65"/>
      </w:r>
      <w:r w:rsidRPr="00BB356A" w:rsidR="00E208CB">
        <w:rPr>
          <w:sz w:val="22"/>
          <w:szCs w:val="22"/>
        </w:rPr>
        <w:t xml:space="preserve">  </w:t>
      </w:r>
      <w:r w:rsidRPr="00BB356A" w:rsidR="00E208CB">
        <w:rPr>
          <w:sz w:val="22"/>
          <w:szCs w:val="22"/>
        </w:rPr>
        <w:t>As support for its conclusion, RWA points to the fact that AT&amp;T “</w:t>
      </w:r>
      <w:r w:rsidRPr="00BB356A">
        <w:rPr>
          <w:sz w:val="22"/>
          <w:szCs w:val="22"/>
        </w:rPr>
        <w:t>currently has in place or has applications pending for spectrum leases that it has entered into with two unaffiliated service providers who are willing and able to provide services in CMA316</w:t>
      </w:r>
      <w:r w:rsidRPr="005616C4" w:rsidR="00E208CB">
        <w:rPr>
          <w:sz w:val="22"/>
          <w:szCs w:val="22"/>
        </w:rPr>
        <w:t>” and</w:t>
      </w:r>
      <w:r w:rsidRPr="005616C4">
        <w:rPr>
          <w:sz w:val="22"/>
          <w:szCs w:val="22"/>
        </w:rPr>
        <w:t xml:space="preserve"> </w:t>
      </w:r>
      <w:r w:rsidRPr="005616C4" w:rsidR="00E208CB">
        <w:rPr>
          <w:sz w:val="22"/>
          <w:szCs w:val="22"/>
        </w:rPr>
        <w:t>“</w:t>
      </w:r>
      <w:r w:rsidRPr="005616C4">
        <w:rPr>
          <w:sz w:val="22"/>
          <w:szCs w:val="22"/>
        </w:rPr>
        <w:t>suggest</w:t>
      </w:r>
      <w:r w:rsidRPr="005616C4" w:rsidR="00E208CB">
        <w:rPr>
          <w:sz w:val="22"/>
          <w:szCs w:val="22"/>
        </w:rPr>
        <w:t>[s]</w:t>
      </w:r>
      <w:r w:rsidRPr="005616C4">
        <w:rPr>
          <w:sz w:val="22"/>
          <w:szCs w:val="22"/>
        </w:rPr>
        <w:t xml:space="preserve"> that there are likely other carriers that would desire to do so as well.</w:t>
      </w:r>
      <w:r w:rsidRPr="005616C4" w:rsidR="00E208CB">
        <w:rPr>
          <w:sz w:val="22"/>
          <w:szCs w:val="22"/>
        </w:rPr>
        <w:t>”</w:t>
      </w:r>
      <w:r>
        <w:rPr>
          <w:rStyle w:val="FootnoteReference"/>
          <w:sz w:val="22"/>
          <w:szCs w:val="22"/>
        </w:rPr>
        <w:footnoteReference w:id="66"/>
      </w:r>
      <w:r w:rsidRPr="00BB356A" w:rsidR="00E208CB">
        <w:rPr>
          <w:sz w:val="22"/>
          <w:szCs w:val="22"/>
        </w:rPr>
        <w:t xml:space="preserve">  It also argues that</w:t>
      </w:r>
      <w:r w:rsidRPr="00BB356A" w:rsidR="00BE4D68">
        <w:rPr>
          <w:sz w:val="22"/>
          <w:szCs w:val="22"/>
        </w:rPr>
        <w:t>,</w:t>
      </w:r>
      <w:r w:rsidRPr="00BB356A" w:rsidR="00E208CB">
        <w:rPr>
          <w:sz w:val="22"/>
          <w:szCs w:val="22"/>
        </w:rPr>
        <w:t xml:space="preserve"> because AT&amp;T has stated it plans to build its next site</w:t>
      </w:r>
      <w:r w:rsidRPr="005616C4" w:rsidR="00BE4D68">
        <w:rPr>
          <w:sz w:val="22"/>
          <w:szCs w:val="22"/>
        </w:rPr>
        <w:t xml:space="preserve">s in 2019, “AT&amp;T </w:t>
      </w:r>
      <w:r w:rsidRPr="005616C4">
        <w:rPr>
          <w:sz w:val="22"/>
          <w:szCs w:val="22"/>
        </w:rPr>
        <w:t>does not appear to be in any great rush to expand service in CMA 316 and might not have done all that it reasonably could have to maximize geographic coverage in this market prior to the interim construction deadline.</w:t>
      </w:r>
      <w:r w:rsidRPr="005616C4" w:rsidR="00BE4D68">
        <w:rPr>
          <w:sz w:val="22"/>
          <w:szCs w:val="22"/>
        </w:rPr>
        <w:t>”</w:t>
      </w:r>
      <w:r>
        <w:rPr>
          <w:rStyle w:val="FootnoteReference"/>
          <w:sz w:val="22"/>
          <w:szCs w:val="22"/>
        </w:rPr>
        <w:footnoteReference w:id="67"/>
      </w:r>
      <w:r w:rsidRPr="00BB356A" w:rsidR="00BE4D68">
        <w:rPr>
          <w:sz w:val="22"/>
          <w:szCs w:val="22"/>
        </w:rPr>
        <w:t xml:space="preserve">  We see no evidence to support RWA’s claims</w:t>
      </w:r>
      <w:r w:rsidRPr="00BB356A" w:rsidR="00883082">
        <w:rPr>
          <w:sz w:val="22"/>
          <w:szCs w:val="22"/>
        </w:rPr>
        <w:t xml:space="preserve"> and agree with AT&amp;T that “[t]his is</w:t>
      </w:r>
      <w:r w:rsidRPr="00BB356A" w:rsidR="00BE4D68">
        <w:rPr>
          <w:sz w:val="22"/>
          <w:szCs w:val="22"/>
        </w:rPr>
        <w:t xml:space="preserve"> </w:t>
      </w:r>
      <w:r w:rsidRPr="00BB356A" w:rsidR="00883082">
        <w:rPr>
          <w:sz w:val="22"/>
          <w:szCs w:val="22"/>
        </w:rPr>
        <w:t>pure speculation.”</w:t>
      </w:r>
      <w:r>
        <w:rPr>
          <w:rStyle w:val="FootnoteReference"/>
          <w:sz w:val="22"/>
          <w:szCs w:val="22"/>
        </w:rPr>
        <w:footnoteReference w:id="68"/>
      </w:r>
      <w:r w:rsidRPr="00BB356A" w:rsidR="00240F1B">
        <w:rPr>
          <w:sz w:val="22"/>
          <w:szCs w:val="22"/>
        </w:rPr>
        <w:t xml:space="preserve">  </w:t>
      </w:r>
    </w:p>
    <w:p w:rsidR="0030115D" w:rsidRPr="005616C4" w:rsidP="005616C4">
      <w:pPr>
        <w:autoSpaceDE w:val="0"/>
        <w:autoSpaceDN w:val="0"/>
        <w:adjustRightInd w:val="0"/>
        <w:ind w:firstLine="720"/>
        <w:rPr>
          <w:sz w:val="22"/>
          <w:szCs w:val="22"/>
        </w:rPr>
      </w:pPr>
    </w:p>
    <w:p w:rsidR="0030115D" w:rsidRPr="00BB356A" w:rsidP="005616C4">
      <w:pPr>
        <w:autoSpaceDE w:val="0"/>
        <w:autoSpaceDN w:val="0"/>
        <w:adjustRightInd w:val="0"/>
        <w:ind w:firstLine="720"/>
        <w:rPr>
          <w:sz w:val="22"/>
          <w:szCs w:val="22"/>
        </w:rPr>
      </w:pPr>
      <w:r w:rsidRPr="005616C4">
        <w:rPr>
          <w:sz w:val="22"/>
          <w:szCs w:val="22"/>
        </w:rPr>
        <w:t xml:space="preserve">Rather, </w:t>
      </w:r>
      <w:r w:rsidRPr="005616C4" w:rsidR="00A60751">
        <w:rPr>
          <w:sz w:val="22"/>
          <w:szCs w:val="22"/>
        </w:rPr>
        <w:t>consistent</w:t>
      </w:r>
      <w:r w:rsidRPr="005616C4" w:rsidR="00C60E4D">
        <w:rPr>
          <w:sz w:val="22"/>
          <w:szCs w:val="22"/>
        </w:rPr>
        <w:t xml:space="preserve"> with prior decisions, </w:t>
      </w:r>
      <w:r w:rsidRPr="005616C4" w:rsidR="00F442DD">
        <w:rPr>
          <w:sz w:val="22"/>
          <w:szCs w:val="22"/>
        </w:rPr>
        <w:t xml:space="preserve">we find that a limited waiver of Section 27.14(g)—subject to the conditions described below—will serve the public interest by fostering the provision of new wireless services to areas of Alaska that </w:t>
      </w:r>
      <w:r w:rsidR="002767C9">
        <w:rPr>
          <w:sz w:val="22"/>
          <w:szCs w:val="22"/>
        </w:rPr>
        <w:t>might</w:t>
      </w:r>
      <w:r w:rsidRPr="005616C4" w:rsidR="002767C9">
        <w:rPr>
          <w:sz w:val="22"/>
          <w:szCs w:val="22"/>
        </w:rPr>
        <w:t xml:space="preserve"> </w:t>
      </w:r>
      <w:r w:rsidRPr="005616C4" w:rsidR="00F442DD">
        <w:rPr>
          <w:sz w:val="22"/>
          <w:szCs w:val="22"/>
        </w:rPr>
        <w:t>otherwise continue to be underserved.  We believe that, absent a waiver, the provision of wireless services to Alaskans in CMA31</w:t>
      </w:r>
      <w:r w:rsidRPr="005616C4" w:rsidR="00422BD8">
        <w:rPr>
          <w:sz w:val="22"/>
          <w:szCs w:val="22"/>
        </w:rPr>
        <w:t>6</w:t>
      </w:r>
      <w:r w:rsidRPr="005616C4" w:rsidR="00F442DD">
        <w:rPr>
          <w:sz w:val="22"/>
          <w:szCs w:val="22"/>
        </w:rPr>
        <w:t xml:space="preserve">, especially those residing in particularly remote areas, could be delayed, frustrating the </w:t>
      </w:r>
      <w:r w:rsidRPr="005616C4" w:rsidR="00F442DD">
        <w:rPr>
          <w:sz w:val="22"/>
          <w:szCs w:val="22"/>
        </w:rPr>
        <w:t>underlying purpose</w:t>
      </w:r>
      <w:r w:rsidRPr="005616C4" w:rsidR="00F442DD">
        <w:rPr>
          <w:sz w:val="22"/>
          <w:szCs w:val="22"/>
        </w:rPr>
        <w:t xml:space="preserve"> of Section 27.14(g</w:t>
      </w:r>
      <w:r w:rsidRPr="005616C4" w:rsidR="00BB43AA">
        <w:rPr>
          <w:sz w:val="22"/>
          <w:szCs w:val="22"/>
        </w:rPr>
        <w:t>)</w:t>
      </w:r>
      <w:r w:rsidRPr="005616C4" w:rsidR="00F442DD">
        <w:rPr>
          <w:sz w:val="22"/>
          <w:szCs w:val="22"/>
        </w:rPr>
        <w:t>.</w:t>
      </w:r>
      <w:r>
        <w:rPr>
          <w:rStyle w:val="FootnoteReference"/>
          <w:sz w:val="22"/>
          <w:szCs w:val="22"/>
        </w:rPr>
        <w:footnoteReference w:id="69"/>
      </w:r>
      <w:r w:rsidRPr="00BB356A" w:rsidR="004946A4">
        <w:rPr>
          <w:sz w:val="22"/>
          <w:szCs w:val="22"/>
        </w:rPr>
        <w:t xml:space="preserve">  </w:t>
      </w:r>
      <w:r w:rsidRPr="00BB356A" w:rsidR="00A8165E">
        <w:rPr>
          <w:sz w:val="22"/>
          <w:szCs w:val="22"/>
        </w:rPr>
        <w:t>As AT&amp;T explains, “communities in Alaska often arise in pockets far from othe</w:t>
      </w:r>
      <w:r w:rsidRPr="005616C4" w:rsidR="00A8165E">
        <w:rPr>
          <w:sz w:val="22"/>
          <w:szCs w:val="22"/>
        </w:rPr>
        <w:t>r communities and population centers.</w:t>
      </w:r>
      <w:r w:rsidRPr="005616C4" w:rsidR="004946A4">
        <w:rPr>
          <w:sz w:val="22"/>
          <w:szCs w:val="22"/>
        </w:rPr>
        <w:t>”</w:t>
      </w:r>
      <w:r>
        <w:rPr>
          <w:rStyle w:val="FootnoteReference"/>
          <w:sz w:val="22"/>
          <w:szCs w:val="22"/>
        </w:rPr>
        <w:footnoteReference w:id="70"/>
      </w:r>
      <w:r w:rsidRPr="00BB356A" w:rsidR="00A8165E">
        <w:rPr>
          <w:sz w:val="22"/>
          <w:szCs w:val="22"/>
        </w:rPr>
        <w:t xml:space="preserve"> </w:t>
      </w:r>
      <w:r w:rsidRPr="00BB356A" w:rsidR="004946A4">
        <w:rPr>
          <w:sz w:val="22"/>
          <w:szCs w:val="22"/>
        </w:rPr>
        <w:t xml:space="preserve"> With the requested waiver relief, AT&amp;T would have the needed flexibility to “</w:t>
      </w:r>
      <w:r w:rsidRPr="005616C4" w:rsidR="00A8165E">
        <w:rPr>
          <w:sz w:val="22"/>
          <w:szCs w:val="22"/>
        </w:rPr>
        <w:t>easily serve those new communities that might periodically arise in CMA316 and to complete plans to expand coverage over the next two years</w:t>
      </w:r>
      <w:r w:rsidRPr="005616C4" w:rsidR="00EE4125">
        <w:rPr>
          <w:sz w:val="22"/>
          <w:szCs w:val="22"/>
        </w:rPr>
        <w:t>…[</w:t>
      </w:r>
      <w:r w:rsidRPr="005616C4" w:rsidR="00EE4125">
        <w:rPr>
          <w:sz w:val="22"/>
          <w:szCs w:val="22"/>
        </w:rPr>
        <w:t>,]</w:t>
      </w:r>
      <w:r w:rsidRPr="005616C4" w:rsidR="004946A4">
        <w:rPr>
          <w:sz w:val="22"/>
          <w:szCs w:val="22"/>
        </w:rPr>
        <w:t>”</w:t>
      </w:r>
      <w:r w:rsidRPr="005616C4" w:rsidR="00EE4125">
        <w:rPr>
          <w:sz w:val="22"/>
          <w:szCs w:val="22"/>
        </w:rPr>
        <w:t xml:space="preserve"> </w:t>
      </w:r>
      <w:r w:rsidRPr="005616C4" w:rsidR="001C1C3A">
        <w:rPr>
          <w:sz w:val="22"/>
          <w:szCs w:val="22"/>
        </w:rPr>
        <w:t xml:space="preserve">including </w:t>
      </w:r>
      <w:r w:rsidRPr="005616C4" w:rsidR="00244C82">
        <w:rPr>
          <w:sz w:val="22"/>
          <w:szCs w:val="22"/>
        </w:rPr>
        <w:t xml:space="preserve">to </w:t>
      </w:r>
      <w:r w:rsidRPr="005616C4" w:rsidR="001C1C3A">
        <w:rPr>
          <w:sz w:val="22"/>
          <w:szCs w:val="22"/>
        </w:rPr>
        <w:t>“</w:t>
      </w:r>
      <w:r w:rsidRPr="005616C4" w:rsidR="007E20AC">
        <w:rPr>
          <w:sz w:val="22"/>
          <w:szCs w:val="22"/>
        </w:rPr>
        <w:t>an additional 4,300 Alaska natives and an additional 200 square miles of Alaska native lands, numbers that will only increase</w:t>
      </w:r>
      <w:r w:rsidRPr="005616C4" w:rsidR="00EE4125">
        <w:rPr>
          <w:sz w:val="22"/>
          <w:szCs w:val="22"/>
        </w:rPr>
        <w:t>. . . .”</w:t>
      </w:r>
      <w:r>
        <w:rPr>
          <w:rStyle w:val="FootnoteReference"/>
          <w:sz w:val="22"/>
          <w:szCs w:val="22"/>
        </w:rPr>
        <w:footnoteReference w:id="71"/>
      </w:r>
      <w:r w:rsidRPr="00BB356A" w:rsidR="007E20AC">
        <w:rPr>
          <w:sz w:val="22"/>
          <w:szCs w:val="22"/>
        </w:rPr>
        <w:t xml:space="preserve"> </w:t>
      </w:r>
      <w:r w:rsidRPr="00BB356A" w:rsidR="00EE4125">
        <w:rPr>
          <w:sz w:val="22"/>
          <w:szCs w:val="22"/>
        </w:rPr>
        <w:t xml:space="preserve"> </w:t>
      </w:r>
    </w:p>
    <w:p w:rsidR="0030115D" w:rsidRPr="005616C4" w:rsidP="005616C4">
      <w:pPr>
        <w:autoSpaceDE w:val="0"/>
        <w:autoSpaceDN w:val="0"/>
        <w:adjustRightInd w:val="0"/>
        <w:ind w:firstLine="720"/>
        <w:rPr>
          <w:sz w:val="22"/>
          <w:szCs w:val="22"/>
        </w:rPr>
      </w:pPr>
    </w:p>
    <w:p w:rsidR="00CC31F6" w:rsidP="005616C4">
      <w:pPr>
        <w:autoSpaceDE w:val="0"/>
        <w:autoSpaceDN w:val="0"/>
        <w:adjustRightInd w:val="0"/>
        <w:ind w:firstLine="720"/>
        <w:rPr>
          <w:sz w:val="22"/>
          <w:szCs w:val="22"/>
        </w:rPr>
      </w:pPr>
      <w:r w:rsidRPr="005616C4">
        <w:rPr>
          <w:sz w:val="22"/>
          <w:szCs w:val="22"/>
        </w:rPr>
        <w:t>We</w:t>
      </w:r>
      <w:r w:rsidRPr="005616C4" w:rsidR="00A8165E">
        <w:rPr>
          <w:sz w:val="22"/>
          <w:szCs w:val="22"/>
        </w:rPr>
        <w:t xml:space="preserve"> are persuaded that </w:t>
      </w:r>
      <w:r w:rsidRPr="005616C4">
        <w:rPr>
          <w:sz w:val="22"/>
          <w:szCs w:val="22"/>
        </w:rPr>
        <w:t xml:space="preserve">“AT&amp;T’s arrangement with its lessees is part of a larger relationship where AT&amp;T shares resources, such as switching </w:t>
      </w:r>
      <w:r w:rsidRPr="005616C4">
        <w:rPr>
          <w:sz w:val="22"/>
          <w:szCs w:val="22"/>
        </w:rPr>
        <w:t>services, that</w:t>
      </w:r>
      <w:r w:rsidRPr="005616C4">
        <w:rPr>
          <w:sz w:val="22"/>
          <w:szCs w:val="22"/>
        </w:rPr>
        <w:t xml:space="preserve"> may not otherwise be available to those lessees, allowing the lessees to bring LTE to portions of Alaska much faster.”</w:t>
      </w:r>
      <w:r>
        <w:rPr>
          <w:rStyle w:val="FootnoteReference"/>
          <w:sz w:val="22"/>
          <w:szCs w:val="22"/>
        </w:rPr>
        <w:footnoteReference w:id="72"/>
      </w:r>
      <w:r w:rsidRPr="00BB356A" w:rsidR="00086EF7">
        <w:rPr>
          <w:sz w:val="22"/>
          <w:szCs w:val="22"/>
        </w:rPr>
        <w:t xml:space="preserve">  </w:t>
      </w:r>
      <w:r w:rsidRPr="00BB356A" w:rsidR="00A8165E">
        <w:rPr>
          <w:sz w:val="22"/>
          <w:szCs w:val="22"/>
        </w:rPr>
        <w:t xml:space="preserve">This is further supported </w:t>
      </w:r>
      <w:r w:rsidRPr="005616C4" w:rsidR="00086EF7">
        <w:rPr>
          <w:sz w:val="22"/>
          <w:szCs w:val="22"/>
        </w:rPr>
        <w:t xml:space="preserve">by ASTAC’s </w:t>
      </w:r>
      <w:r w:rsidRPr="00F7671A" w:rsidR="00086EF7">
        <w:rPr>
          <w:sz w:val="22"/>
          <w:szCs w:val="22"/>
        </w:rPr>
        <w:t xml:space="preserve">explanation that a waiver grant would actually assist its own deployment, and that, counter to RWA’s claims, </w:t>
      </w:r>
      <w:r w:rsidRPr="00F7671A" w:rsidR="00C86FF2">
        <w:rPr>
          <w:sz w:val="22"/>
          <w:szCs w:val="22"/>
        </w:rPr>
        <w:t>“</w:t>
      </w:r>
      <w:r w:rsidRPr="00F7671A" w:rsidR="00086EF7">
        <w:rPr>
          <w:sz w:val="22"/>
          <w:szCs w:val="22"/>
        </w:rPr>
        <w:t>denying</w:t>
      </w:r>
      <w:r w:rsidRPr="00F7671A" w:rsidR="00086EF7">
        <w:rPr>
          <w:sz w:val="22"/>
          <w:szCs w:val="22"/>
        </w:rPr>
        <w:t xml:space="preserve"> AT&amp;T's waiver request would halt </w:t>
      </w:r>
      <w:r w:rsidRPr="00F7671A" w:rsidR="00C86FF2">
        <w:rPr>
          <w:sz w:val="22"/>
          <w:szCs w:val="22"/>
        </w:rPr>
        <w:t>ASTAC’s</w:t>
      </w:r>
      <w:r w:rsidRPr="00F7671A" w:rsidR="00086EF7">
        <w:rPr>
          <w:sz w:val="22"/>
          <w:szCs w:val="22"/>
        </w:rPr>
        <w:t xml:space="preserve"> ongoing deployment of its 700 MHz network </w:t>
      </w:r>
      <w:r w:rsidRPr="00F7671A" w:rsidR="00086EF7">
        <w:rPr>
          <w:i/>
          <w:sz w:val="22"/>
          <w:szCs w:val="22"/>
        </w:rPr>
        <w:t>because</w:t>
      </w:r>
      <w:r w:rsidRPr="00F7671A" w:rsidR="00086EF7">
        <w:rPr>
          <w:sz w:val="22"/>
          <w:szCs w:val="22"/>
        </w:rPr>
        <w:t xml:space="preserve"> the leased area would revert to the Commission for re-licensing.</w:t>
      </w:r>
      <w:r w:rsidRPr="00F7671A" w:rsidR="00C86FF2">
        <w:rPr>
          <w:sz w:val="22"/>
          <w:szCs w:val="22"/>
        </w:rPr>
        <w:t>”</w:t>
      </w:r>
      <w:r>
        <w:rPr>
          <w:rStyle w:val="FootnoteReference"/>
          <w:sz w:val="22"/>
          <w:szCs w:val="22"/>
        </w:rPr>
        <w:footnoteReference w:id="73"/>
      </w:r>
      <w:r w:rsidRPr="00F7671A" w:rsidR="003C6010">
        <w:rPr>
          <w:sz w:val="22"/>
          <w:szCs w:val="22"/>
        </w:rPr>
        <w:t xml:space="preserve">  </w:t>
      </w:r>
      <w:r w:rsidRPr="00F7671A" w:rsidR="00310189">
        <w:rPr>
          <w:sz w:val="22"/>
          <w:szCs w:val="22"/>
        </w:rPr>
        <w:t>In fact, ASTAC</w:t>
      </w:r>
      <w:r w:rsidRPr="00F7671A" w:rsidR="009D547D">
        <w:rPr>
          <w:sz w:val="22"/>
          <w:szCs w:val="22"/>
        </w:rPr>
        <w:t xml:space="preserve">, one of the lessees to which RWA </w:t>
      </w:r>
      <w:r w:rsidRPr="00F7671A" w:rsidR="003521D6">
        <w:rPr>
          <w:sz w:val="22"/>
          <w:szCs w:val="22"/>
        </w:rPr>
        <w:t>refers</w:t>
      </w:r>
      <w:r w:rsidRPr="00F7671A" w:rsidR="002C21BA">
        <w:rPr>
          <w:sz w:val="22"/>
          <w:szCs w:val="22"/>
        </w:rPr>
        <w:t>,</w:t>
      </w:r>
      <w:r>
        <w:rPr>
          <w:rStyle w:val="FootnoteReference"/>
          <w:sz w:val="22"/>
          <w:szCs w:val="22"/>
        </w:rPr>
        <w:footnoteReference w:id="74"/>
      </w:r>
      <w:r w:rsidRPr="00F7671A" w:rsidR="00310189">
        <w:rPr>
          <w:sz w:val="22"/>
          <w:szCs w:val="22"/>
        </w:rPr>
        <w:t xml:space="preserve"> states that enforcing the </w:t>
      </w:r>
      <w:r w:rsidRPr="00F7671A" w:rsidR="000065C3">
        <w:rPr>
          <w:sz w:val="22"/>
          <w:szCs w:val="22"/>
        </w:rPr>
        <w:t xml:space="preserve">strict </w:t>
      </w:r>
      <w:r w:rsidRPr="00F7671A" w:rsidR="00310189">
        <w:rPr>
          <w:sz w:val="22"/>
          <w:szCs w:val="22"/>
        </w:rPr>
        <w:t xml:space="preserve">application of Section 27.14(g)’s </w:t>
      </w:r>
      <w:r w:rsidRPr="00F7671A" w:rsidR="00086EF7">
        <w:rPr>
          <w:sz w:val="22"/>
          <w:szCs w:val="22"/>
        </w:rPr>
        <w:t xml:space="preserve">geographic benchmarks in CMA316 </w:t>
      </w:r>
      <w:r w:rsidRPr="00F7671A" w:rsidR="00310189">
        <w:rPr>
          <w:sz w:val="22"/>
          <w:szCs w:val="22"/>
        </w:rPr>
        <w:t>“</w:t>
      </w:r>
      <w:r w:rsidRPr="00F7671A" w:rsidR="00086EF7">
        <w:rPr>
          <w:sz w:val="22"/>
          <w:szCs w:val="22"/>
        </w:rPr>
        <w:t>would have the very real impact of delaying the pending deployment of wireless services to areas that need those services now and pushing the availability of wireless service to an unknown future date.</w:t>
      </w:r>
      <w:r w:rsidRPr="00F7671A" w:rsidR="00310189">
        <w:rPr>
          <w:sz w:val="22"/>
          <w:szCs w:val="22"/>
        </w:rPr>
        <w:t>”</w:t>
      </w:r>
      <w:r>
        <w:rPr>
          <w:rStyle w:val="FootnoteReference"/>
          <w:sz w:val="22"/>
          <w:szCs w:val="22"/>
        </w:rPr>
        <w:footnoteReference w:id="75"/>
      </w:r>
    </w:p>
    <w:p w:rsidR="001B2D45" w:rsidRPr="00BB356A" w:rsidP="005616C4">
      <w:pPr>
        <w:autoSpaceDE w:val="0"/>
        <w:autoSpaceDN w:val="0"/>
        <w:adjustRightInd w:val="0"/>
        <w:ind w:firstLine="720"/>
        <w:rPr>
          <w:sz w:val="22"/>
          <w:szCs w:val="22"/>
        </w:rPr>
      </w:pPr>
    </w:p>
    <w:p w:rsidR="0030115D" w:rsidRPr="00BB356A" w:rsidP="00587895">
      <w:pPr>
        <w:autoSpaceDE w:val="0"/>
        <w:autoSpaceDN w:val="0"/>
        <w:adjustRightInd w:val="0"/>
        <w:ind w:firstLine="720"/>
        <w:rPr>
          <w:sz w:val="22"/>
          <w:szCs w:val="22"/>
        </w:rPr>
      </w:pPr>
      <w:r w:rsidRPr="005616C4">
        <w:rPr>
          <w:sz w:val="22"/>
          <w:szCs w:val="22"/>
        </w:rPr>
        <w:t>AT&amp;T has committed to serving 7</w:t>
      </w:r>
      <w:r w:rsidRPr="005616C4" w:rsidR="000065C3">
        <w:rPr>
          <w:sz w:val="22"/>
          <w:szCs w:val="22"/>
        </w:rPr>
        <w:t>5</w:t>
      </w:r>
      <w:r w:rsidRPr="005616C4">
        <w:rPr>
          <w:sz w:val="22"/>
          <w:szCs w:val="22"/>
        </w:rPr>
        <w:t xml:space="preserve"> percent of CMA31</w:t>
      </w:r>
      <w:r w:rsidRPr="005616C4" w:rsidR="000065C3">
        <w:rPr>
          <w:sz w:val="22"/>
          <w:szCs w:val="22"/>
        </w:rPr>
        <w:t>6</w:t>
      </w:r>
      <w:r w:rsidRPr="005616C4">
        <w:rPr>
          <w:sz w:val="22"/>
          <w:szCs w:val="22"/>
        </w:rPr>
        <w:t xml:space="preserve">’s population by the December 13, 2016, interim construction deadline; </w:t>
      </w:r>
      <w:r w:rsidRPr="005616C4" w:rsidR="000065C3">
        <w:rPr>
          <w:sz w:val="22"/>
          <w:szCs w:val="22"/>
        </w:rPr>
        <w:t>80</w:t>
      </w:r>
      <w:r w:rsidRPr="005616C4">
        <w:rPr>
          <w:sz w:val="22"/>
          <w:szCs w:val="22"/>
        </w:rPr>
        <w:t xml:space="preserve"> percent of the area’s population by the June 13, 2019, end-of-license term construction deadline; and 8</w:t>
      </w:r>
      <w:r w:rsidRPr="005616C4" w:rsidR="000065C3">
        <w:rPr>
          <w:sz w:val="22"/>
          <w:szCs w:val="22"/>
        </w:rPr>
        <w:t>5</w:t>
      </w:r>
      <w:r w:rsidRPr="005616C4">
        <w:rPr>
          <w:sz w:val="22"/>
          <w:szCs w:val="22"/>
        </w:rPr>
        <w:t xml:space="preserve"> percent of the area’s population by June 13, 2020.</w:t>
      </w:r>
      <w:r>
        <w:rPr>
          <w:rStyle w:val="FootnoteReference"/>
          <w:sz w:val="22"/>
          <w:szCs w:val="22"/>
        </w:rPr>
        <w:footnoteReference w:id="76"/>
      </w:r>
      <w:r w:rsidRPr="00BB356A">
        <w:rPr>
          <w:sz w:val="22"/>
          <w:szCs w:val="22"/>
        </w:rPr>
        <w:t xml:space="preserve">  AT&amp;T’s commitment to extend service to at l</w:t>
      </w:r>
      <w:r w:rsidRPr="005616C4">
        <w:rPr>
          <w:sz w:val="22"/>
          <w:szCs w:val="22"/>
        </w:rPr>
        <w:t xml:space="preserve">east </w:t>
      </w:r>
      <w:r w:rsidRPr="005616C4" w:rsidR="003C4E81">
        <w:rPr>
          <w:sz w:val="22"/>
          <w:szCs w:val="22"/>
        </w:rPr>
        <w:t>80</w:t>
      </w:r>
      <w:r w:rsidRPr="005616C4">
        <w:rPr>
          <w:sz w:val="22"/>
          <w:szCs w:val="22"/>
        </w:rPr>
        <w:t xml:space="preserve"> percent of </w:t>
      </w:r>
      <w:r w:rsidRPr="005616C4" w:rsidR="0066213B">
        <w:rPr>
          <w:sz w:val="22"/>
          <w:szCs w:val="22"/>
        </w:rPr>
        <w:t>CMA316</w:t>
      </w:r>
      <w:r w:rsidRPr="005616C4">
        <w:rPr>
          <w:sz w:val="22"/>
          <w:szCs w:val="22"/>
        </w:rPr>
        <w:t>’s population by June 13, 2019, and to at least 8</w:t>
      </w:r>
      <w:r w:rsidRPr="005616C4" w:rsidR="003C4E81">
        <w:rPr>
          <w:sz w:val="22"/>
          <w:szCs w:val="22"/>
        </w:rPr>
        <w:t>5</w:t>
      </w:r>
      <w:r w:rsidRPr="005616C4">
        <w:rPr>
          <w:sz w:val="22"/>
          <w:szCs w:val="22"/>
        </w:rPr>
        <w:t xml:space="preserve"> percent of CMA31</w:t>
      </w:r>
      <w:r w:rsidRPr="005616C4" w:rsidR="003C4E81">
        <w:rPr>
          <w:sz w:val="22"/>
          <w:szCs w:val="22"/>
        </w:rPr>
        <w:t>6</w:t>
      </w:r>
      <w:r w:rsidRPr="005616C4">
        <w:rPr>
          <w:sz w:val="22"/>
          <w:szCs w:val="22"/>
        </w:rPr>
        <w:t>’s population by June 13, 2020, would bring new advanced wireless services to Alaskans living in remote areas of CMA31</w:t>
      </w:r>
      <w:r w:rsidRPr="005616C4" w:rsidR="003C4E81">
        <w:rPr>
          <w:sz w:val="22"/>
          <w:szCs w:val="22"/>
        </w:rPr>
        <w:t>6</w:t>
      </w:r>
      <w:r w:rsidRPr="005616C4">
        <w:rPr>
          <w:sz w:val="22"/>
          <w:szCs w:val="22"/>
        </w:rPr>
        <w:t xml:space="preserve"> that they may not receive absent the requested waiver</w:t>
      </w:r>
      <w:r w:rsidRPr="005616C4" w:rsidR="003C4E81">
        <w:rPr>
          <w:sz w:val="22"/>
          <w:szCs w:val="22"/>
        </w:rPr>
        <w:t xml:space="preserve">.  </w:t>
      </w:r>
      <w:r w:rsidRPr="005616C4">
        <w:rPr>
          <w:sz w:val="22"/>
          <w:szCs w:val="22"/>
        </w:rPr>
        <w:t>We note that by covering 8</w:t>
      </w:r>
      <w:r w:rsidRPr="005616C4" w:rsidR="003C4E81">
        <w:rPr>
          <w:sz w:val="22"/>
          <w:szCs w:val="22"/>
        </w:rPr>
        <w:t>5</w:t>
      </w:r>
      <w:r w:rsidRPr="005616C4">
        <w:rPr>
          <w:sz w:val="22"/>
          <w:szCs w:val="22"/>
        </w:rPr>
        <w:t xml:space="preserve"> percent of CMA31</w:t>
      </w:r>
      <w:r w:rsidRPr="005616C4" w:rsidR="003C4E81">
        <w:rPr>
          <w:sz w:val="22"/>
          <w:szCs w:val="22"/>
        </w:rPr>
        <w:t>6</w:t>
      </w:r>
      <w:r w:rsidRPr="005616C4">
        <w:rPr>
          <w:sz w:val="22"/>
          <w:szCs w:val="22"/>
        </w:rPr>
        <w:t xml:space="preserve">’s population, AT&amp;T would be serving a benchmark </w:t>
      </w:r>
      <w:r w:rsidRPr="005616C4">
        <w:rPr>
          <w:sz w:val="22"/>
          <w:szCs w:val="22"/>
        </w:rPr>
        <w:t>1</w:t>
      </w:r>
      <w:r w:rsidRPr="005616C4" w:rsidR="003C4E81">
        <w:rPr>
          <w:sz w:val="22"/>
          <w:szCs w:val="22"/>
        </w:rPr>
        <w:t>5</w:t>
      </w:r>
      <w:r w:rsidRPr="005616C4">
        <w:rPr>
          <w:sz w:val="22"/>
          <w:szCs w:val="22"/>
        </w:rPr>
        <w:t xml:space="preserve"> percentage</w:t>
      </w:r>
      <w:r w:rsidRPr="005616C4">
        <w:rPr>
          <w:sz w:val="22"/>
          <w:szCs w:val="22"/>
        </w:rPr>
        <w:t xml:space="preserve"> points higher than the 70 percent population benchmark for the Lower 700 MHz E Block,</w:t>
      </w:r>
      <w:r>
        <w:rPr>
          <w:rStyle w:val="FootnoteReference"/>
          <w:sz w:val="22"/>
          <w:szCs w:val="22"/>
        </w:rPr>
        <w:footnoteReference w:id="77"/>
      </w:r>
      <w:r w:rsidRPr="00BB356A">
        <w:rPr>
          <w:sz w:val="22"/>
          <w:szCs w:val="22"/>
        </w:rPr>
        <w:t xml:space="preserve"> and would meet a higher population-based benchmark than required in any other commercial service.</w:t>
      </w:r>
      <w:r>
        <w:rPr>
          <w:rStyle w:val="FootnoteReference"/>
          <w:sz w:val="22"/>
          <w:szCs w:val="22"/>
        </w:rPr>
        <w:footnoteReference w:id="78"/>
      </w:r>
    </w:p>
    <w:p w:rsidR="0030115D" w:rsidRPr="005616C4" w:rsidP="005616C4">
      <w:pPr>
        <w:ind w:firstLine="720"/>
        <w:rPr>
          <w:sz w:val="22"/>
          <w:szCs w:val="22"/>
        </w:rPr>
      </w:pPr>
    </w:p>
    <w:p w:rsidR="0030115D" w:rsidRPr="005616C4" w:rsidP="005616C4">
      <w:pPr>
        <w:ind w:firstLine="720"/>
        <w:rPr>
          <w:sz w:val="22"/>
          <w:szCs w:val="22"/>
        </w:rPr>
      </w:pPr>
      <w:r>
        <w:rPr>
          <w:sz w:val="22"/>
          <w:szCs w:val="22"/>
        </w:rPr>
        <w:t>Consistent</w:t>
      </w:r>
      <w:r w:rsidRPr="005616C4">
        <w:rPr>
          <w:sz w:val="22"/>
          <w:szCs w:val="22"/>
        </w:rPr>
        <w:t xml:space="preserve"> </w:t>
      </w:r>
      <w:r w:rsidRPr="005616C4" w:rsidR="0015299A">
        <w:rPr>
          <w:sz w:val="22"/>
          <w:szCs w:val="22"/>
        </w:rPr>
        <w:t xml:space="preserve">with prior Commission precedent, </w:t>
      </w:r>
      <w:r w:rsidRPr="005616C4" w:rsidR="00515850">
        <w:rPr>
          <w:sz w:val="22"/>
          <w:szCs w:val="22"/>
        </w:rPr>
        <w:t>and</w:t>
      </w:r>
      <w:r w:rsidRPr="005616C4" w:rsidR="0015299A">
        <w:rPr>
          <w:sz w:val="22"/>
          <w:szCs w:val="22"/>
        </w:rPr>
        <w:t xml:space="preserve"> </w:t>
      </w:r>
      <w:r w:rsidRPr="005616C4" w:rsidR="00515850">
        <w:rPr>
          <w:sz w:val="22"/>
          <w:szCs w:val="22"/>
        </w:rPr>
        <w:t>in light of</w:t>
      </w:r>
      <w:r w:rsidRPr="005616C4" w:rsidR="0015299A">
        <w:rPr>
          <w:sz w:val="22"/>
          <w:szCs w:val="22"/>
        </w:rPr>
        <w:t xml:space="preserve"> the combination of unique circumstances present here, we find that strict application of Section 27.14(g) would be contrary to the public interest.</w:t>
      </w:r>
      <w:r>
        <w:rPr>
          <w:rStyle w:val="FootnoteReference"/>
          <w:sz w:val="22"/>
          <w:szCs w:val="22"/>
        </w:rPr>
        <w:footnoteReference w:id="79"/>
      </w:r>
      <w:r w:rsidRPr="00BB356A" w:rsidR="0015299A">
        <w:rPr>
          <w:sz w:val="22"/>
          <w:szCs w:val="22"/>
        </w:rPr>
        <w:t xml:space="preserve">  In addition, we find that the unique facts presented by AT&amp;T fit within the ambit of “specific cases of h</w:t>
      </w:r>
      <w:r w:rsidRPr="005616C4" w:rsidR="0015299A">
        <w:rPr>
          <w:sz w:val="22"/>
          <w:szCs w:val="22"/>
        </w:rPr>
        <w:t xml:space="preserve">ardship” envisioned by the Commission in the </w:t>
      </w:r>
      <w:r w:rsidRPr="005616C4" w:rsidR="0015299A">
        <w:rPr>
          <w:i/>
          <w:sz w:val="22"/>
          <w:szCs w:val="22"/>
        </w:rPr>
        <w:t>700 MHz Reconsideration Order</w:t>
      </w:r>
      <w:r w:rsidRPr="005616C4" w:rsidR="0015299A">
        <w:rPr>
          <w:sz w:val="22"/>
          <w:szCs w:val="22"/>
        </w:rPr>
        <w:t xml:space="preserve"> as potential grounds for waiving construction requirements based on geographic benchmarks.</w:t>
      </w:r>
      <w:r>
        <w:rPr>
          <w:rStyle w:val="FootnoteReference"/>
          <w:sz w:val="22"/>
          <w:szCs w:val="22"/>
        </w:rPr>
        <w:footnoteReference w:id="80"/>
      </w:r>
      <w:r w:rsidRPr="00BB356A" w:rsidR="0015299A">
        <w:rPr>
          <w:sz w:val="22"/>
          <w:szCs w:val="22"/>
        </w:rPr>
        <w:t xml:space="preserve"> </w:t>
      </w:r>
      <w:r w:rsidRPr="00BB356A" w:rsidR="00515850">
        <w:rPr>
          <w:sz w:val="22"/>
          <w:szCs w:val="22"/>
        </w:rPr>
        <w:t xml:space="preserve"> </w:t>
      </w:r>
      <w:r w:rsidRPr="00BB356A" w:rsidR="00515850">
        <w:rPr>
          <w:sz w:val="22"/>
          <w:szCs w:val="22"/>
        </w:rPr>
        <w:t>We agree with AT&amp;T that a conditioned waiver is in the public interest, “meets the Commi</w:t>
      </w:r>
      <w:r w:rsidRPr="005616C4" w:rsidR="00515850">
        <w:rPr>
          <w:sz w:val="22"/>
          <w:szCs w:val="22"/>
        </w:rPr>
        <w:t>ssion’s policy objectives, promotes the deployment of 700 MHz B-block services to less densely populated areas, and avoids application of geographic coverage benchmarks that would frustrate the underlying purpose of the build requirements—to promote access to spectrum and the provision of service,</w:t>
      </w:r>
      <w:r w:rsidRPr="005616C4" w:rsidR="00515850">
        <w:rPr>
          <w:spacing w:val="51"/>
          <w:sz w:val="22"/>
          <w:szCs w:val="22"/>
        </w:rPr>
        <w:t xml:space="preserve"> </w:t>
      </w:r>
      <w:r w:rsidRPr="005616C4" w:rsidR="00515850">
        <w:rPr>
          <w:sz w:val="22"/>
          <w:szCs w:val="22"/>
        </w:rPr>
        <w:t>especially</w:t>
      </w:r>
      <w:r w:rsidRPr="005616C4" w:rsidR="00515850">
        <w:rPr>
          <w:spacing w:val="-8"/>
          <w:sz w:val="22"/>
          <w:szCs w:val="22"/>
        </w:rPr>
        <w:t xml:space="preserve"> </w:t>
      </w:r>
      <w:r w:rsidRPr="005616C4" w:rsidR="00515850">
        <w:rPr>
          <w:sz w:val="22"/>
          <w:szCs w:val="22"/>
        </w:rPr>
        <w:t>in</w:t>
      </w:r>
      <w:r w:rsidRPr="005616C4" w:rsidR="00515850">
        <w:rPr>
          <w:spacing w:val="-2"/>
          <w:sz w:val="22"/>
          <w:szCs w:val="22"/>
        </w:rPr>
        <w:t xml:space="preserve"> </w:t>
      </w:r>
      <w:r w:rsidRPr="005616C4" w:rsidR="00515850">
        <w:rPr>
          <w:spacing w:val="-1"/>
          <w:sz w:val="22"/>
          <w:szCs w:val="22"/>
        </w:rPr>
        <w:t>rural</w:t>
      </w:r>
      <w:r w:rsidRPr="005616C4" w:rsidR="00515850">
        <w:rPr>
          <w:spacing w:val="-2"/>
          <w:sz w:val="22"/>
          <w:szCs w:val="22"/>
        </w:rPr>
        <w:t xml:space="preserve"> </w:t>
      </w:r>
      <w:r w:rsidRPr="005616C4" w:rsidR="00515850">
        <w:rPr>
          <w:spacing w:val="-1"/>
          <w:sz w:val="22"/>
          <w:szCs w:val="22"/>
        </w:rPr>
        <w:t>areas.”</w:t>
      </w:r>
      <w:r>
        <w:rPr>
          <w:rStyle w:val="FootnoteReference"/>
          <w:spacing w:val="-1"/>
          <w:sz w:val="22"/>
          <w:szCs w:val="22"/>
        </w:rPr>
        <w:footnoteReference w:id="81"/>
      </w:r>
      <w:r w:rsidRPr="00BB356A" w:rsidR="008C7280">
        <w:rPr>
          <w:spacing w:val="-1"/>
          <w:sz w:val="22"/>
          <w:szCs w:val="22"/>
        </w:rPr>
        <w:t xml:space="preserve">  </w:t>
      </w:r>
      <w:r w:rsidRPr="00BB356A" w:rsidR="001679CD">
        <w:rPr>
          <w:sz w:val="22"/>
          <w:szCs w:val="22"/>
        </w:rPr>
        <w:t xml:space="preserve">We are adopting stringent performance </w:t>
      </w:r>
      <w:r w:rsidRPr="00BB356A" w:rsidR="00B06FFB">
        <w:rPr>
          <w:sz w:val="22"/>
          <w:szCs w:val="22"/>
        </w:rPr>
        <w:t xml:space="preserve">benchmarks and certain </w:t>
      </w:r>
      <w:r w:rsidRPr="00BB356A" w:rsidR="001679CD">
        <w:rPr>
          <w:sz w:val="22"/>
          <w:szCs w:val="22"/>
        </w:rPr>
        <w:t xml:space="preserve">conditions below to ensure that, consistent with </w:t>
      </w:r>
      <w:r w:rsidRPr="005616C4" w:rsidR="00B06FFB">
        <w:rPr>
          <w:sz w:val="22"/>
          <w:szCs w:val="22"/>
        </w:rPr>
        <w:t>Section 309 of the Act</w:t>
      </w:r>
      <w:r>
        <w:rPr>
          <w:rStyle w:val="FootnoteReference"/>
          <w:sz w:val="22"/>
          <w:szCs w:val="22"/>
        </w:rPr>
        <w:footnoteReference w:id="82"/>
      </w:r>
      <w:r w:rsidRPr="00BB356A" w:rsidR="00B06FFB">
        <w:rPr>
          <w:sz w:val="22"/>
          <w:szCs w:val="22"/>
        </w:rPr>
        <w:t xml:space="preserve"> and </w:t>
      </w:r>
      <w:r w:rsidRPr="00BB356A" w:rsidR="001679CD">
        <w:rPr>
          <w:sz w:val="22"/>
          <w:szCs w:val="22"/>
        </w:rPr>
        <w:t xml:space="preserve">the </w:t>
      </w:r>
      <w:r w:rsidRPr="00BB356A" w:rsidR="001679CD">
        <w:rPr>
          <w:sz w:val="22"/>
          <w:szCs w:val="22"/>
        </w:rPr>
        <w:t>underlying purpose</w:t>
      </w:r>
      <w:r w:rsidRPr="00BB356A" w:rsidR="001679CD">
        <w:rPr>
          <w:sz w:val="22"/>
          <w:szCs w:val="22"/>
        </w:rPr>
        <w:t xml:space="preserve"> of Section 27.14(g), </w:t>
      </w:r>
      <w:r w:rsidRPr="00BB356A" w:rsidR="00490E97">
        <w:rPr>
          <w:sz w:val="22"/>
          <w:szCs w:val="22"/>
        </w:rPr>
        <w:t>AT&amp;T</w:t>
      </w:r>
      <w:r w:rsidRPr="00BB356A" w:rsidR="001679CD">
        <w:rPr>
          <w:sz w:val="22"/>
          <w:szCs w:val="22"/>
        </w:rPr>
        <w:t xml:space="preserve"> </w:t>
      </w:r>
      <w:r w:rsidRPr="005616C4" w:rsidR="00490E97">
        <w:rPr>
          <w:sz w:val="22"/>
          <w:szCs w:val="22"/>
        </w:rPr>
        <w:t>brings</w:t>
      </w:r>
      <w:r w:rsidRPr="005616C4" w:rsidR="001679CD">
        <w:rPr>
          <w:sz w:val="22"/>
          <w:szCs w:val="22"/>
        </w:rPr>
        <w:t xml:space="preserve"> new services </w:t>
      </w:r>
      <w:r w:rsidRPr="005616C4" w:rsidR="00490E97">
        <w:rPr>
          <w:sz w:val="22"/>
          <w:szCs w:val="22"/>
        </w:rPr>
        <w:t>to</w:t>
      </w:r>
      <w:r w:rsidRPr="005616C4" w:rsidR="00323ADD">
        <w:rPr>
          <w:sz w:val="22"/>
          <w:szCs w:val="22"/>
        </w:rPr>
        <w:t xml:space="preserve"> remote </w:t>
      </w:r>
      <w:r w:rsidRPr="005616C4" w:rsidR="00490E97">
        <w:rPr>
          <w:sz w:val="22"/>
          <w:szCs w:val="22"/>
        </w:rPr>
        <w:t xml:space="preserve">communities </w:t>
      </w:r>
      <w:r w:rsidRPr="005616C4" w:rsidR="005B1FA3">
        <w:rPr>
          <w:sz w:val="22"/>
          <w:szCs w:val="22"/>
        </w:rPr>
        <w:t xml:space="preserve">in </w:t>
      </w:r>
      <w:r w:rsidRPr="005616C4" w:rsidR="00490E97">
        <w:rPr>
          <w:sz w:val="22"/>
          <w:szCs w:val="22"/>
        </w:rPr>
        <w:t>CMA31</w:t>
      </w:r>
      <w:r w:rsidRPr="005616C4" w:rsidR="0015299A">
        <w:rPr>
          <w:sz w:val="22"/>
          <w:szCs w:val="22"/>
        </w:rPr>
        <w:t>6</w:t>
      </w:r>
      <w:r w:rsidRPr="005616C4" w:rsidR="001679CD">
        <w:rPr>
          <w:sz w:val="22"/>
          <w:szCs w:val="22"/>
        </w:rPr>
        <w:t>.</w:t>
      </w:r>
      <w:r w:rsidRPr="005616C4" w:rsidR="001761E3">
        <w:rPr>
          <w:sz w:val="22"/>
          <w:szCs w:val="22"/>
        </w:rPr>
        <w:t xml:space="preserve">  We </w:t>
      </w:r>
      <w:r w:rsidRPr="005616C4" w:rsidR="00DA49A8">
        <w:rPr>
          <w:sz w:val="22"/>
          <w:szCs w:val="22"/>
        </w:rPr>
        <w:t xml:space="preserve">further </w:t>
      </w:r>
      <w:r w:rsidRPr="005616C4" w:rsidR="001761E3">
        <w:rPr>
          <w:sz w:val="22"/>
          <w:szCs w:val="22"/>
        </w:rPr>
        <w:t xml:space="preserve">believe that </w:t>
      </w:r>
      <w:r w:rsidRPr="005616C4" w:rsidR="00912C58">
        <w:rPr>
          <w:sz w:val="22"/>
          <w:szCs w:val="22"/>
        </w:rPr>
        <w:t xml:space="preserve">AT&amp;T’s commitment to negotiate in good faith with any third party seeking to lease spectrum in an area not served by AT&amp;T, which we have included as a condition, will ensure access to unused portions of the </w:t>
      </w:r>
      <w:r w:rsidRPr="005616C4" w:rsidR="0009552D">
        <w:rPr>
          <w:sz w:val="22"/>
          <w:szCs w:val="22"/>
        </w:rPr>
        <w:t>L</w:t>
      </w:r>
      <w:r w:rsidRPr="005616C4" w:rsidR="00912C58">
        <w:rPr>
          <w:sz w:val="22"/>
          <w:szCs w:val="22"/>
        </w:rPr>
        <w:t>icense</w:t>
      </w:r>
      <w:r w:rsidRPr="005616C4" w:rsidR="0009552D">
        <w:rPr>
          <w:sz w:val="22"/>
          <w:szCs w:val="22"/>
        </w:rPr>
        <w:t xml:space="preserve"> area</w:t>
      </w:r>
      <w:r w:rsidRPr="005616C4" w:rsidR="00912C58">
        <w:rPr>
          <w:sz w:val="22"/>
          <w:szCs w:val="22"/>
        </w:rPr>
        <w:t xml:space="preserve"> by other providers, including any RWA members.</w:t>
      </w:r>
    </w:p>
    <w:p w:rsidR="0030115D" w:rsidRPr="005616C4" w:rsidP="005616C4">
      <w:pPr>
        <w:ind w:firstLine="720"/>
        <w:rPr>
          <w:sz w:val="22"/>
          <w:szCs w:val="22"/>
        </w:rPr>
      </w:pPr>
    </w:p>
    <w:p w:rsidR="0030115D" w:rsidRPr="00BB356A" w:rsidP="005616C4">
      <w:pPr>
        <w:ind w:firstLine="720"/>
        <w:rPr>
          <w:sz w:val="22"/>
          <w:szCs w:val="22"/>
        </w:rPr>
      </w:pPr>
      <w:r w:rsidRPr="005616C4">
        <w:rPr>
          <w:sz w:val="22"/>
          <w:szCs w:val="22"/>
        </w:rPr>
        <w:t xml:space="preserve">Accordingly, </w:t>
      </w:r>
      <w:r w:rsidRPr="005616C4" w:rsidR="00F82677">
        <w:rPr>
          <w:sz w:val="22"/>
          <w:szCs w:val="22"/>
        </w:rPr>
        <w:t xml:space="preserve">we hereby </w:t>
      </w:r>
      <w:r w:rsidRPr="005616C4" w:rsidR="002137B7">
        <w:rPr>
          <w:sz w:val="22"/>
          <w:szCs w:val="22"/>
        </w:rPr>
        <w:t xml:space="preserve">grant </w:t>
      </w:r>
      <w:r w:rsidRPr="005616C4" w:rsidR="0048510E">
        <w:rPr>
          <w:sz w:val="22"/>
          <w:szCs w:val="22"/>
        </w:rPr>
        <w:t>AT&amp;T</w:t>
      </w:r>
      <w:r w:rsidRPr="005616C4" w:rsidR="00B06FFB">
        <w:rPr>
          <w:sz w:val="22"/>
          <w:szCs w:val="22"/>
        </w:rPr>
        <w:t>’s request for</w:t>
      </w:r>
      <w:r w:rsidRPr="005616C4" w:rsidR="002137B7">
        <w:rPr>
          <w:sz w:val="22"/>
          <w:szCs w:val="22"/>
        </w:rPr>
        <w:t xml:space="preserve"> a waiver of Section 27.14(g) </w:t>
      </w:r>
      <w:r w:rsidRPr="005616C4">
        <w:rPr>
          <w:sz w:val="22"/>
          <w:szCs w:val="22"/>
        </w:rPr>
        <w:t xml:space="preserve">as </w:t>
      </w:r>
      <w:r w:rsidRPr="005616C4" w:rsidR="002137B7">
        <w:rPr>
          <w:sz w:val="22"/>
          <w:szCs w:val="22"/>
        </w:rPr>
        <w:t>condit</w:t>
      </w:r>
      <w:r w:rsidRPr="005616C4">
        <w:rPr>
          <w:sz w:val="22"/>
          <w:szCs w:val="22"/>
        </w:rPr>
        <w:t>ioned</w:t>
      </w:r>
      <w:r w:rsidRPr="005616C4" w:rsidR="002137B7">
        <w:rPr>
          <w:sz w:val="22"/>
          <w:szCs w:val="22"/>
        </w:rPr>
        <w:t xml:space="preserve"> below.</w:t>
      </w:r>
      <w:r>
        <w:rPr>
          <w:rStyle w:val="FootnoteReference"/>
          <w:color w:val="000000" w:themeColor="text1"/>
          <w:sz w:val="22"/>
          <w:szCs w:val="22"/>
        </w:rPr>
        <w:footnoteReference w:id="83"/>
      </w:r>
    </w:p>
    <w:p w:rsidR="0030115D" w:rsidRPr="005616C4" w:rsidP="005616C4">
      <w:pPr>
        <w:ind w:firstLine="720"/>
        <w:rPr>
          <w:sz w:val="22"/>
          <w:szCs w:val="22"/>
        </w:rPr>
      </w:pPr>
    </w:p>
    <w:p w:rsidR="002137B7" w:rsidRPr="00BB356A" w:rsidP="005616C4">
      <w:pPr>
        <w:ind w:firstLine="720"/>
        <w:rPr>
          <w:sz w:val="22"/>
          <w:szCs w:val="22"/>
        </w:rPr>
      </w:pPr>
      <w:r w:rsidRPr="005616C4">
        <w:rPr>
          <w:i/>
          <w:sz w:val="22"/>
          <w:szCs w:val="22"/>
        </w:rPr>
        <w:t xml:space="preserve">Coverage Benchmarks and </w:t>
      </w:r>
      <w:r w:rsidRPr="005616C4">
        <w:rPr>
          <w:i/>
          <w:sz w:val="22"/>
          <w:szCs w:val="22"/>
        </w:rPr>
        <w:t>Waiver Conditions.</w:t>
      </w:r>
      <w:r w:rsidRPr="005616C4">
        <w:rPr>
          <w:sz w:val="22"/>
          <w:szCs w:val="22"/>
        </w:rPr>
        <w:t xml:space="preserve">  To ensure that </w:t>
      </w:r>
      <w:r w:rsidRPr="005616C4">
        <w:rPr>
          <w:sz w:val="22"/>
          <w:szCs w:val="22"/>
        </w:rPr>
        <w:t xml:space="preserve">the benefits of the waiver relief are realized by citizens </w:t>
      </w:r>
      <w:r w:rsidRPr="005616C4" w:rsidR="00B870AE">
        <w:rPr>
          <w:sz w:val="22"/>
          <w:szCs w:val="22"/>
        </w:rPr>
        <w:t xml:space="preserve">in </w:t>
      </w:r>
      <w:r w:rsidRPr="005616C4" w:rsidR="005B1FA3">
        <w:rPr>
          <w:sz w:val="22"/>
          <w:szCs w:val="22"/>
        </w:rPr>
        <w:t>isolated</w:t>
      </w:r>
      <w:r w:rsidRPr="005616C4" w:rsidR="00B870AE">
        <w:rPr>
          <w:sz w:val="22"/>
          <w:szCs w:val="22"/>
        </w:rPr>
        <w:t xml:space="preserve"> area</w:t>
      </w:r>
      <w:r w:rsidRPr="005616C4" w:rsidR="00A415E4">
        <w:rPr>
          <w:sz w:val="22"/>
          <w:szCs w:val="22"/>
        </w:rPr>
        <w:t>s</w:t>
      </w:r>
      <w:r w:rsidRPr="005616C4" w:rsidR="00B870AE">
        <w:rPr>
          <w:sz w:val="22"/>
          <w:szCs w:val="22"/>
        </w:rPr>
        <w:t xml:space="preserve"> </w:t>
      </w:r>
      <w:r w:rsidRPr="005616C4">
        <w:rPr>
          <w:sz w:val="22"/>
          <w:szCs w:val="22"/>
        </w:rPr>
        <w:t xml:space="preserve">of </w:t>
      </w:r>
      <w:r w:rsidRPr="005616C4" w:rsidR="005B1FA3">
        <w:rPr>
          <w:sz w:val="22"/>
          <w:szCs w:val="22"/>
        </w:rPr>
        <w:t>CMA31</w:t>
      </w:r>
      <w:r w:rsidRPr="005616C4" w:rsidR="00170703">
        <w:rPr>
          <w:sz w:val="22"/>
          <w:szCs w:val="22"/>
        </w:rPr>
        <w:t>6</w:t>
      </w:r>
      <w:r w:rsidRPr="005616C4">
        <w:rPr>
          <w:sz w:val="22"/>
          <w:szCs w:val="22"/>
        </w:rPr>
        <w:t xml:space="preserve">, we require </w:t>
      </w:r>
      <w:r w:rsidRPr="005616C4" w:rsidR="00983D60">
        <w:rPr>
          <w:sz w:val="22"/>
          <w:szCs w:val="22"/>
        </w:rPr>
        <w:t>AT&amp;T</w:t>
      </w:r>
      <w:r w:rsidRPr="005616C4">
        <w:rPr>
          <w:sz w:val="22"/>
          <w:szCs w:val="22"/>
        </w:rPr>
        <w:t xml:space="preserve"> to satisfy </w:t>
      </w:r>
      <w:r w:rsidRPr="005616C4" w:rsidR="00A726B5">
        <w:rPr>
          <w:sz w:val="22"/>
          <w:szCs w:val="22"/>
        </w:rPr>
        <w:t xml:space="preserve">certain </w:t>
      </w:r>
      <w:r w:rsidRPr="005616C4" w:rsidR="00B06FFB">
        <w:rPr>
          <w:sz w:val="22"/>
          <w:szCs w:val="22"/>
        </w:rPr>
        <w:t>coverage benchmarks</w:t>
      </w:r>
      <w:r w:rsidRPr="005616C4">
        <w:rPr>
          <w:sz w:val="22"/>
          <w:szCs w:val="22"/>
        </w:rPr>
        <w:t xml:space="preserve"> and other </w:t>
      </w:r>
      <w:r w:rsidRPr="005616C4">
        <w:rPr>
          <w:sz w:val="22"/>
          <w:szCs w:val="22"/>
        </w:rPr>
        <w:t xml:space="preserve">conditions.  If </w:t>
      </w:r>
      <w:r w:rsidRPr="005616C4" w:rsidR="0048510E">
        <w:rPr>
          <w:sz w:val="22"/>
          <w:szCs w:val="22"/>
        </w:rPr>
        <w:t>AT&amp;T</w:t>
      </w:r>
      <w:r w:rsidRPr="005616C4">
        <w:rPr>
          <w:sz w:val="22"/>
          <w:szCs w:val="22"/>
        </w:rPr>
        <w:t xml:space="preserve"> fails to </w:t>
      </w:r>
      <w:r w:rsidRPr="005616C4">
        <w:rPr>
          <w:sz w:val="22"/>
          <w:szCs w:val="22"/>
        </w:rPr>
        <w:t xml:space="preserve">meet any benchmark or </w:t>
      </w:r>
      <w:r w:rsidRPr="005616C4">
        <w:rPr>
          <w:sz w:val="22"/>
          <w:szCs w:val="22"/>
        </w:rPr>
        <w:t>satisfy any condition, it will (unless specified otherwise) be subject to the Section 27.14(g</w:t>
      </w:r>
      <w:r w:rsidRPr="005616C4">
        <w:rPr>
          <w:sz w:val="22"/>
          <w:szCs w:val="22"/>
        </w:rPr>
        <w:t>)(</w:t>
      </w:r>
      <w:r w:rsidRPr="005616C4">
        <w:rPr>
          <w:sz w:val="22"/>
          <w:szCs w:val="22"/>
        </w:rPr>
        <w:t>2) “keep-what-you-serve” rule that would have applied as of June 13, 2017</w:t>
      </w:r>
      <w:r w:rsidRPr="005616C4" w:rsidR="00A726B5">
        <w:rPr>
          <w:sz w:val="22"/>
          <w:szCs w:val="22"/>
        </w:rPr>
        <w:t xml:space="preserve"> (</w:t>
      </w:r>
      <w:r w:rsidRPr="005616C4">
        <w:rPr>
          <w:sz w:val="22"/>
          <w:szCs w:val="22"/>
        </w:rPr>
        <w:t xml:space="preserve">the </w:t>
      </w:r>
      <w:r w:rsidRPr="005616C4" w:rsidR="00AB05BF">
        <w:rPr>
          <w:sz w:val="22"/>
          <w:szCs w:val="22"/>
        </w:rPr>
        <w:t xml:space="preserve">accelerated </w:t>
      </w:r>
      <w:r w:rsidRPr="005616C4">
        <w:rPr>
          <w:sz w:val="22"/>
          <w:szCs w:val="22"/>
        </w:rPr>
        <w:t>end</w:t>
      </w:r>
      <w:r w:rsidRPr="005616C4" w:rsidR="002B69E0">
        <w:rPr>
          <w:sz w:val="22"/>
          <w:szCs w:val="22"/>
        </w:rPr>
        <w:t>-</w:t>
      </w:r>
      <w:r w:rsidRPr="005616C4">
        <w:rPr>
          <w:sz w:val="22"/>
          <w:szCs w:val="22"/>
        </w:rPr>
        <w:t>of</w:t>
      </w:r>
      <w:r w:rsidRPr="005616C4" w:rsidR="002B69E0">
        <w:rPr>
          <w:sz w:val="22"/>
          <w:szCs w:val="22"/>
        </w:rPr>
        <w:t>-</w:t>
      </w:r>
      <w:r w:rsidRPr="005616C4">
        <w:rPr>
          <w:sz w:val="22"/>
          <w:szCs w:val="22"/>
        </w:rPr>
        <w:t>license term absent</w:t>
      </w:r>
      <w:r w:rsidRPr="005616C4" w:rsidR="00A91048">
        <w:rPr>
          <w:sz w:val="22"/>
          <w:szCs w:val="22"/>
        </w:rPr>
        <w:t xml:space="preserve"> a waiver of Section 27.14(g)</w:t>
      </w:r>
      <w:r w:rsidRPr="005616C4" w:rsidR="00A726B5">
        <w:rPr>
          <w:sz w:val="22"/>
          <w:szCs w:val="22"/>
        </w:rPr>
        <w:t>)</w:t>
      </w:r>
      <w:r w:rsidRPr="005616C4">
        <w:rPr>
          <w:sz w:val="22"/>
          <w:szCs w:val="22"/>
        </w:rPr>
        <w:t>.</w:t>
      </w:r>
      <w:r>
        <w:rPr>
          <w:rStyle w:val="FootnoteReference"/>
          <w:sz w:val="22"/>
          <w:szCs w:val="22"/>
        </w:rPr>
        <w:footnoteReference w:id="84"/>
      </w:r>
      <w:r w:rsidRPr="00BB356A">
        <w:rPr>
          <w:sz w:val="22"/>
          <w:szCs w:val="22"/>
        </w:rPr>
        <w:t xml:space="preserve"> </w:t>
      </w:r>
    </w:p>
    <w:p w:rsidR="001E3D55" w:rsidRPr="005616C4" w:rsidP="005616C4">
      <w:pPr>
        <w:pStyle w:val="ParaNum"/>
      </w:pPr>
    </w:p>
    <w:p w:rsidR="00C21DD4" w:rsidRPr="00D23F0F" w:rsidP="005616C4">
      <w:pPr>
        <w:pStyle w:val="ParaNum"/>
        <w:numPr>
          <w:ilvl w:val="0"/>
          <w:numId w:val="40"/>
        </w:numPr>
      </w:pPr>
      <w:r w:rsidRPr="005616C4">
        <w:rPr>
          <w:i/>
        </w:rPr>
        <w:t>7</w:t>
      </w:r>
      <w:r w:rsidRPr="005616C4">
        <w:rPr>
          <w:i/>
        </w:rPr>
        <w:t>5</w:t>
      </w:r>
      <w:r w:rsidRPr="005616C4" w:rsidR="002E613B">
        <w:rPr>
          <w:i/>
        </w:rPr>
        <w:t xml:space="preserve"> Percent</w:t>
      </w:r>
      <w:r w:rsidRPr="005616C4" w:rsidR="002E613B">
        <w:rPr>
          <w:i/>
        </w:rPr>
        <w:t xml:space="preserve"> Population Coverage </w:t>
      </w:r>
      <w:r w:rsidRPr="005616C4" w:rsidR="00EA5DA0">
        <w:rPr>
          <w:i/>
        </w:rPr>
        <w:t>Benchmark</w:t>
      </w:r>
      <w:r w:rsidRPr="005616C4" w:rsidR="002E613B">
        <w:t xml:space="preserve">.  </w:t>
      </w:r>
      <w:r w:rsidRPr="005616C4" w:rsidR="0052475E">
        <w:t>The waiver relief described in this Order is effective only if AT&amp;T provided</w:t>
      </w:r>
      <w:r w:rsidRPr="005616C4" w:rsidR="005F39C8">
        <w:t xml:space="preserve"> </w:t>
      </w:r>
      <w:r w:rsidRPr="005616C4" w:rsidR="00F26D48">
        <w:t>signal coverage and offer</w:t>
      </w:r>
      <w:r w:rsidRPr="005616C4" w:rsidR="0052475E">
        <w:t>ed</w:t>
      </w:r>
      <w:r w:rsidRPr="005616C4" w:rsidR="00F26D48">
        <w:t xml:space="preserve"> service </w:t>
      </w:r>
      <w:r w:rsidRPr="005616C4" w:rsidR="00B870AE">
        <w:t xml:space="preserve">to </w:t>
      </w:r>
      <w:r w:rsidRPr="005616C4" w:rsidR="00F26D48">
        <w:t xml:space="preserve">at least </w:t>
      </w:r>
      <w:r w:rsidRPr="005616C4">
        <w:t>7</w:t>
      </w:r>
      <w:r w:rsidR="00F7671A">
        <w:t>5</w:t>
      </w:r>
      <w:r w:rsidRPr="005616C4" w:rsidR="00F26D48">
        <w:t xml:space="preserve"> percent of </w:t>
      </w:r>
      <w:r w:rsidRPr="005616C4" w:rsidR="00503F06">
        <w:t>CMA31</w:t>
      </w:r>
      <w:r w:rsidRPr="005616C4">
        <w:t>6</w:t>
      </w:r>
      <w:r w:rsidRPr="005616C4" w:rsidR="00503F06">
        <w:t xml:space="preserve">’s </w:t>
      </w:r>
      <w:r w:rsidRPr="005616C4" w:rsidR="00F26D48">
        <w:t>population</w:t>
      </w:r>
      <w:r w:rsidRPr="005616C4" w:rsidR="0052475E">
        <w:t xml:space="preserve"> by December 13, 2016</w:t>
      </w:r>
      <w:r w:rsidRPr="005616C4" w:rsidR="00F26D48">
        <w:t xml:space="preserve">.  </w:t>
      </w:r>
      <w:r w:rsidRPr="005616C4" w:rsidR="00F26D48">
        <w:t>If AT&amp;T fail</w:t>
      </w:r>
      <w:r w:rsidRPr="005616C4" w:rsidR="0052475E">
        <w:t>ed</w:t>
      </w:r>
      <w:r w:rsidRPr="005616C4" w:rsidR="00F26D48">
        <w:t xml:space="preserve"> to </w:t>
      </w:r>
      <w:r w:rsidRPr="005616C4" w:rsidR="00503F06">
        <w:t xml:space="preserve">meet this </w:t>
      </w:r>
      <w:r w:rsidRPr="005616C4" w:rsidR="0052475E">
        <w:t xml:space="preserve">initial </w:t>
      </w:r>
      <w:r w:rsidRPr="005616C4" w:rsidR="00C51F9B">
        <w:t>benchmark</w:t>
      </w:r>
      <w:r w:rsidRPr="005616C4" w:rsidR="00F26D48">
        <w:t>,</w:t>
      </w:r>
      <w:r w:rsidRPr="005616C4" w:rsidR="00B51B7D">
        <w:t xml:space="preserve"> its license term </w:t>
      </w:r>
      <w:r w:rsidRPr="005616C4" w:rsidR="0052475E">
        <w:t>will</w:t>
      </w:r>
      <w:r w:rsidRPr="005616C4" w:rsidR="00B51B7D">
        <w:t xml:space="preserve"> be reduced by two years, to June 13, 2017, and </w:t>
      </w:r>
      <w:r w:rsidRPr="005616C4" w:rsidR="00F26D48">
        <w:t xml:space="preserve">its authorization will automatically terminate, without Commission action, for those geographic portions of the License </w:t>
      </w:r>
      <w:r w:rsidRPr="005616C4" w:rsidR="005B1FA3">
        <w:t xml:space="preserve">area </w:t>
      </w:r>
      <w:r w:rsidRPr="005616C4" w:rsidR="00F26D48">
        <w:t xml:space="preserve">in which AT&amp;T </w:t>
      </w:r>
      <w:r w:rsidRPr="005616C4" w:rsidR="009F5C43">
        <w:t xml:space="preserve">is </w:t>
      </w:r>
      <w:r w:rsidRPr="005616C4" w:rsidR="00F26D48">
        <w:t xml:space="preserve">not providing service </w:t>
      </w:r>
      <w:r w:rsidRPr="005616C4" w:rsidR="00F26D48">
        <w:rPr>
          <w:u w:val="single"/>
        </w:rPr>
        <w:t>by June 13, 2017</w:t>
      </w:r>
      <w:r w:rsidRPr="005616C4" w:rsidR="00F26D48">
        <w:t>, and those unserved areas will become available for reassignment by the Commission</w:t>
      </w:r>
      <w:r w:rsidRPr="005616C4" w:rsidR="002B4755">
        <w:t>.</w:t>
      </w:r>
      <w:r w:rsidRPr="005616C4" w:rsidR="00170703">
        <w:t xml:space="preserve"> </w:t>
      </w:r>
      <w:r w:rsidRPr="005616C4" w:rsidR="002B4755">
        <w:t xml:space="preserve"> </w:t>
      </w:r>
      <w:r w:rsidRPr="005616C4">
        <w:t xml:space="preserve">AT&amp;T must </w:t>
      </w:r>
      <w:r w:rsidRPr="005616C4" w:rsidR="00404BA9">
        <w:t xml:space="preserve">modify its </w:t>
      </w:r>
      <w:r w:rsidRPr="005616C4" w:rsidR="007120BF">
        <w:t xml:space="preserve">interim </w:t>
      </w:r>
      <w:r w:rsidRPr="005616C4" w:rsidR="00404BA9">
        <w:t>notification of construction</w:t>
      </w:r>
      <w:r>
        <w:rPr>
          <w:rStyle w:val="FootnoteReference"/>
        </w:rPr>
        <w:footnoteReference w:id="85"/>
      </w:r>
      <w:r w:rsidRPr="00BB356A" w:rsidR="007120BF">
        <w:t xml:space="preserve"> for Call Sign WQIZ597</w:t>
      </w:r>
      <w:r>
        <w:rPr>
          <w:rStyle w:val="FootnoteReference"/>
        </w:rPr>
        <w:footnoteReference w:id="86"/>
      </w:r>
      <w:r w:rsidRPr="00BB356A" w:rsidR="00404BA9">
        <w:t xml:space="preserve"> to</w:t>
      </w:r>
      <w:r w:rsidRPr="00BB356A">
        <w:t xml:space="preserve"> demonstrat</w:t>
      </w:r>
      <w:r w:rsidRPr="00BB356A" w:rsidR="00B24A8B">
        <w:t>e</w:t>
      </w:r>
      <w:r w:rsidRPr="005616C4">
        <w:t xml:space="preserve"> its population coverage as of December 13, 2016, </w:t>
      </w:r>
      <w:r w:rsidRPr="00D23F0F">
        <w:t>within 15 days of the date of this Order.</w:t>
      </w:r>
    </w:p>
    <w:p w:rsidR="001E3D55" w:rsidRPr="00D23F0F" w:rsidP="005616C4">
      <w:pPr>
        <w:pStyle w:val="ParaNum"/>
        <w:ind w:left="720" w:firstLine="0"/>
      </w:pPr>
    </w:p>
    <w:p w:rsidR="007F6EA3" w:rsidRPr="00D23F0F" w:rsidP="005616C4">
      <w:pPr>
        <w:pStyle w:val="ParaNum"/>
        <w:numPr>
          <w:ilvl w:val="0"/>
          <w:numId w:val="40"/>
        </w:numPr>
      </w:pPr>
      <w:r w:rsidRPr="00D23F0F">
        <w:rPr>
          <w:i/>
        </w:rPr>
        <w:t>80</w:t>
      </w:r>
      <w:r w:rsidRPr="00D23F0F">
        <w:rPr>
          <w:i/>
        </w:rPr>
        <w:t xml:space="preserve"> Percent</w:t>
      </w:r>
      <w:r w:rsidRPr="00D23F0F">
        <w:rPr>
          <w:i/>
        </w:rPr>
        <w:t xml:space="preserve"> Population Coverage Benchmark</w:t>
      </w:r>
      <w:r w:rsidRPr="00D23F0F">
        <w:t xml:space="preserve">.  By June 13, 2019, AT&amp;T must provide signal coverage and offer service to at least </w:t>
      </w:r>
      <w:r w:rsidRPr="00D23F0F">
        <w:t>80</w:t>
      </w:r>
      <w:r w:rsidRPr="00D23F0F">
        <w:t xml:space="preserve"> percent of </w:t>
      </w:r>
      <w:r w:rsidRPr="00D23F0F">
        <w:t>CMA316</w:t>
      </w:r>
      <w:r w:rsidRPr="00D23F0F">
        <w:t>’s population.</w:t>
      </w:r>
      <w:r>
        <w:rPr>
          <w:rStyle w:val="FootnoteReference"/>
        </w:rPr>
        <w:footnoteReference w:id="87"/>
      </w:r>
      <w:r w:rsidRPr="00D23F0F" w:rsidR="00F51B6C">
        <w:t xml:space="preserve">  </w:t>
      </w:r>
      <w:r w:rsidRPr="00D23F0F">
        <w:t xml:space="preserve">If AT&amp;T fails to meet this benchmark, its authorization will automatically terminate, without Commission action, for those geographic portions of the License area in which AT&amp;T was not providing service </w:t>
      </w:r>
      <w:r w:rsidRPr="00D23F0F">
        <w:rPr>
          <w:u w:val="single"/>
        </w:rPr>
        <w:t>by June 13, 2017</w:t>
      </w:r>
      <w:r w:rsidRPr="00D23F0F">
        <w:t>, and those unserved areas will become available for reassignment by the Commission. </w:t>
      </w:r>
      <w:r w:rsidRPr="00D23F0F">
        <w:t xml:space="preserve"> </w:t>
      </w:r>
      <w:r w:rsidRPr="00D23F0F" w:rsidR="00C21DD4">
        <w:t xml:space="preserve">In addition, so that the </w:t>
      </w:r>
      <w:r w:rsidRPr="00D23F0F" w:rsidR="00A30AC0">
        <w:t>Bureau</w:t>
      </w:r>
      <w:r w:rsidRPr="00D23F0F" w:rsidR="00C21DD4">
        <w:t xml:space="preserve"> may determine AT&amp;T’s served geographic portion as of June 13, 2017, AT&amp;T must file with the Bureau a showing demonstrating its geographic coverage area </w:t>
      </w:r>
      <w:r w:rsidRPr="00D23F0F" w:rsidR="00DF37E4">
        <w:t xml:space="preserve">as of June 13, 2017, </w:t>
      </w:r>
      <w:r w:rsidRPr="00D23F0F" w:rsidR="00C21DD4">
        <w:t>within 15 days of the date of this Order.</w:t>
      </w:r>
    </w:p>
    <w:p w:rsidR="007F6EA3" w:rsidRPr="005616C4" w:rsidP="00BB356A">
      <w:pPr>
        <w:pStyle w:val="ListParagraph"/>
        <w:rPr>
          <w:i/>
          <w:szCs w:val="22"/>
          <w:highlight w:val="yellow"/>
        </w:rPr>
      </w:pPr>
    </w:p>
    <w:p w:rsidR="002E613B" w:rsidRPr="005616C4" w:rsidP="005616C4">
      <w:pPr>
        <w:pStyle w:val="ParaNum"/>
        <w:numPr>
          <w:ilvl w:val="0"/>
          <w:numId w:val="40"/>
        </w:numPr>
      </w:pPr>
      <w:r w:rsidRPr="005616C4">
        <w:rPr>
          <w:i/>
        </w:rPr>
        <w:t>8</w:t>
      </w:r>
      <w:r w:rsidRPr="005616C4" w:rsidR="00B032BC">
        <w:rPr>
          <w:i/>
        </w:rPr>
        <w:t>5</w:t>
      </w:r>
      <w:r w:rsidRPr="005616C4">
        <w:rPr>
          <w:i/>
        </w:rPr>
        <w:t xml:space="preserve"> Percent</w:t>
      </w:r>
      <w:r w:rsidRPr="005616C4">
        <w:rPr>
          <w:i/>
        </w:rPr>
        <w:t xml:space="preserve"> Population Coverage </w:t>
      </w:r>
      <w:r w:rsidRPr="005616C4" w:rsidR="00C51F9B">
        <w:rPr>
          <w:i/>
        </w:rPr>
        <w:t>Benchmark</w:t>
      </w:r>
      <w:r w:rsidRPr="005616C4">
        <w:t xml:space="preserve">.  </w:t>
      </w:r>
      <w:r w:rsidRPr="005616C4" w:rsidR="00F26D48">
        <w:t xml:space="preserve">By June 13, </w:t>
      </w:r>
      <w:r w:rsidRPr="005616C4" w:rsidR="007F6EA3">
        <w:t>2020</w:t>
      </w:r>
      <w:r w:rsidRPr="005616C4" w:rsidR="00F26D48">
        <w:t xml:space="preserve">, </w:t>
      </w:r>
      <w:r w:rsidRPr="005616C4" w:rsidR="00CE0FA4">
        <w:t xml:space="preserve">AT&amp;T must provide signal coverage and offer service </w:t>
      </w:r>
      <w:r w:rsidRPr="005616C4" w:rsidR="00B870AE">
        <w:t xml:space="preserve">to </w:t>
      </w:r>
      <w:r w:rsidRPr="005616C4" w:rsidR="00CE0FA4">
        <w:t>at least 8</w:t>
      </w:r>
      <w:r w:rsidRPr="005616C4" w:rsidR="00B032BC">
        <w:t>5</w:t>
      </w:r>
      <w:r w:rsidRPr="005616C4" w:rsidR="00CE0FA4">
        <w:t xml:space="preserve"> </w:t>
      </w:r>
      <w:r w:rsidRPr="005616C4" w:rsidR="005B1FA3">
        <w:t xml:space="preserve">percent of </w:t>
      </w:r>
      <w:r w:rsidRPr="005616C4" w:rsidR="00B032BC">
        <w:t>CMA316</w:t>
      </w:r>
      <w:r w:rsidRPr="005616C4" w:rsidR="00503F06">
        <w:t xml:space="preserve">’s </w:t>
      </w:r>
      <w:r w:rsidRPr="005616C4" w:rsidR="00CE0FA4">
        <w:t>population</w:t>
      </w:r>
      <w:r w:rsidRPr="005616C4" w:rsidR="007F6C08">
        <w:t>.</w:t>
      </w:r>
      <w:r>
        <w:rPr>
          <w:rStyle w:val="FootnoteReference"/>
        </w:rPr>
        <w:footnoteReference w:id="88"/>
      </w:r>
      <w:r w:rsidRPr="00BB356A" w:rsidR="00707019">
        <w:t xml:space="preserve">  </w:t>
      </w:r>
      <w:r w:rsidRPr="00BB356A" w:rsidR="00F26D48">
        <w:t xml:space="preserve">If </w:t>
      </w:r>
      <w:r w:rsidRPr="005616C4" w:rsidR="00CE0FA4">
        <w:t>AT&amp;T</w:t>
      </w:r>
      <w:r w:rsidRPr="005616C4" w:rsidR="00F26D48">
        <w:t xml:space="preserve"> fails to </w:t>
      </w:r>
      <w:r w:rsidRPr="005616C4" w:rsidR="00503F06">
        <w:t xml:space="preserve">meet this </w:t>
      </w:r>
      <w:r w:rsidRPr="005616C4" w:rsidR="00C51F9B">
        <w:t>benchmark</w:t>
      </w:r>
      <w:r w:rsidRPr="005616C4" w:rsidR="00F26D48">
        <w:t xml:space="preserve">, its authorization will automatically terminate, without Commission action, for those geographic portions of </w:t>
      </w:r>
      <w:r w:rsidRPr="005616C4" w:rsidR="00CE0FA4">
        <w:t>the</w:t>
      </w:r>
      <w:r w:rsidRPr="005616C4" w:rsidR="00F26D48">
        <w:t xml:space="preserve"> License </w:t>
      </w:r>
      <w:r w:rsidRPr="005616C4" w:rsidR="005B1FA3">
        <w:t xml:space="preserve">area </w:t>
      </w:r>
      <w:r w:rsidRPr="005616C4" w:rsidR="00CE0FA4">
        <w:t xml:space="preserve">in which AT&amp;T was not providing service </w:t>
      </w:r>
      <w:r w:rsidRPr="005616C4" w:rsidR="00CE0FA4">
        <w:rPr>
          <w:u w:val="single"/>
        </w:rPr>
        <w:t>by June 13, 2017</w:t>
      </w:r>
      <w:r w:rsidRPr="005616C4" w:rsidR="00CE0FA4">
        <w:t>, and those unserved areas will become available for reassignment by the Commission</w:t>
      </w:r>
      <w:r w:rsidRPr="005616C4" w:rsidR="00F26D48">
        <w:t>. </w:t>
      </w:r>
      <w:r w:rsidRPr="005616C4" w:rsidR="00F26D48">
        <w:t xml:space="preserve"> </w:t>
      </w:r>
    </w:p>
    <w:p w:rsidR="002E613B" w:rsidRPr="005616C4" w:rsidP="00BB356A">
      <w:pPr>
        <w:pStyle w:val="ListParagraph"/>
        <w:rPr>
          <w:i/>
          <w:szCs w:val="22"/>
        </w:rPr>
      </w:pPr>
    </w:p>
    <w:p w:rsidR="002B7713" w:rsidRPr="005616C4" w:rsidP="005616C4">
      <w:pPr>
        <w:pStyle w:val="ParaNum"/>
        <w:numPr>
          <w:ilvl w:val="0"/>
          <w:numId w:val="40"/>
        </w:numPr>
      </w:pPr>
      <w:r w:rsidRPr="005616C4">
        <w:rPr>
          <w:i/>
        </w:rPr>
        <w:t>Continuity of Coverage</w:t>
      </w:r>
      <w:r w:rsidRPr="005616C4">
        <w:t xml:space="preserve">.  </w:t>
      </w:r>
      <w:r w:rsidRPr="005616C4" w:rsidR="003D5AB2">
        <w:t>AT&amp;T</w:t>
      </w:r>
      <w:r w:rsidRPr="005616C4">
        <w:t xml:space="preserve"> must maintain </w:t>
      </w:r>
      <w:r w:rsidRPr="005616C4" w:rsidR="002E455C">
        <w:t xml:space="preserve">coverage and service to </w:t>
      </w:r>
      <w:r w:rsidRPr="005616C4" w:rsidR="00B51B7D">
        <w:t xml:space="preserve">at least </w:t>
      </w:r>
      <w:r w:rsidRPr="005616C4" w:rsidR="002E455C">
        <w:t>8</w:t>
      </w:r>
      <w:r w:rsidRPr="005616C4" w:rsidR="00B032BC">
        <w:t>5</w:t>
      </w:r>
      <w:r w:rsidRPr="005616C4" w:rsidR="002E455C">
        <w:t xml:space="preserve"> percent of </w:t>
      </w:r>
      <w:r w:rsidRPr="005616C4" w:rsidR="00B032BC">
        <w:t>CMA316</w:t>
      </w:r>
      <w:r w:rsidRPr="005616C4" w:rsidR="00503F06">
        <w:t xml:space="preserve">’s </w:t>
      </w:r>
      <w:r w:rsidRPr="005616C4" w:rsidR="002E455C">
        <w:t>population</w:t>
      </w:r>
      <w:r w:rsidRPr="005616C4">
        <w:t xml:space="preserve"> for a minimum of five years</w:t>
      </w:r>
      <w:r w:rsidRPr="005616C4" w:rsidR="007F6C08">
        <w:t>, commencing</w:t>
      </w:r>
      <w:r w:rsidRPr="005616C4" w:rsidR="002E455C">
        <w:t xml:space="preserve"> June 13, </w:t>
      </w:r>
      <w:r w:rsidRPr="005616C4" w:rsidR="007F6EA3">
        <w:t>2020</w:t>
      </w:r>
      <w:r w:rsidRPr="005616C4" w:rsidR="007F6C08">
        <w:t xml:space="preserve"> (that is, </w:t>
      </w:r>
      <w:r w:rsidRPr="005616C4" w:rsidR="003D5AB2">
        <w:t xml:space="preserve">until </w:t>
      </w:r>
      <w:r w:rsidRPr="005616C4" w:rsidR="007F6C08">
        <w:t xml:space="preserve">at least </w:t>
      </w:r>
      <w:r w:rsidRPr="005616C4" w:rsidR="003D5AB2">
        <w:t xml:space="preserve">June 13, </w:t>
      </w:r>
      <w:r w:rsidRPr="005616C4" w:rsidR="007F6EA3">
        <w:t>2025</w:t>
      </w:r>
      <w:r w:rsidRPr="005616C4" w:rsidR="007F6C08">
        <w:t>)</w:t>
      </w:r>
      <w:r w:rsidRPr="005616C4" w:rsidR="003D5AB2">
        <w:t xml:space="preserve">.  </w:t>
      </w:r>
      <w:r w:rsidRPr="005616C4">
        <w:t xml:space="preserve">However, </w:t>
      </w:r>
      <w:r w:rsidRPr="005616C4" w:rsidR="003D5AB2">
        <w:t>AT&amp;T</w:t>
      </w:r>
      <w:r w:rsidRPr="005616C4">
        <w:t xml:space="preserve"> may reduce </w:t>
      </w:r>
      <w:r w:rsidRPr="005616C4" w:rsidR="00B51B7D">
        <w:t xml:space="preserve">coverage and </w:t>
      </w:r>
      <w:r w:rsidRPr="005616C4">
        <w:t xml:space="preserve">service </w:t>
      </w:r>
      <w:r w:rsidRPr="005616C4" w:rsidR="00B870AE">
        <w:t>to less</w:t>
      </w:r>
      <w:r w:rsidRPr="005616C4">
        <w:t xml:space="preserve"> than </w:t>
      </w:r>
      <w:r w:rsidRPr="005616C4" w:rsidR="00B870AE">
        <w:t>8</w:t>
      </w:r>
      <w:r w:rsidRPr="005616C4">
        <w:t xml:space="preserve">0 percent </w:t>
      </w:r>
      <w:r w:rsidRPr="005616C4" w:rsidR="00B870AE">
        <w:t xml:space="preserve">of </w:t>
      </w:r>
      <w:r w:rsidRPr="005616C4" w:rsidR="008808B5">
        <w:t>CMA316</w:t>
      </w:r>
      <w:r w:rsidRPr="005616C4" w:rsidR="00E70869">
        <w:t>’s</w:t>
      </w:r>
      <w:r w:rsidRPr="005616C4" w:rsidR="00B870AE">
        <w:t xml:space="preserve"> population </w:t>
      </w:r>
      <w:r w:rsidRPr="005616C4">
        <w:t xml:space="preserve">for up to 180 days to accommodate circumstances such as a </w:t>
      </w:r>
      <w:r w:rsidRPr="005616C4" w:rsidR="00DD7DF5">
        <w:t xml:space="preserve">substantial </w:t>
      </w:r>
      <w:r w:rsidRPr="005616C4" w:rsidR="005B1FA3">
        <w:t xml:space="preserve">technology </w:t>
      </w:r>
      <w:r w:rsidRPr="005616C4">
        <w:t>upgrade or recovery from a natural or manmade catastrophe.</w:t>
      </w:r>
      <w:r w:rsidRPr="005616C4" w:rsidR="003D5AB2">
        <w:t xml:space="preserve">  </w:t>
      </w:r>
      <w:r w:rsidRPr="005616C4" w:rsidR="001F27D6">
        <w:t>If AT&amp;T violates this condition, it must provide written notice to the Commission, and its authorization will automatically terminate, without Commission action, for thos</w:t>
      </w:r>
      <w:r w:rsidRPr="005616C4" w:rsidR="00707019">
        <w:t xml:space="preserve">e geographic portions of the </w:t>
      </w:r>
      <w:r w:rsidRPr="005616C4" w:rsidR="001F27D6">
        <w:t xml:space="preserve">License area in which </w:t>
      </w:r>
      <w:r w:rsidRPr="005616C4" w:rsidR="00707019">
        <w:t>AT&amp;T</w:t>
      </w:r>
      <w:r w:rsidRPr="005616C4" w:rsidR="001F27D6">
        <w:t xml:space="preserve"> was not providing service </w:t>
      </w:r>
      <w:r w:rsidRPr="005616C4" w:rsidR="001F27D6">
        <w:rPr>
          <w:u w:val="single"/>
        </w:rPr>
        <w:t>by June 13, 2017</w:t>
      </w:r>
      <w:r w:rsidRPr="005616C4" w:rsidR="001F27D6">
        <w:t>, and those areas will become available for reassignment by the Commission.</w:t>
      </w:r>
    </w:p>
    <w:p w:rsidR="002B7713" w:rsidRPr="005616C4" w:rsidP="005616C4">
      <w:pPr>
        <w:pStyle w:val="ParaNum"/>
        <w:ind w:left="720" w:firstLine="0"/>
      </w:pPr>
    </w:p>
    <w:p w:rsidR="006931BE" w:rsidRPr="005616C4" w:rsidP="005616C4">
      <w:pPr>
        <w:pStyle w:val="ParaNum"/>
        <w:numPr>
          <w:ilvl w:val="0"/>
          <w:numId w:val="40"/>
        </w:numPr>
      </w:pPr>
      <w:r w:rsidRPr="005616C4">
        <w:rPr>
          <w:i/>
        </w:rPr>
        <w:t>Good Faith Negotiation</w:t>
      </w:r>
      <w:r w:rsidRPr="005616C4" w:rsidR="00B870AE">
        <w:rPr>
          <w:i/>
        </w:rPr>
        <w:t>s</w:t>
      </w:r>
      <w:r w:rsidRPr="005616C4" w:rsidR="00E62221">
        <w:t xml:space="preserve">.  </w:t>
      </w:r>
      <w:r w:rsidRPr="005616C4" w:rsidR="00E62221">
        <w:t>During</w:t>
      </w:r>
      <w:r w:rsidRPr="005616C4" w:rsidR="00B870AE">
        <w:t xml:space="preserve"> the remainder of the current license term and any subsequent license </w:t>
      </w:r>
      <w:r w:rsidRPr="005616C4" w:rsidR="00E62221">
        <w:t>term</w:t>
      </w:r>
      <w:r w:rsidRPr="005616C4" w:rsidR="00C51F9B">
        <w:t>s</w:t>
      </w:r>
      <w:r w:rsidRPr="005616C4" w:rsidR="00E62221">
        <w:t xml:space="preserve">, AT&amp;T </w:t>
      </w:r>
      <w:r w:rsidRPr="005616C4" w:rsidR="00A87603">
        <w:t>must</w:t>
      </w:r>
      <w:r w:rsidRPr="005616C4" w:rsidR="00E62221">
        <w:t xml:space="preserve"> negotiate in good faith with any third party seeking to </w:t>
      </w:r>
      <w:r w:rsidRPr="005616C4" w:rsidR="00B870AE">
        <w:t xml:space="preserve">acquire or </w:t>
      </w:r>
      <w:r w:rsidRPr="005616C4" w:rsidR="00E62221">
        <w:t xml:space="preserve">lease spectrum in </w:t>
      </w:r>
      <w:r w:rsidRPr="005616C4" w:rsidR="00B870AE">
        <w:t>a</w:t>
      </w:r>
      <w:r w:rsidRPr="005616C4" w:rsidR="005B1FA3">
        <w:t xml:space="preserve"> geographic </w:t>
      </w:r>
      <w:r w:rsidRPr="005616C4" w:rsidR="00E62221">
        <w:t>area</w:t>
      </w:r>
      <w:r w:rsidRPr="005616C4" w:rsidR="00E24265">
        <w:t xml:space="preserve"> of </w:t>
      </w:r>
      <w:r w:rsidRPr="005616C4" w:rsidR="0066213B">
        <w:t>CMA316</w:t>
      </w:r>
      <w:r w:rsidRPr="005616C4" w:rsidR="00E24265">
        <w:t xml:space="preserve"> not served by AT&amp;T</w:t>
      </w:r>
      <w:r w:rsidRPr="005616C4" w:rsidR="00E62221">
        <w:t>.</w:t>
      </w:r>
      <w:r>
        <w:rPr>
          <w:rStyle w:val="FootnoteReference"/>
        </w:rPr>
        <w:footnoteReference w:id="89"/>
      </w:r>
      <w:r w:rsidRPr="00BB356A" w:rsidR="00E62221">
        <w:t xml:space="preserve">  </w:t>
      </w:r>
      <w:r w:rsidRPr="00BB356A">
        <w:t xml:space="preserve">If the Bureau finds that AT&amp;T failed to negotiate in good faith, its authorization will automatically terminate, without Commission action, for that </w:t>
      </w:r>
      <w:r w:rsidRPr="005616C4" w:rsidR="002E697A">
        <w:t xml:space="preserve">relevant </w:t>
      </w:r>
      <w:r w:rsidRPr="005616C4">
        <w:t xml:space="preserve">geographic </w:t>
      </w:r>
      <w:r w:rsidRPr="005616C4" w:rsidR="005B1FA3">
        <w:t xml:space="preserve">area </w:t>
      </w:r>
      <w:r w:rsidRPr="005616C4">
        <w:t>of the License</w:t>
      </w:r>
      <w:r w:rsidRPr="005616C4" w:rsidR="002E697A">
        <w:t xml:space="preserve"> subject to the negotiation</w:t>
      </w:r>
      <w:r w:rsidRPr="005616C4">
        <w:t>, and that unserved area will become available for reassignment by the Commission.</w:t>
      </w:r>
    </w:p>
    <w:p w:rsidR="00F26D48" w:rsidRPr="005616C4" w:rsidP="005616C4">
      <w:pPr>
        <w:pStyle w:val="ParaNum"/>
      </w:pPr>
      <w:r w:rsidRPr="005616C4">
        <w:t xml:space="preserve">  </w:t>
      </w:r>
    </w:p>
    <w:p w:rsidR="001D1F6E" w:rsidRPr="005616C4" w:rsidP="005616C4">
      <w:pPr>
        <w:pStyle w:val="ParaNum"/>
      </w:pPr>
      <w:r w:rsidRPr="005616C4">
        <w:t>Accordingly, IT IS ORDERED that, pursuant to Section 4(</w:t>
      </w:r>
      <w:r w:rsidRPr="005616C4">
        <w:t>i</w:t>
      </w:r>
      <w:r w:rsidRPr="005616C4">
        <w:t>) of the Communications Act, as amended, 47 U.S.C. § 154(</w:t>
      </w:r>
      <w:r w:rsidRPr="005616C4">
        <w:t>i</w:t>
      </w:r>
      <w:r w:rsidRPr="005616C4">
        <w:t>), and Section 1.</w:t>
      </w:r>
      <w:r w:rsidRPr="005616C4" w:rsidR="009F7AE9">
        <w:t xml:space="preserve">925(b)(3) </w:t>
      </w:r>
      <w:r w:rsidRPr="005616C4">
        <w:t>of the Commission’s rules, 47 CFR § 1.925</w:t>
      </w:r>
      <w:r w:rsidRPr="005616C4" w:rsidR="00E24265">
        <w:t>(b)(3)</w:t>
      </w:r>
      <w:r w:rsidRPr="005616C4">
        <w:t>, the request f</w:t>
      </w:r>
      <w:r w:rsidRPr="005616C4" w:rsidR="00AF68BC">
        <w:t>or wai</w:t>
      </w:r>
      <w:r w:rsidRPr="005616C4" w:rsidR="00E24265">
        <w:t>v</w:t>
      </w:r>
      <w:r w:rsidRPr="005616C4" w:rsidR="00AF68BC">
        <w:t>er of Section</w:t>
      </w:r>
      <w:r w:rsidRPr="005616C4" w:rsidR="001D597B">
        <w:t>s</w:t>
      </w:r>
      <w:r w:rsidRPr="005616C4" w:rsidR="00AF68BC">
        <w:t xml:space="preserve"> </w:t>
      </w:r>
      <w:r w:rsidRPr="005616C4" w:rsidR="00C80B07">
        <w:t xml:space="preserve">1.946(b)-(d), 1.955(a)(2), and 27.14(g) and (k) </w:t>
      </w:r>
      <w:r w:rsidRPr="005616C4">
        <w:t>of the Commission’s rules, 47 CFR §</w:t>
      </w:r>
      <w:r w:rsidRPr="005616C4" w:rsidR="00D349C9">
        <w:t>§</w:t>
      </w:r>
      <w:r w:rsidRPr="005616C4" w:rsidR="00AF68BC">
        <w:t xml:space="preserve"> </w:t>
      </w:r>
      <w:r w:rsidRPr="005616C4" w:rsidR="00D349C9">
        <w:t>1.946(b)-(</w:t>
      </w:r>
      <w:r w:rsidRPr="00BB356A" w:rsidR="00D349C9">
        <w:t>d), 1.955(a)(2), and 27.14(g), (k)</w:t>
      </w:r>
      <w:r w:rsidRPr="005616C4" w:rsidR="00103028">
        <w:t xml:space="preserve">, </w:t>
      </w:r>
      <w:r w:rsidRPr="005616C4" w:rsidR="00B34E75">
        <w:t>filed March 1, 2018, and as amended on March 12, 2018</w:t>
      </w:r>
      <w:r w:rsidRPr="005616C4">
        <w:t xml:space="preserve">, by </w:t>
      </w:r>
      <w:r w:rsidRPr="005616C4" w:rsidR="00103028">
        <w:t xml:space="preserve">AT&amp;T Mobility Spectrum LLC, </w:t>
      </w:r>
      <w:r w:rsidRPr="005616C4" w:rsidR="00B34E75">
        <w:t>ULS File No. 0008116627</w:t>
      </w:r>
      <w:r w:rsidRPr="005616C4">
        <w:t xml:space="preserve">, is HEREBY </w:t>
      </w:r>
      <w:r w:rsidRPr="005616C4" w:rsidR="00B2689E">
        <w:t xml:space="preserve">CONDITIONALLY </w:t>
      </w:r>
      <w:r w:rsidRPr="005616C4">
        <w:t>GRANTED TO THE EXTENT PROVIDED ABOVE AND OTHERWISE DENIED.</w:t>
      </w:r>
    </w:p>
    <w:p w:rsidR="002E613B" w:rsidRPr="005616C4" w:rsidP="005616C4">
      <w:pPr>
        <w:pStyle w:val="ParaNum"/>
      </w:pPr>
    </w:p>
    <w:p w:rsidR="005F39C8" w:rsidRPr="005616C4" w:rsidP="005616C4">
      <w:pPr>
        <w:pStyle w:val="ParaNum"/>
      </w:pPr>
      <w:r w:rsidRPr="005616C4">
        <w:t>These actions are taken under delegated authority pursuant to Sections 0.131 and 0.331 of the Commission’s rules, 47 CFR §§ 0.131, 0.331.</w:t>
      </w:r>
    </w:p>
    <w:p w:rsidR="005F39C8" w:rsidRPr="005616C4" w:rsidP="005616C4">
      <w:pPr>
        <w:pStyle w:val="ParaNum"/>
      </w:pPr>
    </w:p>
    <w:p w:rsidR="005F39C8" w:rsidRPr="005616C4" w:rsidP="005616C4">
      <w:pPr>
        <w:pStyle w:val="ParaNum"/>
        <w:ind w:left="4320"/>
      </w:pPr>
      <w:r w:rsidRPr="005616C4">
        <w:t>Sincerely,</w:t>
      </w:r>
    </w:p>
    <w:p w:rsidR="005F39C8" w:rsidRPr="005616C4" w:rsidP="005616C4">
      <w:pPr>
        <w:pStyle w:val="ParaNum"/>
        <w:ind w:left="4320"/>
      </w:pPr>
    </w:p>
    <w:p w:rsidR="005F39C8" w:rsidRPr="005616C4" w:rsidP="005616C4">
      <w:pPr>
        <w:pStyle w:val="ParaNum"/>
        <w:ind w:left="4320"/>
      </w:pPr>
    </w:p>
    <w:p w:rsidR="005F39C8" w:rsidRPr="005616C4" w:rsidP="005616C4">
      <w:pPr>
        <w:pStyle w:val="ParaNum"/>
        <w:ind w:left="4320"/>
      </w:pPr>
      <w:r w:rsidRPr="005616C4">
        <w:t>Roger S. Noel</w:t>
      </w:r>
    </w:p>
    <w:p w:rsidR="005F39C8" w:rsidRPr="005616C4" w:rsidP="005616C4">
      <w:pPr>
        <w:pStyle w:val="ParaNum"/>
        <w:ind w:left="4320"/>
      </w:pPr>
      <w:r w:rsidRPr="005616C4">
        <w:t>Chief, Mobility Division</w:t>
      </w:r>
    </w:p>
    <w:p w:rsidR="00823DEF" w:rsidRPr="005616C4" w:rsidP="00E836E3">
      <w:pPr>
        <w:pStyle w:val="ParaNum"/>
        <w:ind w:left="4320"/>
      </w:pPr>
      <w:r w:rsidRPr="005616C4">
        <w:t>Wireless Telecommunications Bureau</w:t>
      </w:r>
    </w:p>
    <w:sectPr w:rsidSect="00FD1E9B">
      <w:footerReference w:type="default" r:id="rId5"/>
      <w:headerReference w:type="first" r:id="rId6"/>
      <w:pgSz w:w="12240" w:h="15840" w:code="1"/>
      <w:pgMar w:top="1165" w:right="1440" w:bottom="1440" w:left="1440" w:header="720"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0B92">
      <w:r>
        <w:separator/>
      </w:r>
    </w:p>
  </w:footnote>
  <w:footnote w:type="continuationSeparator" w:id="1">
    <w:p w:rsidR="00050B92">
      <w:r>
        <w:continuationSeparator/>
      </w:r>
    </w:p>
  </w:footnote>
  <w:footnote w:type="continuationNotice" w:id="2">
    <w:p w:rsidR="00050B92"/>
  </w:footnote>
  <w:footnote w:id="3">
    <w:p w:rsidR="00D8114E" w:rsidRPr="00BB356A" w:rsidP="005616C4">
      <w:pPr>
        <w:pStyle w:val="FootnoteText"/>
        <w:tabs>
          <w:tab w:val="left" w:pos="0"/>
        </w:tabs>
        <w:jc w:val="left"/>
      </w:pPr>
      <w:r w:rsidRPr="00BB356A">
        <w:rPr>
          <w:rStyle w:val="FootnoteReference"/>
        </w:rPr>
        <w:footnoteRef/>
      </w:r>
      <w:r w:rsidRPr="00BB356A">
        <w:t xml:space="preserve"> </w:t>
      </w:r>
      <w:r w:rsidRPr="00BB356A">
        <w:t>47</w:t>
      </w:r>
      <w:r w:rsidRPr="00BB356A">
        <w:t xml:space="preserve"> CFR § 27.14(g).  Request for Waiver of Lower 700 MHz Band Interim and End-of-Term Geographic Construction Benchmarks for Alaska B-Block License </w:t>
      </w:r>
      <w:bookmarkStart w:id="1" w:name="_Hlk515547263"/>
      <w:r w:rsidRPr="00BB356A">
        <w:t>WQIZ597</w:t>
      </w:r>
      <w:bookmarkEnd w:id="1"/>
      <w:r w:rsidRPr="00BB356A">
        <w:t xml:space="preserve">, Petition for Waiver, ULS File No. 0008116627 (filed </w:t>
      </w:r>
      <w:bookmarkStart w:id="2" w:name="_Hlk515451372"/>
      <w:r w:rsidRPr="00BB356A">
        <w:t>March 1, 2018</w:t>
      </w:r>
      <w:bookmarkEnd w:id="2"/>
      <w:r w:rsidRPr="00BB356A">
        <w:t xml:space="preserve">).  On March 12, 2018, AT&amp;T amended its petition.  Request for Waiver of Lower 700 MHz Band Interim and End-of-Term Geographic Construction Benchmarks for Alaska B-Block License WQIZ597, Amended Petition for Waiver, ULS File No. 0008116627 (filed March 12, 2018) (Waiver Request).  All references herein to the Waiver Request are to the March 12, 2018, amended petition.   </w:t>
      </w:r>
    </w:p>
  </w:footnote>
  <w:footnote w:id="4">
    <w:p w:rsidR="00D8114E" w:rsidRPr="00BB356A" w:rsidP="005616C4">
      <w:pPr>
        <w:pStyle w:val="FootnoteText"/>
        <w:jc w:val="left"/>
      </w:pPr>
      <w:r w:rsidRPr="00BB356A">
        <w:rPr>
          <w:rStyle w:val="FootnoteReference"/>
        </w:rPr>
        <w:footnoteRef/>
      </w:r>
      <w:r w:rsidRPr="00BB356A">
        <w:t xml:space="preserve"> </w:t>
      </w:r>
      <w:r w:rsidRPr="00BB356A">
        <w:rPr>
          <w:i/>
        </w:rPr>
        <w:t>See AT&amp;T Request for Waiver of Section 27.14(g)</w:t>
      </w:r>
      <w:r w:rsidRPr="00BB356A">
        <w:t xml:space="preserve">, Letter Order, 32 FCC </w:t>
      </w:r>
      <w:r w:rsidRPr="00BB356A">
        <w:t>Rcd</w:t>
      </w:r>
      <w:r w:rsidRPr="00BB356A">
        <w:t xml:space="preserve"> 512</w:t>
      </w:r>
      <w:r w:rsidRPr="00BB356A">
        <w:rPr>
          <w:i/>
        </w:rPr>
        <w:t xml:space="preserve"> </w:t>
      </w:r>
      <w:r w:rsidRPr="00BB356A">
        <w:t>(WTB MD 2017)</w:t>
      </w:r>
      <w:r w:rsidRPr="00BB356A">
        <w:rPr>
          <w:i/>
        </w:rPr>
        <w:t xml:space="preserve"> </w:t>
      </w:r>
      <w:r w:rsidRPr="00BB356A">
        <w:t>(</w:t>
      </w:r>
      <w:bookmarkStart w:id="3" w:name="_Hlk515633994"/>
      <w:r w:rsidRPr="00BB356A">
        <w:rPr>
          <w:i/>
        </w:rPr>
        <w:t>AT&amp;T CMA315 Waiver Order</w:t>
      </w:r>
      <w:bookmarkEnd w:id="3"/>
      <w:r w:rsidRPr="00BB356A">
        <w:t>),</w:t>
      </w:r>
      <w:r w:rsidRPr="00BB356A">
        <w:rPr>
          <w:i/>
        </w:rPr>
        <w:t xml:space="preserve"> </w:t>
      </w:r>
      <w:r w:rsidRPr="00C31AFE">
        <w:rPr>
          <w:i/>
        </w:rPr>
        <w:t>aff’d,</w:t>
      </w:r>
      <w:r w:rsidRPr="00BB356A">
        <w:rPr>
          <w:i/>
        </w:rPr>
        <w:t xml:space="preserve"> Petition of AT&amp;T Mobility Spectrum LLC for Waiver of Lower 700 MHz Band Interim and End-of-Term Geographic Construction Benchmarks for Alaska B Block License WQIZ358</w:t>
      </w:r>
      <w:r w:rsidRPr="00BB356A">
        <w:t>, Memorandum Opinion and Order, FCC 18-24 (Mar. 5, 2018) (</w:t>
      </w:r>
      <w:r w:rsidRPr="00BB356A">
        <w:rPr>
          <w:i/>
        </w:rPr>
        <w:t>AT&amp;T CMA315 MOO)</w:t>
      </w:r>
      <w:r w:rsidRPr="00BB356A">
        <w:t xml:space="preserve">; </w:t>
      </w:r>
      <w:r w:rsidRPr="00BB356A">
        <w:rPr>
          <w:i/>
        </w:rPr>
        <w:t>The Alaska Wireless Network, LLC, Request for Waiver of Section 27.14(g)</w:t>
      </w:r>
      <w:r w:rsidRPr="00BB356A">
        <w:t xml:space="preserve">, Letter Order, 32 FCC </w:t>
      </w:r>
      <w:r w:rsidRPr="00BB356A">
        <w:t>Rcd</w:t>
      </w:r>
      <w:r w:rsidRPr="00BB356A">
        <w:t xml:space="preserve"> 4728 (WTB MD 2017) (</w:t>
      </w:r>
      <w:r w:rsidRPr="00BB356A">
        <w:rPr>
          <w:i/>
        </w:rPr>
        <w:t>AWN Waiver Order</w:t>
      </w:r>
      <w:r w:rsidRPr="00BB356A">
        <w:t>),</w:t>
      </w:r>
      <w:r w:rsidRPr="00BB356A">
        <w:rPr>
          <w:i/>
        </w:rPr>
        <w:t xml:space="preserve"> </w:t>
      </w:r>
      <w:r w:rsidRPr="00C31AFE">
        <w:rPr>
          <w:i/>
        </w:rPr>
        <w:t>aff’d,</w:t>
      </w:r>
      <w:r w:rsidRPr="00BB356A">
        <w:t xml:space="preserve"> </w:t>
      </w:r>
      <w:r w:rsidRPr="00BB356A">
        <w:rPr>
          <w:i/>
        </w:rPr>
        <w:t>Petition of General Communication, Inc. for Waiver of Lower 700 MHz Band Interim and End-of-Term Geographic Construction Benchmarks for Alaska A-Block License WQJU656</w:t>
      </w:r>
      <w:r w:rsidRPr="00BB356A">
        <w:t>, Memorandum Opinion and Order, FCC 18-23 (Mar. 5, 2018) (</w:t>
      </w:r>
      <w:r w:rsidRPr="00BB356A">
        <w:rPr>
          <w:i/>
        </w:rPr>
        <w:t>AWN MOO</w:t>
      </w:r>
      <w:r w:rsidRPr="00BB356A">
        <w:t>).</w:t>
      </w:r>
      <w:r w:rsidRPr="00BB356A">
        <w:t xml:space="preserve">  </w:t>
      </w:r>
      <w:r w:rsidRPr="00BB356A">
        <w:rPr>
          <w:i/>
        </w:rPr>
        <w:t>See also, e.g</w:t>
      </w:r>
      <w:r w:rsidRPr="00BB356A">
        <w:t xml:space="preserve">., </w:t>
      </w:r>
      <w:r w:rsidRPr="00BB356A">
        <w:rPr>
          <w:i/>
        </w:rPr>
        <w:t>Connect America Fund; Universal Service Reform – Mobility Fund; Connect America Fund - Alaska Plan</w:t>
      </w:r>
      <w:r w:rsidRPr="00BB356A">
        <w:t xml:space="preserve">, Report and Order and Further Notice of Proposed Rulemaking, 31 FCC </w:t>
      </w:r>
      <w:r w:rsidRPr="00BB356A">
        <w:t>Rcd</w:t>
      </w:r>
      <w:r w:rsidRPr="00BB356A">
        <w:t xml:space="preserve"> 10139, 10162, para. 72 (2016) (</w:t>
      </w:r>
      <w:r w:rsidRPr="00BB356A">
        <w:rPr>
          <w:i/>
        </w:rPr>
        <w:t>Alaska Plan</w:t>
      </w:r>
      <w:r w:rsidRPr="00BB356A">
        <w:t xml:space="preserve">) (citing </w:t>
      </w:r>
      <w:r w:rsidRPr="00BB356A">
        <w:rPr>
          <w:i/>
          <w:iCs/>
        </w:rPr>
        <w:t>Connect America Fund et al.</w:t>
      </w:r>
      <w:r w:rsidRPr="00BB356A">
        <w:t xml:space="preserve">, Report and Order and Further Notice of Proposed Rulemaking, 26 FCC </w:t>
      </w:r>
      <w:r w:rsidRPr="00BB356A">
        <w:t>Rcd</w:t>
      </w:r>
      <w:r w:rsidRPr="00BB356A">
        <w:t xml:space="preserve"> 17663, 17829, para. 507 (2011), </w:t>
      </w:r>
      <w:r w:rsidRPr="00BB356A">
        <w:rPr>
          <w:i/>
          <w:iCs/>
        </w:rPr>
        <w:t>aff’d</w:t>
      </w:r>
      <w:r w:rsidRPr="00BB356A">
        <w:t xml:space="preserve"> </w:t>
      </w:r>
      <w:r w:rsidRPr="00BB356A">
        <w:rPr>
          <w:i/>
          <w:iCs/>
        </w:rPr>
        <w:t xml:space="preserve">sub nom. </w:t>
      </w:r>
      <w:r w:rsidRPr="00BB356A">
        <w:rPr>
          <w:color w:val="252525"/>
        </w:rPr>
        <w:t>Direct Communications Cedar Valley, LLC, et al.</w:t>
      </w:r>
      <w:r w:rsidRPr="00BB356A">
        <w:t>, 753 F.3d 1015 (10th Cir. 2014)).</w:t>
      </w:r>
    </w:p>
  </w:footnote>
  <w:footnote w:id="5">
    <w:p w:rsidR="00D8114E" w:rsidRPr="00BB356A" w:rsidP="005616C4">
      <w:pPr>
        <w:pStyle w:val="FootnoteText"/>
        <w:jc w:val="left"/>
        <w:rPr>
          <w:b/>
        </w:rPr>
      </w:pPr>
      <w:r w:rsidRPr="00BB356A">
        <w:rPr>
          <w:rStyle w:val="FootnoteReference"/>
        </w:rPr>
        <w:footnoteRef/>
      </w:r>
      <w:r w:rsidRPr="00BB356A">
        <w:t xml:space="preserve"> </w:t>
      </w:r>
      <w:r w:rsidRPr="00BB356A">
        <w:rPr>
          <w:i/>
        </w:rPr>
        <w:t>See Service Rules for 698-746, 747-762, and 777-792 MHz Bands</w:t>
      </w:r>
      <w:r w:rsidRPr="00BB356A">
        <w:t xml:space="preserve">, Second Report and Order, 22 FCC </w:t>
      </w:r>
      <w:r w:rsidRPr="00BB356A">
        <w:t>Rcd</w:t>
      </w:r>
      <w:r w:rsidRPr="00BB356A">
        <w:t xml:space="preserve"> 15289 (2007) (</w:t>
      </w:r>
      <w:r w:rsidRPr="00BB356A">
        <w:rPr>
          <w:i/>
        </w:rPr>
        <w:t>700 MHz Second Report and Order</w:t>
      </w:r>
      <w:r w:rsidRPr="00BB356A">
        <w:t xml:space="preserve">), </w:t>
      </w:r>
      <w:r w:rsidRPr="00BB356A">
        <w:rPr>
          <w:i/>
        </w:rPr>
        <w:t>upheld on reconsideration</w:t>
      </w:r>
      <w:r w:rsidRPr="00BB356A">
        <w:t xml:space="preserve">, </w:t>
      </w:r>
      <w:r w:rsidRPr="00BB356A">
        <w:rPr>
          <w:i/>
        </w:rPr>
        <w:t>Service Rules for the 698-746, 747-762 and 777-792 MHz Bands</w:t>
      </w:r>
      <w:r w:rsidRPr="00BB356A">
        <w:t xml:space="preserve">, Memorandum Opinion and Order on Reconsideration, 28 FCC </w:t>
      </w:r>
      <w:r w:rsidRPr="00BB356A">
        <w:t>Rcd</w:t>
      </w:r>
      <w:r w:rsidRPr="00BB356A">
        <w:t xml:space="preserve"> 2671 (2013) (</w:t>
      </w:r>
      <w:r w:rsidRPr="00BB356A">
        <w:rPr>
          <w:i/>
        </w:rPr>
        <w:t>700 MHz Reconsideration Order</w:t>
      </w:r>
      <w:r w:rsidRPr="00BB356A">
        <w:t>).</w:t>
      </w:r>
    </w:p>
  </w:footnote>
  <w:footnote w:id="6">
    <w:p w:rsidR="00D8114E" w:rsidRPr="00BB356A" w:rsidP="005616C4">
      <w:pPr>
        <w:pStyle w:val="FootnoteText"/>
        <w:jc w:val="left"/>
      </w:pPr>
      <w:r w:rsidRPr="00BB356A">
        <w:rPr>
          <w:rStyle w:val="FootnoteReference"/>
        </w:rPr>
        <w:footnoteRef/>
      </w:r>
      <w:r w:rsidRPr="00BB356A">
        <w:t xml:space="preserve"> </w:t>
      </w:r>
      <w:r w:rsidRPr="00BB356A">
        <w:rPr>
          <w:i/>
        </w:rPr>
        <w:t xml:space="preserve">See </w:t>
      </w:r>
      <w:r w:rsidRPr="00BB356A">
        <w:t>47 CFR § 27.14(g).</w:t>
      </w:r>
    </w:p>
  </w:footnote>
  <w:footnote w:id="7">
    <w:p w:rsidR="00D8114E" w:rsidRPr="00BB356A" w:rsidP="005616C4">
      <w:pPr>
        <w:pStyle w:val="FootnoteText"/>
        <w:jc w:val="left"/>
      </w:pPr>
      <w:r w:rsidRPr="00BB356A">
        <w:rPr>
          <w:rStyle w:val="FootnoteReference"/>
        </w:rPr>
        <w:footnoteRef/>
      </w:r>
      <w:r w:rsidRPr="00BB356A">
        <w:t xml:space="preserve"> </w:t>
      </w:r>
      <w:r w:rsidRPr="00BB356A">
        <w:rPr>
          <w:i/>
        </w:rPr>
        <w:t xml:space="preserve">See </w:t>
      </w:r>
      <w:r w:rsidRPr="00BB356A">
        <w:rPr>
          <w:i/>
          <w:iCs/>
        </w:rPr>
        <w:t>Promoting Interoperability in the 700 MHz Commercial Spectrum</w:t>
      </w:r>
      <w:r w:rsidRPr="00BB356A">
        <w:t>, Report and Order and Order of Proposed Modification</w:t>
      </w:r>
      <w:r w:rsidRPr="00BB356A">
        <w:rPr>
          <w:i/>
          <w:iCs/>
        </w:rPr>
        <w:t xml:space="preserve">, </w:t>
      </w:r>
      <w:r w:rsidRPr="00BB356A">
        <w:t xml:space="preserve">28 FCC </w:t>
      </w:r>
      <w:r w:rsidRPr="00BB356A">
        <w:t>Rcd</w:t>
      </w:r>
      <w:r w:rsidRPr="00BB356A">
        <w:t xml:space="preserve"> 15122, 15151-52, para. </w:t>
      </w:r>
      <w:r w:rsidRPr="00BB356A">
        <w:t>64</w:t>
      </w:r>
      <w:r w:rsidRPr="00BB356A">
        <w:t xml:space="preserve"> (2013).</w:t>
      </w:r>
    </w:p>
  </w:footnote>
  <w:footnote w:id="8">
    <w:p w:rsidR="00D8114E" w:rsidRPr="00BB356A" w:rsidP="005616C4">
      <w:pPr>
        <w:pStyle w:val="FootnoteText"/>
        <w:jc w:val="left"/>
      </w:pPr>
      <w:r w:rsidRPr="00BB356A">
        <w:rPr>
          <w:rStyle w:val="FootnoteReference"/>
        </w:rPr>
        <w:footnoteRef/>
      </w:r>
      <w:r w:rsidRPr="00BB356A">
        <w:t xml:space="preserve"> </w:t>
      </w:r>
      <w:r w:rsidRPr="00BB356A">
        <w:rPr>
          <w:i/>
        </w:rPr>
        <w:t xml:space="preserve">See </w:t>
      </w:r>
      <w:r w:rsidRPr="00BB356A">
        <w:t xml:space="preserve">47 CFR § 27.14(g); </w:t>
      </w:r>
      <w:r w:rsidRPr="00C31AFE">
        <w:rPr>
          <w:i/>
        </w:rPr>
        <w:t>s</w:t>
      </w:r>
      <w:r w:rsidRPr="00BB356A">
        <w:rPr>
          <w:i/>
        </w:rPr>
        <w:t>ee also 700 MHz Second Report and Order</w:t>
      </w:r>
      <w:r w:rsidRPr="00BB356A">
        <w:t xml:space="preserve">, 22 FCC </w:t>
      </w:r>
      <w:r w:rsidRPr="00BB356A">
        <w:t>Rcd</w:t>
      </w:r>
      <w:r w:rsidRPr="00BB356A">
        <w:rPr>
          <w:i/>
        </w:rPr>
        <w:t xml:space="preserve"> </w:t>
      </w:r>
      <w:r w:rsidRPr="00BB356A">
        <w:t>at 15293-94, 15349, paras. 6, 157.</w:t>
      </w:r>
    </w:p>
  </w:footnote>
  <w:footnote w:id="9">
    <w:p w:rsidR="00D8114E" w:rsidRPr="00BB356A" w:rsidP="005616C4">
      <w:pPr>
        <w:pStyle w:val="FootnoteText"/>
        <w:jc w:val="left"/>
      </w:pPr>
      <w:r w:rsidRPr="00BB356A">
        <w:rPr>
          <w:rStyle w:val="FootnoteReference"/>
        </w:rPr>
        <w:footnoteRef/>
      </w:r>
      <w:r w:rsidRPr="00BB356A">
        <w:t xml:space="preserve"> 47 CFR § 27.14(g</w:t>
      </w:r>
      <w:r w:rsidRPr="00BB356A">
        <w:t>)(</w:t>
      </w:r>
      <w:r w:rsidRPr="00BB356A">
        <w:t>1).</w:t>
      </w:r>
    </w:p>
  </w:footnote>
  <w:footnote w:id="10">
    <w:p w:rsidR="00D8114E" w:rsidRPr="00BB356A" w:rsidP="005616C4">
      <w:pPr>
        <w:pStyle w:val="FootnoteText"/>
        <w:jc w:val="left"/>
      </w:pPr>
      <w:r w:rsidRPr="00BB356A">
        <w:rPr>
          <w:rStyle w:val="FootnoteReference"/>
        </w:rPr>
        <w:footnoteRef/>
      </w:r>
      <w:r w:rsidRPr="00BB356A">
        <w:t xml:space="preserve"> </w:t>
      </w:r>
      <w:r w:rsidR="002B34D4">
        <w:rPr>
          <w:i/>
        </w:rPr>
        <w:t xml:space="preserve">Id. </w:t>
      </w:r>
      <w:r w:rsidRPr="00BB356A" w:rsidR="002B34D4">
        <w:t>§ 27.14(g</w:t>
      </w:r>
      <w:r w:rsidRPr="00BB356A" w:rsidR="002B34D4">
        <w:t>)(</w:t>
      </w:r>
      <w:r w:rsidRPr="00BB356A" w:rsidR="002B34D4">
        <w:t>2).</w:t>
      </w:r>
      <w:r w:rsidR="007A3C20">
        <w:t xml:space="preserve">  </w:t>
      </w:r>
      <w:r w:rsidRPr="00BB356A">
        <w:rPr>
          <w:i/>
        </w:rPr>
        <w:t xml:space="preserve">See also 700 MHz Second Report and Order, </w:t>
      </w:r>
      <w:r w:rsidRPr="00BB356A">
        <w:t xml:space="preserve">22 FCC </w:t>
      </w:r>
      <w:r w:rsidRPr="00BB356A">
        <w:t>Rcd</w:t>
      </w:r>
      <w:r w:rsidRPr="00BB356A">
        <w:t xml:space="preserve"> at 15348, 15349, para. 153. </w:t>
      </w:r>
    </w:p>
  </w:footnote>
  <w:footnote w:id="11">
    <w:p w:rsidR="00D8114E" w:rsidRPr="00BB356A" w:rsidP="005616C4">
      <w:pPr>
        <w:pStyle w:val="FootnoteText"/>
        <w:jc w:val="left"/>
      </w:pPr>
      <w:r w:rsidRPr="00BB356A">
        <w:rPr>
          <w:rStyle w:val="FootnoteReference"/>
        </w:rPr>
        <w:footnoteRef/>
      </w:r>
      <w:r w:rsidRPr="00BB356A">
        <w:t xml:space="preserve"> We note that the Waiver Request </w:t>
      </w:r>
      <w:r w:rsidRPr="00BB356A">
        <w:t>was filed</w:t>
      </w:r>
      <w:r w:rsidRPr="00BB356A">
        <w:t xml:space="preserve"> after the interim construction deadline had passed.  AT&amp;T’s construction notification for the Interim Construction Requirement was deficient</w:t>
      </w:r>
      <w:r w:rsidR="00901CE4">
        <w:t xml:space="preserve"> in that </w:t>
      </w:r>
      <w:r w:rsidRPr="00F31432" w:rsidR="00F31432">
        <w:t>it failed to show that AT&amp;T had provided signal coverage and offer service over at least 35 percent of the geographic area of the license</w:t>
      </w:r>
      <w:r w:rsidR="00901CE4">
        <w:t>.  Accordingly,</w:t>
      </w:r>
      <w:r w:rsidRPr="00BB356A">
        <w:t xml:space="preserve"> pursuant to Sections 1.946(c) and 1.955(a</w:t>
      </w:r>
      <w:r w:rsidRPr="00BB356A">
        <w:t>)(</w:t>
      </w:r>
      <w:r w:rsidRPr="00BB356A">
        <w:t xml:space="preserve">2), the License authorization terminated automatically as of the interim construction deadline, December 13, 2016.  </w:t>
      </w:r>
      <w:r w:rsidRPr="00BB356A">
        <w:rPr>
          <w:i/>
        </w:rPr>
        <w:t xml:space="preserve">See </w:t>
      </w:r>
      <w:r w:rsidRPr="00BB356A">
        <w:t>47 CFR §§ 1.946(c), 1.955(a</w:t>
      </w:r>
      <w:r w:rsidRPr="00BB356A">
        <w:t>)(</w:t>
      </w:r>
      <w:r w:rsidRPr="00BB356A">
        <w:t>2).  AT&amp;T therefore seeks a waiver of Sections 1.946(c) and 1.955(a</w:t>
      </w:r>
      <w:r w:rsidRPr="00BB356A">
        <w:t>)(</w:t>
      </w:r>
      <w:r w:rsidRPr="00BB356A">
        <w:t xml:space="preserve">2), as well as a waiver of Sections 1.946(d) and 27.14(k), which require licensees to file a notification of construction within 15 days of the expiration of the construction deadline.  </w:t>
      </w:r>
      <w:r w:rsidRPr="00BB356A">
        <w:rPr>
          <w:i/>
        </w:rPr>
        <w:t xml:space="preserve">See </w:t>
      </w:r>
      <w:r w:rsidRPr="00BB356A">
        <w:t>AT&amp;T Waiver Request at 1</w:t>
      </w:r>
      <w:r w:rsidRPr="00BB356A">
        <w:t>;</w:t>
      </w:r>
      <w:r w:rsidRPr="00BB356A">
        <w:t xml:space="preserve"> 47 CFR §§ 1.946(d), 27.14(k).  The Commission has repeatedly emphasized that requiring licensees </w:t>
      </w:r>
      <w:r w:rsidRPr="00BB356A">
        <w:t>to timely seek</w:t>
      </w:r>
      <w:r w:rsidRPr="00BB356A">
        <w:t xml:space="preserve"> relief serves important public policy objectives and has dismissed untimely requests for relief.  </w:t>
      </w:r>
      <w:r w:rsidRPr="00BB356A">
        <w:rPr>
          <w:i/>
        </w:rPr>
        <w:t>See, e.g</w:t>
      </w:r>
      <w:r w:rsidRPr="00BB356A">
        <w:t xml:space="preserve">., </w:t>
      </w:r>
      <w:r w:rsidRPr="00BB356A">
        <w:rPr>
          <w:i/>
        </w:rPr>
        <w:t xml:space="preserve">Vijay </w:t>
      </w:r>
      <w:r w:rsidRPr="00BB356A">
        <w:rPr>
          <w:i/>
        </w:rPr>
        <w:t>Ravenkar</w:t>
      </w:r>
      <w:r w:rsidRPr="00BB356A">
        <w:rPr>
          <w:i/>
        </w:rPr>
        <w:t>, The Port Authority of New York and New Jersey, Requests for Waiver to Permit Untimely Filing and to Extend the Construction Period for Station WQPK961</w:t>
      </w:r>
      <w:r w:rsidRPr="00BB356A">
        <w:t xml:space="preserve">, File No. 0006191959, Letter Order, 29 FCC </w:t>
      </w:r>
      <w:r w:rsidRPr="00BB356A">
        <w:t>Rcd</w:t>
      </w:r>
      <w:r w:rsidRPr="00BB356A">
        <w:t xml:space="preserve"> 3729 (WTB MD 2014).  The Commission, however, may entertain late-filed petitions where it is in the public interest to grant relief.  </w:t>
      </w:r>
      <w:r w:rsidRPr="00BB356A">
        <w:rPr>
          <w:i/>
        </w:rPr>
        <w:t>Data-Max Wireless, LLC, Request for Waiver and Extension of Time of Tribal Land Bidding Credit Requirements</w:t>
      </w:r>
      <w:r w:rsidRPr="00BB356A">
        <w:t xml:space="preserve">, Call Sign WQJQ674, File Number 0005662520, Letter Order, 29 FCC </w:t>
      </w:r>
      <w:r w:rsidRPr="00BB356A">
        <w:t>Rcd</w:t>
      </w:r>
      <w:r w:rsidRPr="00BB356A">
        <w:t xml:space="preserve"> 5149, 5152-3 (WTB MD 2014).  We conclude that the overarching public interest benefits supporting a waiver of both the Interim and Final Construction Requirements also support AT&amp;T’s request that we entertain its late-filed petition.</w:t>
      </w:r>
    </w:p>
  </w:footnote>
  <w:footnote w:id="12">
    <w:p w:rsidR="00D8114E" w:rsidRPr="00BB356A" w:rsidP="005616C4">
      <w:pPr>
        <w:pStyle w:val="FootnoteText"/>
        <w:jc w:val="left"/>
      </w:pPr>
      <w:r w:rsidRPr="00BB356A">
        <w:rPr>
          <w:rStyle w:val="FootnoteReference"/>
        </w:rPr>
        <w:footnoteRef/>
      </w:r>
      <w:r w:rsidRPr="00BB356A">
        <w:t xml:space="preserve"> AT&amp;T Waiver Request at </w:t>
      </w:r>
      <w:r w:rsidRPr="00BB356A">
        <w:t>9</w:t>
      </w:r>
      <w:r w:rsidRPr="00BB356A">
        <w:t xml:space="preserve">.  </w:t>
      </w:r>
    </w:p>
  </w:footnote>
  <w:footnote w:id="13">
    <w:p w:rsidR="00D8114E" w:rsidRPr="00BB356A" w:rsidP="005616C4">
      <w:pPr>
        <w:pStyle w:val="FootnoteText"/>
        <w:jc w:val="left"/>
      </w:pPr>
      <w:r w:rsidRPr="00BB356A">
        <w:rPr>
          <w:rStyle w:val="FootnoteReference"/>
        </w:rPr>
        <w:footnoteRef/>
      </w:r>
      <w:r w:rsidRPr="00BB356A">
        <w:t xml:space="preserve"> </w:t>
      </w:r>
      <w:r w:rsidRPr="00BB356A">
        <w:rPr>
          <w:i/>
        </w:rPr>
        <w:t>Id.</w:t>
      </w:r>
      <w:r w:rsidRPr="00BB356A">
        <w:t xml:space="preserve"> </w:t>
      </w:r>
    </w:p>
  </w:footnote>
  <w:footnote w:id="14">
    <w:p w:rsidR="00D8114E" w:rsidRPr="00BB356A" w:rsidP="005616C4">
      <w:pPr>
        <w:pStyle w:val="FootnoteText"/>
        <w:jc w:val="left"/>
      </w:pPr>
      <w:r w:rsidRPr="00BB356A">
        <w:rPr>
          <w:rStyle w:val="FootnoteReference"/>
        </w:rPr>
        <w:footnoteRef/>
      </w:r>
      <w:r w:rsidRPr="00BB356A">
        <w:t xml:space="preserve"> </w:t>
      </w:r>
      <w:r w:rsidRPr="00BB356A">
        <w:rPr>
          <w:i/>
        </w:rPr>
        <w:t>Id.</w:t>
      </w:r>
      <w:r w:rsidRPr="00BB356A">
        <w:t xml:space="preserve"> </w:t>
      </w:r>
    </w:p>
  </w:footnote>
  <w:footnote w:id="15">
    <w:p w:rsidR="00D8114E" w:rsidRPr="00BB356A" w:rsidP="005616C4">
      <w:pPr>
        <w:pStyle w:val="FootnoteText"/>
        <w:jc w:val="left"/>
      </w:pPr>
      <w:r w:rsidRPr="00BB356A">
        <w:rPr>
          <w:rStyle w:val="FootnoteReference"/>
        </w:rPr>
        <w:footnoteRef/>
      </w:r>
      <w:r w:rsidRPr="00BB356A">
        <w:t xml:space="preserve"> </w:t>
      </w:r>
      <w:r w:rsidRPr="00BB356A">
        <w:rPr>
          <w:i/>
        </w:rPr>
        <w:t>Id.</w:t>
      </w:r>
    </w:p>
  </w:footnote>
  <w:footnote w:id="16">
    <w:p w:rsidR="00D8114E" w:rsidRPr="00BB356A" w:rsidP="005616C4">
      <w:pPr>
        <w:pStyle w:val="FootnoteText"/>
        <w:jc w:val="left"/>
      </w:pPr>
      <w:r w:rsidRPr="00BB356A">
        <w:rPr>
          <w:rStyle w:val="FootnoteReference"/>
        </w:rPr>
        <w:footnoteRef/>
      </w:r>
      <w:r w:rsidRPr="00BB356A">
        <w:t xml:space="preserve"> </w:t>
      </w:r>
      <w:r w:rsidRPr="00BB356A">
        <w:rPr>
          <w:i/>
        </w:rPr>
        <w:t>Id.</w:t>
      </w:r>
      <w:r w:rsidRPr="00BB356A">
        <w:t xml:space="preserve"> </w:t>
      </w:r>
    </w:p>
  </w:footnote>
  <w:footnote w:id="17">
    <w:p w:rsidR="00D8114E" w:rsidRPr="00BB356A" w:rsidP="005616C4">
      <w:pPr>
        <w:pStyle w:val="FootnoteText"/>
        <w:jc w:val="left"/>
      </w:pPr>
      <w:r w:rsidRPr="00BB356A">
        <w:rPr>
          <w:rStyle w:val="FootnoteReference"/>
        </w:rPr>
        <w:footnoteRef/>
      </w:r>
      <w:r w:rsidRPr="00BB356A">
        <w:t xml:space="preserve"> </w:t>
      </w:r>
      <w:r w:rsidRPr="00BB356A">
        <w:rPr>
          <w:i/>
        </w:rPr>
        <w:t>Wireless Telecommunications Bureau Seeks Comment on AT&amp;T Request for Waiver of Geographic Coverage Requirement for 700 MHz License in Alaska</w:t>
      </w:r>
      <w:r w:rsidRPr="00BB356A">
        <w:t xml:space="preserve">, Public Notice, </w:t>
      </w:r>
      <w:r w:rsidRPr="00BB356A">
        <w:t>DA</w:t>
      </w:r>
      <w:r w:rsidRPr="00BB356A">
        <w:t xml:space="preserve"> 18-314 (WTB MD Mar. 29, 2018).</w:t>
      </w:r>
    </w:p>
  </w:footnote>
  <w:footnote w:id="18">
    <w:p w:rsidR="00D8114E" w:rsidRPr="00BB356A" w:rsidP="005616C4">
      <w:pPr>
        <w:pStyle w:val="FootnoteText"/>
        <w:jc w:val="left"/>
      </w:pPr>
      <w:r w:rsidRPr="00BB356A">
        <w:rPr>
          <w:rStyle w:val="FootnoteReference"/>
        </w:rPr>
        <w:footnoteRef/>
      </w:r>
      <w:r w:rsidRPr="00BB356A">
        <w:t xml:space="preserve"> Rural Wireless Association Comments (RWA Comments) at </w:t>
      </w:r>
      <w:r w:rsidRPr="00BB356A">
        <w:t>5</w:t>
      </w:r>
      <w:r w:rsidRPr="00BB356A">
        <w:t xml:space="preserve">.  </w:t>
      </w:r>
    </w:p>
  </w:footnote>
  <w:footnote w:id="19">
    <w:p w:rsidR="00D8114E" w:rsidRPr="00BB356A" w:rsidP="005616C4">
      <w:pPr>
        <w:pStyle w:val="FootnoteText"/>
        <w:jc w:val="left"/>
      </w:pPr>
      <w:r w:rsidRPr="00BB356A">
        <w:rPr>
          <w:rStyle w:val="FootnoteReference"/>
        </w:rPr>
        <w:footnoteRef/>
      </w:r>
      <w:r w:rsidRPr="00BB356A">
        <w:t xml:space="preserve"> </w:t>
      </w:r>
      <w:r w:rsidRPr="00BB356A">
        <w:rPr>
          <w:i/>
        </w:rPr>
        <w:t>Id</w:t>
      </w:r>
      <w:r w:rsidRPr="00BB356A">
        <w:t>. at 4-11.</w:t>
      </w:r>
    </w:p>
  </w:footnote>
  <w:footnote w:id="20">
    <w:p w:rsidR="00D8114E" w:rsidRPr="00BB356A" w:rsidP="005616C4">
      <w:pPr>
        <w:pStyle w:val="FootnoteText"/>
        <w:jc w:val="left"/>
      </w:pPr>
      <w:r w:rsidRPr="00BB356A">
        <w:rPr>
          <w:rStyle w:val="FootnoteReference"/>
        </w:rPr>
        <w:footnoteRef/>
      </w:r>
      <w:r w:rsidRPr="00BB356A">
        <w:t xml:space="preserve"> AT&amp;T Reply Comments at </w:t>
      </w:r>
      <w:r w:rsidRPr="00BB356A">
        <w:t>2</w:t>
      </w:r>
      <w:r w:rsidRPr="00BB356A">
        <w:t>.</w:t>
      </w:r>
    </w:p>
  </w:footnote>
  <w:footnote w:id="21">
    <w:p w:rsidR="00D8114E" w:rsidRPr="00BB356A" w:rsidP="005616C4">
      <w:pPr>
        <w:pStyle w:val="FootnoteText"/>
        <w:jc w:val="left"/>
      </w:pPr>
      <w:r w:rsidRPr="00BB356A">
        <w:rPr>
          <w:rStyle w:val="FootnoteReference"/>
        </w:rPr>
        <w:footnoteRef/>
      </w:r>
      <w:r w:rsidRPr="00BB356A">
        <w:t xml:space="preserve"> Arctic Slope Telephone Association Cooperative, Inc. Reply Comments (ASTAC Reply).</w:t>
      </w:r>
    </w:p>
  </w:footnote>
  <w:footnote w:id="22">
    <w:p w:rsidR="00D8114E" w:rsidRPr="00BB356A" w:rsidP="005616C4">
      <w:pPr>
        <w:pStyle w:val="FootnoteText"/>
        <w:jc w:val="left"/>
      </w:pPr>
      <w:r w:rsidRPr="00BB356A">
        <w:rPr>
          <w:rStyle w:val="FootnoteReference"/>
        </w:rPr>
        <w:footnoteRef/>
      </w:r>
      <w:r w:rsidRPr="00BB356A">
        <w:t xml:space="preserve"> </w:t>
      </w:r>
      <w:r w:rsidRPr="00BB356A">
        <w:rPr>
          <w:i/>
        </w:rPr>
        <w:t>Id.</w:t>
      </w:r>
      <w:r w:rsidRPr="00BB356A">
        <w:t xml:space="preserve"> at 1-2.</w:t>
      </w:r>
    </w:p>
  </w:footnote>
  <w:footnote w:id="23">
    <w:p w:rsidR="00D8114E" w:rsidRPr="00BB356A" w:rsidP="005616C4">
      <w:pPr>
        <w:pStyle w:val="FootnoteText"/>
        <w:jc w:val="left"/>
      </w:pPr>
      <w:r w:rsidRPr="00BB356A">
        <w:rPr>
          <w:rStyle w:val="FootnoteReference"/>
        </w:rPr>
        <w:footnoteRef/>
      </w:r>
      <w:r w:rsidRPr="00BB356A">
        <w:t xml:space="preserve"> </w:t>
      </w:r>
      <w:r w:rsidRPr="00BB356A">
        <w:rPr>
          <w:i/>
          <w:color w:val="000000"/>
        </w:rPr>
        <w:t>See</w:t>
      </w:r>
      <w:r w:rsidRPr="00BB356A">
        <w:rPr>
          <w:color w:val="000000"/>
        </w:rPr>
        <w:t xml:space="preserve"> </w:t>
      </w:r>
      <w:r w:rsidRPr="00BB356A">
        <w:rPr>
          <w:i/>
          <w:color w:val="000000"/>
        </w:rPr>
        <w:t xml:space="preserve">WAIT Radio v. FCC, </w:t>
      </w:r>
      <w:r w:rsidRPr="00BB356A">
        <w:rPr>
          <w:color w:val="000000"/>
        </w:rPr>
        <w:t>459 F.2d 1203, 1207 (D.C. Cir. 1972).</w:t>
      </w:r>
    </w:p>
  </w:footnote>
  <w:footnote w:id="24">
    <w:p w:rsidR="00D8114E" w:rsidRPr="00BB356A" w:rsidP="005616C4">
      <w:pPr>
        <w:pStyle w:val="FootnoteText"/>
        <w:jc w:val="left"/>
      </w:pPr>
      <w:r w:rsidRPr="00BB356A">
        <w:rPr>
          <w:rStyle w:val="FootnoteReference"/>
        </w:rPr>
        <w:footnoteRef/>
      </w:r>
      <w:r w:rsidRPr="00BB356A">
        <w:t xml:space="preserve"> 47 CFR § 1.925(b</w:t>
      </w:r>
      <w:r w:rsidRPr="00BB356A">
        <w:t>)(</w:t>
      </w:r>
      <w:r w:rsidRPr="00BB356A">
        <w:t>3)(</w:t>
      </w:r>
      <w:r w:rsidRPr="00BB356A">
        <w:t>i</w:t>
      </w:r>
      <w:r w:rsidRPr="00BB356A">
        <w:t xml:space="preserve">).  </w:t>
      </w:r>
    </w:p>
  </w:footnote>
  <w:footnote w:id="25">
    <w:p w:rsidR="00D8114E" w:rsidRPr="005616C4" w:rsidP="005616C4">
      <w:pPr>
        <w:pStyle w:val="FootnoteText"/>
        <w:jc w:val="left"/>
      </w:pPr>
      <w:r w:rsidRPr="00BB356A">
        <w:rPr>
          <w:rStyle w:val="FootnoteReference"/>
        </w:rPr>
        <w:footnoteRef/>
      </w:r>
      <w:r w:rsidRPr="00BB356A">
        <w:t xml:space="preserve"> </w:t>
      </w:r>
      <w:r w:rsidRPr="00BB356A">
        <w:rPr>
          <w:i/>
        </w:rPr>
        <w:t xml:space="preserve">Id. </w:t>
      </w:r>
      <w:r w:rsidRPr="00BB356A">
        <w:t>§ 1.925(b</w:t>
      </w:r>
      <w:r w:rsidRPr="00BB356A">
        <w:t>)(</w:t>
      </w:r>
      <w:r w:rsidRPr="00BB356A">
        <w:t>3)(ii).</w:t>
      </w:r>
    </w:p>
  </w:footnote>
  <w:footnote w:id="26">
    <w:p w:rsidR="00D8114E" w:rsidRPr="00BB356A" w:rsidP="005616C4">
      <w:pPr>
        <w:pStyle w:val="FootnoteText"/>
        <w:jc w:val="left"/>
      </w:pPr>
      <w:r w:rsidRPr="00BB356A">
        <w:rPr>
          <w:rStyle w:val="FootnoteReference"/>
        </w:rPr>
        <w:footnoteRef/>
      </w:r>
      <w:r w:rsidRPr="00BB356A">
        <w:t xml:space="preserve"> </w:t>
      </w:r>
      <w:r w:rsidRPr="00BB356A">
        <w:rPr>
          <w:i/>
        </w:rPr>
        <w:t xml:space="preserve">700 MHz Second Report and Order, </w:t>
      </w:r>
      <w:r w:rsidRPr="00BB356A">
        <w:t xml:space="preserve">22 FCC </w:t>
      </w:r>
      <w:r w:rsidRPr="00BB356A">
        <w:t>Rcd</w:t>
      </w:r>
      <w:r w:rsidRPr="00BB356A">
        <w:t xml:space="preserve"> at 15348, para. 153.</w:t>
      </w:r>
    </w:p>
  </w:footnote>
  <w:footnote w:id="27">
    <w:p w:rsidR="00C31AFE" w:rsidRPr="00587895">
      <w:pPr>
        <w:pStyle w:val="FootnoteText"/>
      </w:pPr>
      <w:r>
        <w:rPr>
          <w:rStyle w:val="FootnoteReference"/>
        </w:rPr>
        <w:footnoteRef/>
      </w:r>
      <w:r>
        <w:t xml:space="preserve"> </w:t>
      </w:r>
      <w:r w:rsidRPr="005616C4">
        <w:rPr>
          <w:i/>
        </w:rPr>
        <w:t>See</w:t>
      </w:r>
      <w:r>
        <w:t xml:space="preserve">, </w:t>
      </w:r>
      <w:r>
        <w:rPr>
          <w:i/>
        </w:rPr>
        <w:t>e.g.</w:t>
      </w:r>
      <w:r w:rsidR="005C0911">
        <w:rPr>
          <w:i/>
        </w:rPr>
        <w:t xml:space="preserve">, </w:t>
      </w:r>
      <w:r w:rsidRPr="005616C4">
        <w:rPr>
          <w:i/>
        </w:rPr>
        <w:t>AT&amp;T CMA315 Waiver Order</w:t>
      </w:r>
      <w:r w:rsidRPr="005D33D9" w:rsidR="007307EA">
        <w:t xml:space="preserve">, 32 FCC </w:t>
      </w:r>
      <w:r w:rsidRPr="005D33D9" w:rsidR="007307EA">
        <w:t>Rcd</w:t>
      </w:r>
      <w:r w:rsidRPr="005D33D9" w:rsidR="007307EA">
        <w:rPr>
          <w:i/>
        </w:rPr>
        <w:t xml:space="preserve"> </w:t>
      </w:r>
      <w:r w:rsidRPr="005D33D9" w:rsidR="007307EA">
        <w:t>at 512</w:t>
      </w:r>
      <w:r w:rsidR="007307EA">
        <w:t>, 515</w:t>
      </w:r>
      <w:r w:rsidRPr="005616C4">
        <w:rPr>
          <w:i/>
        </w:rPr>
        <w:t>; AT&amp;T CMA315 Waiver MOO</w:t>
      </w:r>
      <w:r w:rsidRPr="007307EA" w:rsidR="007307EA">
        <w:t xml:space="preserve">, at 7, para. </w:t>
      </w:r>
      <w:r w:rsidRPr="007307EA" w:rsidR="007307EA">
        <w:t>13</w:t>
      </w:r>
      <w:r w:rsidR="007307EA">
        <w:t xml:space="preserve">; </w:t>
      </w:r>
      <w:r w:rsidRPr="005616C4" w:rsidR="007307EA">
        <w:rPr>
          <w:i/>
        </w:rPr>
        <w:t xml:space="preserve">AWN Waiver Order, </w:t>
      </w:r>
      <w:r w:rsidR="007307EA">
        <w:t xml:space="preserve">32 FCC </w:t>
      </w:r>
      <w:r w:rsidR="007307EA">
        <w:t>Rcd</w:t>
      </w:r>
      <w:r w:rsidR="007307EA">
        <w:t xml:space="preserve"> at 4731-32</w:t>
      </w:r>
      <w:r w:rsidRPr="005616C4" w:rsidR="007307EA">
        <w:t xml:space="preserve">; </w:t>
      </w:r>
      <w:r w:rsidRPr="005616C4" w:rsidR="007307EA">
        <w:rPr>
          <w:i/>
        </w:rPr>
        <w:t xml:space="preserve">AWN MOO </w:t>
      </w:r>
      <w:r w:rsidRPr="005616C4" w:rsidR="007307EA">
        <w:t xml:space="preserve">at </w:t>
      </w:r>
      <w:r w:rsidR="007307EA">
        <w:t>8</w:t>
      </w:r>
      <w:r w:rsidRPr="005616C4" w:rsidR="007307EA">
        <w:t>, para. 1</w:t>
      </w:r>
      <w:r w:rsidR="007307EA">
        <w:t>4</w:t>
      </w:r>
      <w:r w:rsidRPr="005616C4" w:rsidR="007307EA">
        <w:t>.</w:t>
      </w:r>
    </w:p>
  </w:footnote>
  <w:footnote w:id="28">
    <w:p w:rsidR="00D8114E" w:rsidRPr="00BB356A" w:rsidP="005616C4">
      <w:pPr>
        <w:pStyle w:val="FootnoteText"/>
        <w:jc w:val="left"/>
      </w:pPr>
      <w:r w:rsidRPr="00BB356A">
        <w:rPr>
          <w:rStyle w:val="FootnoteReference"/>
        </w:rPr>
        <w:footnoteRef/>
      </w:r>
      <w:r w:rsidRPr="00BB356A">
        <w:t xml:space="preserve"> RWA Comments at </w:t>
      </w:r>
      <w:r w:rsidRPr="00BB356A">
        <w:t>5</w:t>
      </w:r>
      <w:r w:rsidRPr="00BB356A">
        <w:t>.</w:t>
      </w:r>
    </w:p>
  </w:footnote>
  <w:footnote w:id="29">
    <w:p w:rsidR="00D8114E" w:rsidRPr="005616C4" w:rsidP="005616C4">
      <w:pPr>
        <w:pStyle w:val="FootnoteText"/>
        <w:jc w:val="left"/>
      </w:pPr>
      <w:r w:rsidRPr="00BB356A">
        <w:rPr>
          <w:rStyle w:val="FootnoteReference"/>
        </w:rPr>
        <w:footnoteRef/>
      </w:r>
      <w:r w:rsidRPr="00BB356A">
        <w:t xml:space="preserve"> </w:t>
      </w:r>
      <w:r w:rsidRPr="00BB356A">
        <w:rPr>
          <w:i/>
        </w:rPr>
        <w:t xml:space="preserve">Id. </w:t>
      </w:r>
      <w:r w:rsidRPr="00BB356A">
        <w:t xml:space="preserve">at </w:t>
      </w:r>
      <w:r w:rsidRPr="005616C4">
        <w:t>7</w:t>
      </w:r>
      <w:r w:rsidRPr="005616C4">
        <w:t>.</w:t>
      </w:r>
    </w:p>
  </w:footnote>
  <w:footnote w:id="30">
    <w:p w:rsidR="00D8114E" w:rsidRPr="005616C4" w:rsidP="005616C4">
      <w:pPr>
        <w:pStyle w:val="FootnoteText"/>
        <w:jc w:val="left"/>
      </w:pPr>
      <w:r w:rsidRPr="00BB356A">
        <w:rPr>
          <w:rStyle w:val="FootnoteReference"/>
        </w:rPr>
        <w:footnoteRef/>
      </w:r>
      <w:r w:rsidRPr="00BB356A">
        <w:t xml:space="preserve"> </w:t>
      </w:r>
      <w:r w:rsidRPr="00BB356A">
        <w:rPr>
          <w:i/>
        </w:rPr>
        <w:t>See T-Mobile License LLC, Request for Waiver of Section 27.14(g</w:t>
      </w:r>
      <w:r w:rsidRPr="00BB356A">
        <w:rPr>
          <w:i/>
        </w:rPr>
        <w:t>)(</w:t>
      </w:r>
      <w:r w:rsidRPr="00BB356A">
        <w:rPr>
          <w:i/>
        </w:rPr>
        <w:t>1)</w:t>
      </w:r>
      <w:r w:rsidRPr="00BB356A">
        <w:t xml:space="preserve">, Memorandum Opinion and Order, 32 FCC </w:t>
      </w:r>
      <w:r w:rsidRPr="00BB356A">
        <w:t>Rcd</w:t>
      </w:r>
      <w:r w:rsidRPr="00BB356A">
        <w:t xml:space="preserve"> 10619, 10624, para. </w:t>
      </w:r>
      <w:r w:rsidRPr="00BB356A">
        <w:t>12</w:t>
      </w:r>
      <w:r w:rsidRPr="00BB356A">
        <w:t xml:space="preserve"> (2017) (</w:t>
      </w:r>
      <w:r w:rsidRPr="00BB356A">
        <w:rPr>
          <w:i/>
        </w:rPr>
        <w:t>T-Mobile 700 MHz MOO</w:t>
      </w:r>
      <w:r w:rsidRPr="005616C4">
        <w:t>).</w:t>
      </w:r>
    </w:p>
  </w:footnote>
  <w:footnote w:id="31">
    <w:p w:rsidR="00D8114E" w:rsidRPr="00BB356A" w:rsidP="005616C4">
      <w:pPr>
        <w:pStyle w:val="FootnoteText"/>
        <w:jc w:val="left"/>
      </w:pPr>
      <w:r w:rsidRPr="00BB356A">
        <w:rPr>
          <w:rStyle w:val="FootnoteReference"/>
        </w:rPr>
        <w:footnoteRef/>
      </w:r>
      <w:r w:rsidRPr="00BB356A">
        <w:t xml:space="preserve"> </w:t>
      </w:r>
      <w:r w:rsidRPr="00BB356A">
        <w:rPr>
          <w:i/>
        </w:rPr>
        <w:t xml:space="preserve">700 MHz Second Report and Order, </w:t>
      </w:r>
      <w:r w:rsidRPr="00BB356A">
        <w:t xml:space="preserve">22 FCC </w:t>
      </w:r>
      <w:r w:rsidRPr="00BB356A">
        <w:t>Rcd</w:t>
      </w:r>
      <w:r w:rsidRPr="00BB356A">
        <w:t xml:space="preserve"> at 15348, para. 153.</w:t>
      </w:r>
    </w:p>
  </w:footnote>
  <w:footnote w:id="32">
    <w:p w:rsidR="00D8114E" w:rsidRPr="005616C4" w:rsidP="005616C4">
      <w:pPr>
        <w:pStyle w:val="FootnoteText"/>
        <w:jc w:val="left"/>
      </w:pPr>
      <w:r w:rsidRPr="00BB356A">
        <w:rPr>
          <w:rStyle w:val="FootnoteReference"/>
        </w:rPr>
        <w:footnoteRef/>
      </w:r>
      <w:r w:rsidRPr="00BB356A">
        <w:t xml:space="preserve"> </w:t>
      </w:r>
      <w:r w:rsidRPr="00BB356A">
        <w:rPr>
          <w:i/>
        </w:rPr>
        <w:t>Id</w:t>
      </w:r>
      <w:r w:rsidRPr="00BB356A">
        <w:t>.</w:t>
      </w:r>
    </w:p>
  </w:footnote>
  <w:footnote w:id="33">
    <w:p w:rsidR="00D8114E" w:rsidRPr="00BB356A" w:rsidP="005616C4">
      <w:pPr>
        <w:pStyle w:val="FootnoteText"/>
        <w:jc w:val="left"/>
      </w:pPr>
      <w:r w:rsidRPr="00BB356A">
        <w:rPr>
          <w:rStyle w:val="FootnoteReference"/>
        </w:rPr>
        <w:footnoteRef/>
      </w:r>
      <w:r w:rsidRPr="00BB356A">
        <w:t xml:space="preserve"> </w:t>
      </w:r>
      <w:r w:rsidRPr="00BB356A">
        <w:rPr>
          <w:i/>
        </w:rPr>
        <w:t>700 MHz Reconsideration Order</w:t>
      </w:r>
      <w:r w:rsidRPr="00BB356A">
        <w:t xml:space="preserve">, 28 FCC </w:t>
      </w:r>
      <w:r w:rsidRPr="00BB356A">
        <w:t>Rcd</w:t>
      </w:r>
      <w:r w:rsidRPr="00BB356A">
        <w:t xml:space="preserve"> at 2674, para. 6.</w:t>
      </w:r>
    </w:p>
  </w:footnote>
  <w:footnote w:id="34">
    <w:p w:rsidR="00D8114E" w:rsidRPr="005616C4" w:rsidP="005616C4">
      <w:pPr>
        <w:pStyle w:val="FootnoteText"/>
        <w:jc w:val="left"/>
      </w:pPr>
      <w:r w:rsidRPr="00BB356A">
        <w:rPr>
          <w:rStyle w:val="FootnoteReference"/>
        </w:rPr>
        <w:footnoteRef/>
      </w:r>
      <w:r w:rsidRPr="00BB356A">
        <w:t xml:space="preserve"> </w:t>
      </w:r>
      <w:r w:rsidRPr="00BB356A">
        <w:rPr>
          <w:i/>
        </w:rPr>
        <w:t>Id</w:t>
      </w:r>
      <w:r w:rsidR="006227A5">
        <w:t>.</w:t>
      </w:r>
      <w:r w:rsidRPr="005616C4">
        <w:t xml:space="preserve"> at 2675, para. 9.</w:t>
      </w:r>
    </w:p>
  </w:footnote>
  <w:footnote w:id="35">
    <w:p w:rsidR="00D8114E" w:rsidRPr="00BB356A" w:rsidP="005616C4">
      <w:pPr>
        <w:pStyle w:val="FootnoteText"/>
        <w:jc w:val="left"/>
      </w:pPr>
      <w:r w:rsidRPr="00BB356A">
        <w:rPr>
          <w:rStyle w:val="FootnoteReference"/>
        </w:rPr>
        <w:footnoteRef/>
      </w:r>
      <w:r w:rsidRPr="00BB356A">
        <w:t xml:space="preserve"> 47 CFR § 1.946(e</w:t>
      </w:r>
      <w:r w:rsidRPr="00BB356A">
        <w:t>)(</w:t>
      </w:r>
      <w:r w:rsidRPr="00BB356A">
        <w:t xml:space="preserve">1).  </w:t>
      </w:r>
    </w:p>
  </w:footnote>
  <w:footnote w:id="36">
    <w:p w:rsidR="00D8114E" w:rsidRPr="005616C4" w:rsidP="005616C4">
      <w:pPr>
        <w:pStyle w:val="FootnoteText"/>
        <w:jc w:val="left"/>
      </w:pPr>
      <w:r w:rsidRPr="00BB356A">
        <w:rPr>
          <w:rStyle w:val="FootnoteReference"/>
        </w:rPr>
        <w:footnoteRef/>
      </w:r>
      <w:r w:rsidRPr="00BB356A">
        <w:t xml:space="preserve"> RWA suggests that a request for an extension of the interim buildout deadline </w:t>
      </w:r>
      <w:r w:rsidRPr="005616C4">
        <w:t xml:space="preserve">would have been more appropriate here, and, in response, AT&amp;T states it would welcome an extension of the interim deadline coupled with a waiver of the Final Construction Requirement.  RWA Comments at </w:t>
      </w:r>
      <w:r w:rsidRPr="005616C4">
        <w:t>1</w:t>
      </w:r>
      <w:r w:rsidRPr="005616C4">
        <w:t xml:space="preserve">; AT&amp;T Reply at 10.  As we find just cause to grant AT&amp;T a waiver of both the Interim and Final Construction Requirements, </w:t>
      </w:r>
      <w:r>
        <w:t xml:space="preserve">we do not consider RWA’s proposal and conclude that </w:t>
      </w:r>
      <w:r w:rsidRPr="005616C4">
        <w:t>the matter of an extension is moot.</w:t>
      </w:r>
    </w:p>
  </w:footnote>
  <w:footnote w:id="37">
    <w:p w:rsidR="00D8114E" w:rsidRPr="00BB356A" w:rsidP="005616C4">
      <w:pPr>
        <w:pStyle w:val="FootnoteText"/>
        <w:jc w:val="left"/>
      </w:pPr>
      <w:r w:rsidRPr="00BB356A">
        <w:rPr>
          <w:rStyle w:val="FootnoteReference"/>
        </w:rPr>
        <w:footnoteRef/>
      </w:r>
      <w:r w:rsidRPr="00BB356A">
        <w:t xml:space="preserve"> RWA Comments at 4-5.</w:t>
      </w:r>
    </w:p>
  </w:footnote>
  <w:footnote w:id="38">
    <w:p w:rsidR="00D8114E" w:rsidRPr="005616C4" w:rsidP="005616C4">
      <w:pPr>
        <w:pStyle w:val="FootnoteText"/>
        <w:jc w:val="left"/>
      </w:pPr>
      <w:r w:rsidRPr="00BB356A">
        <w:rPr>
          <w:rStyle w:val="FootnoteReference"/>
        </w:rPr>
        <w:footnoteRef/>
      </w:r>
      <w:r w:rsidRPr="00BB356A">
        <w:rPr>
          <w:i/>
        </w:rPr>
        <w:t xml:space="preserve"> Northeast Cellular Telephone Co. v. FCC</w:t>
      </w:r>
      <w:r w:rsidRPr="00BB356A">
        <w:t>, 897 F.2d 1164, 1166 (D.C. Cir. 1990) (</w:t>
      </w:r>
      <w:r w:rsidRPr="00BB356A">
        <w:rPr>
          <w:i/>
        </w:rPr>
        <w:t>Northeast Cellular</w:t>
      </w:r>
      <w:r w:rsidRPr="00BB356A">
        <w:t>).</w:t>
      </w:r>
    </w:p>
  </w:footnote>
  <w:footnote w:id="39">
    <w:p w:rsidR="00D8114E" w:rsidRPr="005616C4" w:rsidP="005616C4">
      <w:pPr>
        <w:pStyle w:val="FootnoteText"/>
        <w:jc w:val="left"/>
      </w:pPr>
      <w:r w:rsidRPr="00BB356A">
        <w:rPr>
          <w:rStyle w:val="FootnoteReference"/>
        </w:rPr>
        <w:footnoteRef/>
      </w:r>
      <w:r w:rsidRPr="00BB356A">
        <w:t xml:space="preserve"> </w:t>
      </w:r>
      <w:r w:rsidRPr="00BB356A">
        <w:rPr>
          <w:i/>
        </w:rPr>
        <w:t>WAIT Radio v. FCC</w:t>
      </w:r>
      <w:r w:rsidRPr="00BB356A">
        <w:t>, 418 F.2d 1153, 1159 (D.C. Cir. 1969) (</w:t>
      </w:r>
      <w:r w:rsidRPr="00BB356A">
        <w:rPr>
          <w:i/>
        </w:rPr>
        <w:t>WAIT Radio I</w:t>
      </w:r>
      <w:r w:rsidRPr="005616C4">
        <w:t>)</w:t>
      </w:r>
      <w:r w:rsidRPr="005616C4">
        <w:t>;</w:t>
      </w:r>
      <w:r w:rsidRPr="005616C4">
        <w:t xml:space="preserve"> </w:t>
      </w:r>
      <w:r w:rsidRPr="005616C4">
        <w:rPr>
          <w:i/>
        </w:rPr>
        <w:t>Northeast Cellular</w:t>
      </w:r>
      <w:r w:rsidRPr="005616C4">
        <w:t>, 897 F.2d at 1166.</w:t>
      </w:r>
    </w:p>
  </w:footnote>
  <w:footnote w:id="40">
    <w:p w:rsidR="00D8114E" w:rsidRPr="00BB356A" w:rsidP="005616C4">
      <w:pPr>
        <w:pStyle w:val="FootnoteText"/>
        <w:jc w:val="left"/>
      </w:pPr>
      <w:r w:rsidRPr="00BB356A">
        <w:rPr>
          <w:rStyle w:val="FootnoteReference"/>
        </w:rPr>
        <w:footnoteRef/>
      </w:r>
      <w:r w:rsidRPr="00BB356A">
        <w:t xml:space="preserve"> RWA Comments at </w:t>
      </w:r>
      <w:r w:rsidRPr="00BB356A">
        <w:t>5</w:t>
      </w:r>
      <w:r w:rsidRPr="00BB356A">
        <w:t>.</w:t>
      </w:r>
    </w:p>
  </w:footnote>
  <w:footnote w:id="41">
    <w:p w:rsidR="00D8114E" w:rsidRPr="005616C4" w:rsidP="005616C4">
      <w:pPr>
        <w:pStyle w:val="FootnoteText"/>
        <w:jc w:val="left"/>
      </w:pPr>
      <w:r w:rsidRPr="00BB356A">
        <w:rPr>
          <w:rStyle w:val="FootnoteReference"/>
        </w:rPr>
        <w:footnoteRef/>
      </w:r>
      <w:r w:rsidRPr="00BB356A">
        <w:t xml:space="preserve"> </w:t>
      </w:r>
      <w:r w:rsidR="00C31AFE">
        <w:t xml:space="preserve">While </w:t>
      </w:r>
      <w:r w:rsidRPr="00BB356A">
        <w:t>RWA</w:t>
      </w:r>
      <w:r w:rsidR="00C31AFE">
        <w:t>’</w:t>
      </w:r>
      <w:r>
        <w:t xml:space="preserve">s comments identify </w:t>
      </w:r>
      <w:r w:rsidR="00C31AFE">
        <w:t xml:space="preserve">this </w:t>
      </w:r>
      <w:r w:rsidRPr="00BB356A">
        <w:t>as CMA315</w:t>
      </w:r>
      <w:r w:rsidR="00C31AFE">
        <w:t>, w</w:t>
      </w:r>
      <w:r w:rsidRPr="00BB356A">
        <w:t xml:space="preserve">e assume this is a typo for CMA317.  AT&amp;T received </w:t>
      </w:r>
      <w:r w:rsidRPr="005616C4">
        <w:t xml:space="preserve">a waiver for CMA315 but met its Interim Construction Requirement for CMA317.  </w:t>
      </w:r>
      <w:r w:rsidRPr="005616C4">
        <w:rPr>
          <w:i/>
        </w:rPr>
        <w:t>See</w:t>
      </w:r>
      <w:r w:rsidRPr="005616C4">
        <w:t xml:space="preserve"> </w:t>
      </w:r>
      <w:r w:rsidRPr="005616C4">
        <w:rPr>
          <w:i/>
        </w:rPr>
        <w:t>AT&amp;T CMA315 Waiver Order; AT&amp;T CMA315 Waiver MOO</w:t>
      </w:r>
      <w:r w:rsidRPr="005616C4">
        <w:t>; ULS File No. 0006155294.</w:t>
      </w:r>
    </w:p>
  </w:footnote>
  <w:footnote w:id="42">
    <w:p w:rsidR="00D8114E" w:rsidRPr="005616C4" w:rsidP="005616C4">
      <w:pPr>
        <w:pStyle w:val="FootnoteText"/>
        <w:jc w:val="left"/>
      </w:pPr>
      <w:r w:rsidRPr="00BB356A">
        <w:rPr>
          <w:rStyle w:val="FootnoteReference"/>
        </w:rPr>
        <w:footnoteRef/>
      </w:r>
      <w:r w:rsidRPr="00BB356A">
        <w:t xml:space="preserve"> AT&amp;T has demonstrated</w:t>
      </w:r>
      <w:r w:rsidRPr="005616C4">
        <w:t xml:space="preserve"> that it has met both its Interim and Final Construction Requirements for CMA 187.  </w:t>
      </w:r>
      <w:r w:rsidRPr="005616C4">
        <w:rPr>
          <w:i/>
        </w:rPr>
        <w:t xml:space="preserve">See </w:t>
      </w:r>
      <w:r w:rsidRPr="005616C4">
        <w:t>ULS File No. 0007481104.</w:t>
      </w:r>
    </w:p>
  </w:footnote>
  <w:footnote w:id="43">
    <w:p w:rsidR="00D8114E" w:rsidRPr="00BB356A" w:rsidP="005616C4">
      <w:pPr>
        <w:pStyle w:val="FootnoteText"/>
        <w:jc w:val="left"/>
      </w:pPr>
      <w:r w:rsidRPr="00BB356A">
        <w:rPr>
          <w:rStyle w:val="FootnoteReference"/>
        </w:rPr>
        <w:footnoteRef/>
      </w:r>
      <w:r w:rsidRPr="00BB356A">
        <w:t xml:space="preserve"> RWA Comments at </w:t>
      </w:r>
      <w:r w:rsidRPr="00BB356A">
        <w:t>5</w:t>
      </w:r>
      <w:r w:rsidRPr="00BB356A">
        <w:t xml:space="preserve">, n.18.  </w:t>
      </w:r>
    </w:p>
  </w:footnote>
  <w:footnote w:id="44">
    <w:p w:rsidR="00D8114E" w:rsidRPr="00BB356A" w:rsidP="005616C4">
      <w:pPr>
        <w:pStyle w:val="FootnoteText"/>
        <w:jc w:val="left"/>
      </w:pPr>
      <w:r w:rsidRPr="00BB356A">
        <w:rPr>
          <w:rStyle w:val="FootnoteReference"/>
        </w:rPr>
        <w:footnoteRef/>
      </w:r>
      <w:r w:rsidRPr="00BB356A">
        <w:t xml:space="preserve"> </w:t>
      </w:r>
      <w:r w:rsidR="00080F7E">
        <w:rPr>
          <w:i/>
        </w:rPr>
        <w:t>Id</w:t>
      </w:r>
      <w:r w:rsidR="00080F7E">
        <w:t>.</w:t>
      </w:r>
      <w:r w:rsidRPr="00BB356A">
        <w:t xml:space="preserve"> at </w:t>
      </w:r>
      <w:r w:rsidRPr="00BB356A">
        <w:t>6</w:t>
      </w:r>
      <w:r w:rsidRPr="00BB356A">
        <w:t xml:space="preserve">.  </w:t>
      </w:r>
    </w:p>
  </w:footnote>
  <w:footnote w:id="45">
    <w:p w:rsidR="00D8114E" w:rsidRPr="005616C4" w:rsidP="005616C4">
      <w:pPr>
        <w:pStyle w:val="FootnoteText"/>
        <w:jc w:val="left"/>
      </w:pPr>
      <w:r w:rsidRPr="00BB356A">
        <w:rPr>
          <w:rStyle w:val="FootnoteReference"/>
        </w:rPr>
        <w:footnoteRef/>
      </w:r>
      <w:r w:rsidRPr="00BB356A">
        <w:t xml:space="preserve"> </w:t>
      </w:r>
      <w:r w:rsidRPr="00BB356A">
        <w:rPr>
          <w:i/>
        </w:rPr>
        <w:t xml:space="preserve">See </w:t>
      </w:r>
      <w:r w:rsidRPr="00BB356A">
        <w:t>Waiver Request at 6-</w:t>
      </w:r>
      <w:r w:rsidRPr="005616C4">
        <w:t xml:space="preserve">7; AT&amp;T Reply at </w:t>
      </w:r>
      <w:r w:rsidRPr="005616C4">
        <w:t>2</w:t>
      </w:r>
      <w:r w:rsidRPr="005616C4">
        <w:t>.</w:t>
      </w:r>
    </w:p>
  </w:footnote>
  <w:footnote w:id="46">
    <w:p w:rsidR="00D8114E" w:rsidRPr="00BB356A" w:rsidP="005616C4">
      <w:pPr>
        <w:pStyle w:val="FootnoteText"/>
        <w:jc w:val="left"/>
      </w:pPr>
      <w:r w:rsidRPr="00BB356A">
        <w:rPr>
          <w:rStyle w:val="FootnoteReference"/>
        </w:rPr>
        <w:footnoteRef/>
      </w:r>
      <w:r w:rsidRPr="00BB356A">
        <w:t xml:space="preserve"> </w:t>
      </w:r>
      <w:r w:rsidRPr="00BB356A">
        <w:rPr>
          <w:i/>
        </w:rPr>
        <w:t xml:space="preserve">AT&amp;T MOO </w:t>
      </w:r>
      <w:r w:rsidRPr="00BB356A">
        <w:t>at 11, para. 23.</w:t>
      </w:r>
    </w:p>
  </w:footnote>
  <w:footnote w:id="47">
    <w:p w:rsidR="00D8114E" w:rsidRPr="00BB356A" w:rsidP="005616C4">
      <w:pPr>
        <w:pStyle w:val="FootnoteText"/>
        <w:jc w:val="left"/>
      </w:pPr>
      <w:r w:rsidRPr="00BB356A">
        <w:rPr>
          <w:rStyle w:val="FootnoteReference"/>
        </w:rPr>
        <w:footnoteRef/>
      </w:r>
      <w:r w:rsidRPr="00BB356A">
        <w:t xml:space="preserve"> ASTAC Comments at </w:t>
      </w:r>
      <w:r w:rsidRPr="00BB356A">
        <w:t>1</w:t>
      </w:r>
      <w:r w:rsidRPr="00BB356A">
        <w:t>.</w:t>
      </w:r>
    </w:p>
  </w:footnote>
  <w:footnote w:id="48">
    <w:p w:rsidR="00D8114E" w:rsidRPr="00BB356A" w:rsidP="005616C4">
      <w:pPr>
        <w:pStyle w:val="FootnoteText"/>
        <w:jc w:val="left"/>
      </w:pPr>
      <w:r w:rsidRPr="00BB356A">
        <w:rPr>
          <w:rStyle w:val="FootnoteReference"/>
        </w:rPr>
        <w:footnoteRef/>
      </w:r>
      <w:r w:rsidRPr="00BB356A">
        <w:t xml:space="preserve"> </w:t>
      </w:r>
      <w:r w:rsidRPr="00BB356A">
        <w:rPr>
          <w:i/>
        </w:rPr>
        <w:t>See</w:t>
      </w:r>
      <w:r w:rsidRPr="00BB356A">
        <w:t xml:space="preserve"> FCC’s Geographic Information Systems Database, https://www.fcc.gov/general/geographic-information-systems (FCC GIS Database).</w:t>
      </w:r>
    </w:p>
  </w:footnote>
  <w:footnote w:id="49">
    <w:p w:rsidR="00D8114E" w:rsidRPr="00BB356A" w:rsidP="005616C4">
      <w:pPr>
        <w:pStyle w:val="FootnoteText"/>
        <w:jc w:val="left"/>
      </w:pPr>
      <w:r w:rsidRPr="00BB356A">
        <w:rPr>
          <w:rStyle w:val="FootnoteReference"/>
        </w:rPr>
        <w:footnoteRef/>
      </w:r>
      <w:r w:rsidRPr="00BB356A">
        <w:t xml:space="preserve"> Waiver Request at </w:t>
      </w:r>
      <w:r w:rsidRPr="00BB356A">
        <w:t>7</w:t>
      </w:r>
      <w:r w:rsidRPr="00BB356A">
        <w:t>.</w:t>
      </w:r>
    </w:p>
  </w:footnote>
  <w:footnote w:id="50">
    <w:p w:rsidR="00D8114E" w:rsidRPr="00BB356A" w:rsidP="005616C4">
      <w:pPr>
        <w:pStyle w:val="FootnoteText"/>
        <w:jc w:val="left"/>
      </w:pPr>
      <w:r w:rsidRPr="00BB356A">
        <w:rPr>
          <w:rStyle w:val="FootnoteReference"/>
        </w:rPr>
        <w:footnoteRef/>
      </w:r>
      <w:r w:rsidRPr="00BB356A">
        <w:t xml:space="preserve"> </w:t>
      </w:r>
      <w:r w:rsidRPr="00BB356A">
        <w:rPr>
          <w:i/>
        </w:rPr>
        <w:t xml:space="preserve">See </w:t>
      </w:r>
      <w:r w:rsidRPr="00BB356A">
        <w:t xml:space="preserve"> </w:t>
      </w:r>
      <w:r w:rsidR="002E28BA">
        <w:fldChar w:fldCharType="begin"/>
      </w:r>
      <w:r w:rsidR="002E28BA">
        <w:instrText>HYPERLINK "http://alaskaweb.org/region-scentral.html"</w:instrText>
      </w:r>
      <w:r w:rsidR="002E28BA">
        <w:fldChar w:fldCharType="separate"/>
      </w:r>
      <w:r w:rsidRPr="00BB356A">
        <w:rPr>
          <w:rStyle w:val="Hyperlink"/>
        </w:rPr>
        <w:t>http://alaskaweb.org/region-scentral.html</w:t>
      </w:r>
      <w:r w:rsidR="002E28BA">
        <w:rPr>
          <w:rStyle w:val="Hyperlink"/>
        </w:rPr>
        <w:fldChar w:fldCharType="end"/>
      </w:r>
      <w:r w:rsidRPr="00BB356A">
        <w:rPr>
          <w:i/>
        </w:rPr>
        <w:t xml:space="preserve">; </w:t>
      </w:r>
      <w:r>
        <w:fldChar w:fldCharType="begin"/>
      </w:r>
      <w:r>
        <w:instrText xml:space="preserve"> HYPERLINK "http://alaskaweb.org/region-swest.html" </w:instrText>
      </w:r>
      <w:r>
        <w:fldChar w:fldCharType="separate"/>
      </w:r>
      <w:r w:rsidRPr="00BB356A">
        <w:rPr>
          <w:rStyle w:val="Hyperlink"/>
        </w:rPr>
        <w:t>http://alaskaweb.org/region-swest.html</w:t>
      </w:r>
      <w:r>
        <w:fldChar w:fldCharType="end"/>
      </w:r>
      <w:r w:rsidRPr="00BB356A">
        <w:rPr>
          <w:i/>
        </w:rPr>
        <w:t xml:space="preserve">; </w:t>
      </w:r>
      <w:r w:rsidRPr="00BB356A">
        <w:t>https://www.britannica.com/place/Aleutian-Islands</w:t>
      </w:r>
      <w:r w:rsidR="000A620B">
        <w:t>.</w:t>
      </w:r>
    </w:p>
  </w:footnote>
  <w:footnote w:id="51">
    <w:p w:rsidR="00D8114E" w:rsidRPr="005616C4" w:rsidP="005616C4">
      <w:pPr>
        <w:pStyle w:val="FootnoteText"/>
        <w:jc w:val="left"/>
      </w:pPr>
      <w:r w:rsidRPr="00BB356A">
        <w:rPr>
          <w:rStyle w:val="FootnoteReference"/>
        </w:rPr>
        <w:footnoteRef/>
      </w:r>
      <w:r w:rsidRPr="00BB356A">
        <w:t xml:space="preserve"> AT&amp;T Reply at </w:t>
      </w:r>
      <w:r w:rsidRPr="00BB356A">
        <w:t>5</w:t>
      </w:r>
      <w:r w:rsidRPr="00BB356A">
        <w:t xml:space="preserve"> (citing the</w:t>
      </w:r>
      <w:r w:rsidRPr="00BB356A">
        <w:rPr>
          <w:i/>
        </w:rPr>
        <w:t xml:space="preserve"> Alaska Plan</w:t>
      </w:r>
      <w:r w:rsidRPr="00BB356A">
        <w:t xml:space="preserve">, 31 FCC </w:t>
      </w:r>
      <w:r w:rsidRPr="00BB356A">
        <w:t>Rcd</w:t>
      </w:r>
      <w:r w:rsidRPr="00BB356A">
        <w:t xml:space="preserve"> 10139, 10162, para. 72)</w:t>
      </w:r>
      <w:r w:rsidRPr="005616C4">
        <w:t xml:space="preserve">.  </w:t>
      </w:r>
    </w:p>
  </w:footnote>
  <w:footnote w:id="52">
    <w:p w:rsidR="00D8114E" w:rsidRPr="00BB356A" w:rsidP="005616C4">
      <w:pPr>
        <w:pStyle w:val="FootnoteText"/>
        <w:jc w:val="left"/>
      </w:pPr>
      <w:r w:rsidRPr="00BB356A">
        <w:rPr>
          <w:rStyle w:val="FootnoteReference"/>
        </w:rPr>
        <w:footnoteRef/>
      </w:r>
      <w:r w:rsidRPr="00BB356A">
        <w:t xml:space="preserve"> </w:t>
      </w:r>
      <w:r w:rsidRPr="00BB356A">
        <w:rPr>
          <w:i/>
        </w:rPr>
        <w:t>See</w:t>
      </w:r>
      <w:r w:rsidRPr="00BB356A">
        <w:t xml:space="preserve"> Waiver Request at 6</w:t>
      </w:r>
      <w:r w:rsidRPr="005616C4">
        <w:t xml:space="preserve">; FCC GIS Database; Guide to State and Local Census Geography - Selected Data from the 2010 Census, U.S. Census Bureau, https://www.census.gov/geo/reference/guidestloc/select_data.html (2010 State and Local Census Guide); U.S. Census Bureau, 2010 Census of Population and Housing, Population and Housing Unity Counts, Alaska: 2010 (June 2012), at 7, </w:t>
      </w:r>
      <w:r>
        <w:fldChar w:fldCharType="begin"/>
      </w:r>
      <w:r>
        <w:instrText xml:space="preserve"> HYPERLINK "https://www.census.gov/prod/cen2010/cph-2-3.pdf" </w:instrText>
      </w:r>
      <w:r>
        <w:fldChar w:fldCharType="separate"/>
      </w:r>
      <w:r w:rsidRPr="00BB356A">
        <w:rPr>
          <w:rStyle w:val="Hyperlink"/>
        </w:rPr>
        <w:t>https://www.census.gov/prod/cen2010/cph-2-3.pdf</w:t>
      </w:r>
      <w:r>
        <w:fldChar w:fldCharType="end"/>
      </w:r>
      <w:r w:rsidRPr="00BB356A">
        <w:t xml:space="preserve"> (2010 Alaska Census).</w:t>
      </w:r>
    </w:p>
  </w:footnote>
  <w:footnote w:id="53">
    <w:p w:rsidR="00D8114E" w:rsidRPr="005616C4" w:rsidP="005616C4">
      <w:pPr>
        <w:pStyle w:val="FootnoteText"/>
        <w:jc w:val="left"/>
      </w:pPr>
      <w:r w:rsidRPr="00BB356A">
        <w:rPr>
          <w:rStyle w:val="FootnoteReference"/>
        </w:rPr>
        <w:footnoteRef/>
      </w:r>
      <w:r w:rsidRPr="00BB356A">
        <w:t xml:space="preserve"> California comprises more than 163,464 square miles,</w:t>
      </w:r>
      <w:r w:rsidRPr="005616C4">
        <w:t xml:space="preserve"> with a population of 37,253,956.  </w:t>
      </w:r>
      <w:r w:rsidRPr="005616C4">
        <w:rPr>
          <w:i/>
        </w:rPr>
        <w:t xml:space="preserve">See </w:t>
      </w:r>
      <w:r w:rsidRPr="005616C4">
        <w:t>FCC GIS Database; 2010 State and Local Census Guide.  CMA316 has a population of 200,813.  ULS, Call Sign WQIZ597, Market.</w:t>
      </w:r>
    </w:p>
  </w:footnote>
  <w:footnote w:id="54">
    <w:p w:rsidR="00D8114E" w:rsidRPr="005616C4" w:rsidP="005616C4">
      <w:pPr>
        <w:pStyle w:val="FootnoteText"/>
        <w:jc w:val="left"/>
      </w:pPr>
      <w:r w:rsidRPr="00BB356A">
        <w:rPr>
          <w:rStyle w:val="FootnoteReference"/>
        </w:rPr>
        <w:footnoteRef/>
      </w:r>
      <w:r w:rsidRPr="00BB356A">
        <w:t xml:space="preserve"> Texas comprises more than 268,585 square miles, with a population of 25,145,561.  </w:t>
      </w:r>
      <w:r w:rsidRPr="00BB356A">
        <w:rPr>
          <w:i/>
        </w:rPr>
        <w:t xml:space="preserve">See </w:t>
      </w:r>
      <w:r w:rsidRPr="005616C4">
        <w:t>FCC GIS Database; 2010 State and Local Census Guide.</w:t>
      </w:r>
    </w:p>
  </w:footnote>
  <w:footnote w:id="55">
    <w:p w:rsidR="00D8114E" w:rsidRPr="005616C4" w:rsidP="005616C4">
      <w:pPr>
        <w:pStyle w:val="FootnoteText"/>
        <w:jc w:val="left"/>
      </w:pPr>
      <w:r w:rsidRPr="00BB356A">
        <w:rPr>
          <w:rStyle w:val="FootnoteReference"/>
        </w:rPr>
        <w:footnoteRef/>
      </w:r>
      <w:r w:rsidRPr="00BB356A">
        <w:t xml:space="preserve"> </w:t>
      </w:r>
      <w:r w:rsidRPr="00BB356A">
        <w:rPr>
          <w:i/>
        </w:rPr>
        <w:t>Facilitating the Provision of Spectrum-Based Services to Rural Areas and Promoting Opportunities for Rural Telephone Companies To Provide Spectrum-Based Services</w:t>
      </w:r>
      <w:r w:rsidRPr="00BB356A">
        <w:t xml:space="preserve">, Report and Order and Further Notice of Proposed Rule Making, 19 FCC </w:t>
      </w:r>
      <w:r w:rsidRPr="00BB356A">
        <w:t>Rcd</w:t>
      </w:r>
      <w:r w:rsidRPr="00BB356A">
        <w:t xml:space="preserve"> 19078, 19086-88, paras. 10-12 (WTB 2004).</w:t>
      </w:r>
    </w:p>
  </w:footnote>
  <w:footnote w:id="56">
    <w:p w:rsidR="00D8114E" w:rsidRPr="005616C4" w:rsidP="005616C4">
      <w:pPr>
        <w:pStyle w:val="FootnoteText"/>
        <w:jc w:val="left"/>
        <w:rPr>
          <w:i/>
        </w:rPr>
      </w:pPr>
      <w:r w:rsidRPr="00BB356A">
        <w:rPr>
          <w:rStyle w:val="FootnoteReference"/>
        </w:rPr>
        <w:footnoteRef/>
      </w:r>
      <w:r w:rsidRPr="00BB356A">
        <w:t xml:space="preserve"> </w:t>
      </w:r>
      <w:r w:rsidRPr="00BB356A">
        <w:rPr>
          <w:i/>
        </w:rPr>
        <w:t xml:space="preserve">See </w:t>
      </w:r>
      <w:r w:rsidRPr="00BB356A">
        <w:t>2010 Alaska Census.</w:t>
      </w:r>
    </w:p>
  </w:footnote>
  <w:footnote w:id="57">
    <w:p w:rsidR="00D8114E" w:rsidRPr="005616C4" w:rsidP="005616C4">
      <w:pPr>
        <w:pStyle w:val="FootnoteText"/>
        <w:jc w:val="left"/>
        <w:rPr>
          <w:i/>
        </w:rPr>
      </w:pPr>
      <w:r w:rsidRPr="00BB356A">
        <w:rPr>
          <w:rStyle w:val="FootnoteReference"/>
        </w:rPr>
        <w:footnoteRef/>
      </w:r>
      <w:r w:rsidRPr="00BB356A">
        <w:t xml:space="preserve"> </w:t>
      </w:r>
      <w:r w:rsidRPr="00BB356A">
        <w:rPr>
          <w:i/>
        </w:rPr>
        <w:t xml:space="preserve">See </w:t>
      </w:r>
      <w:r w:rsidRPr="00BB356A">
        <w:t xml:space="preserve">Waiver Request at 6 (citing </w:t>
      </w:r>
      <w:r w:rsidRPr="00BB356A">
        <w:rPr>
          <w:i/>
        </w:rPr>
        <w:t xml:space="preserve">Application of the Alaska Wireless Network, LLC and T-Mobile License LLC for Consent </w:t>
      </w:r>
      <w:r>
        <w:rPr>
          <w:i/>
        </w:rPr>
        <w:t>T</w:t>
      </w:r>
      <w:r w:rsidRPr="00BB356A">
        <w:rPr>
          <w:i/>
        </w:rPr>
        <w:t>o Assign License</w:t>
      </w:r>
      <w:r w:rsidRPr="005616C4">
        <w:t xml:space="preserve">, Memorandum Opinion and Order, 31 FCC </w:t>
      </w:r>
      <w:r w:rsidRPr="005616C4">
        <w:t>Rcd</w:t>
      </w:r>
      <w:r w:rsidRPr="005616C4">
        <w:t xml:space="preserve"> 4447, 4454 (2016)); AT&amp;T Reply at 4; 2010 Alaska Census.</w:t>
      </w:r>
    </w:p>
  </w:footnote>
  <w:footnote w:id="58">
    <w:p w:rsidR="00D8114E" w:rsidRPr="00BB356A" w:rsidP="005616C4">
      <w:pPr>
        <w:pStyle w:val="FootnoteText"/>
        <w:jc w:val="left"/>
      </w:pPr>
      <w:r w:rsidRPr="00BB356A">
        <w:rPr>
          <w:rStyle w:val="FootnoteReference"/>
        </w:rPr>
        <w:footnoteRef/>
      </w:r>
      <w:r w:rsidRPr="00BB356A">
        <w:t xml:space="preserve"> AT&amp;T Reply at </w:t>
      </w:r>
      <w:r w:rsidRPr="00BB356A">
        <w:t>4</w:t>
      </w:r>
      <w:r w:rsidRPr="00BB356A">
        <w:t>.</w:t>
      </w:r>
    </w:p>
  </w:footnote>
  <w:footnote w:id="59">
    <w:p w:rsidR="00D8114E" w:rsidRPr="00BB356A" w:rsidP="005616C4">
      <w:pPr>
        <w:pStyle w:val="FootnoteText"/>
        <w:jc w:val="left"/>
      </w:pPr>
      <w:r w:rsidRPr="00BB356A">
        <w:rPr>
          <w:rStyle w:val="FootnoteReference"/>
        </w:rPr>
        <w:footnoteRef/>
      </w:r>
      <w:r w:rsidRPr="00BB356A">
        <w:t xml:space="preserve"> </w:t>
      </w:r>
      <w:r w:rsidRPr="00BB356A">
        <w:rPr>
          <w:i/>
        </w:rPr>
        <w:t>Id.</w:t>
      </w:r>
      <w:r w:rsidR="00E93FA8">
        <w:rPr>
          <w:i/>
        </w:rPr>
        <w:t xml:space="preserve"> </w:t>
      </w:r>
      <w:r w:rsidRPr="00BB356A">
        <w:t xml:space="preserve"> </w:t>
      </w:r>
      <w:r w:rsidRPr="005616C4">
        <w:rPr>
          <w:i/>
        </w:rPr>
        <w:t>See</w:t>
      </w:r>
      <w:r w:rsidRPr="005616C4">
        <w:t xml:space="preserve"> Nat’l Telecommunications &amp; Info. Admin., U.S. Dep’t of Commerce, U.S. Broadband Availability: June 2010 – June 2012, at 12, </w:t>
      </w:r>
      <w:r w:rsidRPr="005616C4">
        <w:t>tbl</w:t>
      </w:r>
      <w:r w:rsidRPr="005616C4">
        <w:t xml:space="preserve">. </w:t>
      </w:r>
      <w:r w:rsidRPr="005616C4">
        <w:t>5</w:t>
      </w:r>
      <w:r w:rsidRPr="005616C4">
        <w:t xml:space="preserve"> (May 2013), </w:t>
      </w:r>
      <w:r>
        <w:fldChar w:fldCharType="begin"/>
      </w:r>
      <w:r>
        <w:instrText xml:space="preserve"> HYPERLINK "http://www.ntia.doc.gov/files/ntia/publications/usbb_avail_report_05102013.pdf" </w:instrText>
      </w:r>
      <w:r>
        <w:fldChar w:fldCharType="separate"/>
      </w:r>
      <w:r w:rsidRPr="00BB356A">
        <w:rPr>
          <w:rStyle w:val="Hyperlink"/>
        </w:rPr>
        <w:t>http://www.ntia.doc.gov/files/ntia/publications/usbb_avail_report_05102013.pdf</w:t>
      </w:r>
      <w:r>
        <w:fldChar w:fldCharType="end"/>
      </w:r>
      <w:r w:rsidRPr="00BB356A">
        <w:t xml:space="preserve">; Nat’l Telecommunications &amp; Info. Admin., U.S. Dep’t of Commerce, U.S. Broadband Map, June 2014, available at </w:t>
      </w:r>
      <w:r>
        <w:fldChar w:fldCharType="begin"/>
      </w:r>
      <w:r>
        <w:instrText xml:space="preserve"> HYPERLINK "https://www.broadbandmap.gov/rank/all/state/percent-population/within-nation/speed-download-greater-than-3mbps-upload-greater-than-0.768mbps/ascending/" </w:instrText>
      </w:r>
      <w:r>
        <w:fldChar w:fldCharType="separate"/>
      </w:r>
      <w:r w:rsidRPr="00BB356A">
        <w:rPr>
          <w:rStyle w:val="Hyperlink"/>
        </w:rPr>
        <w:t>https://www.broadbandmap.gov/rank/all/state/percent-population/within-nation/speed-download-greater-than-3mbps-upload-greater-than-0.768mbps/ascending/</w:t>
      </w:r>
      <w:r>
        <w:fldChar w:fldCharType="end"/>
      </w:r>
      <w:r w:rsidRPr="00BB356A">
        <w:t>; Federal Communications Commission, Compare Broadband Availability in Different Areas (Dec. 2016), available at https://broadbandmap.fcc.gov/#/area-comparison?selectedTech=acfosw&amp;selectedSpeed=25_3&amp;searchtype=state.</w:t>
      </w:r>
    </w:p>
  </w:footnote>
  <w:footnote w:id="60">
    <w:p w:rsidR="00D8114E" w:rsidRPr="005616C4" w:rsidP="005616C4">
      <w:pPr>
        <w:pStyle w:val="FootnoteText"/>
        <w:jc w:val="left"/>
      </w:pPr>
      <w:r w:rsidRPr="00BB356A">
        <w:rPr>
          <w:rStyle w:val="FootnoteReference"/>
        </w:rPr>
        <w:footnoteRef/>
      </w:r>
      <w:r w:rsidRPr="00BB356A">
        <w:t xml:space="preserve"> </w:t>
      </w:r>
      <w:r w:rsidRPr="00BB356A">
        <w:rPr>
          <w:i/>
        </w:rPr>
        <w:t xml:space="preserve">700 MHz Second Report and Order, </w:t>
      </w:r>
      <w:r w:rsidRPr="00BB356A">
        <w:t xml:space="preserve">22 FCC </w:t>
      </w:r>
      <w:r w:rsidRPr="00BB356A">
        <w:t>Rcd</w:t>
      </w:r>
      <w:r w:rsidRPr="00BB356A">
        <w:t xml:space="preserve"> at 15348-49, paras. </w:t>
      </w:r>
      <w:r w:rsidRPr="00BB356A">
        <w:t>155-56</w:t>
      </w:r>
      <w:r w:rsidRPr="00BB356A">
        <w:t xml:space="preserve"> (emphasis added).</w:t>
      </w:r>
    </w:p>
  </w:footnote>
  <w:footnote w:id="61">
    <w:p w:rsidR="00D8114E" w:rsidRPr="005616C4" w:rsidP="005616C4">
      <w:pPr>
        <w:spacing w:after="120"/>
        <w:rPr>
          <w:color w:val="000000"/>
        </w:rPr>
      </w:pPr>
      <w:r w:rsidRPr="00BB356A">
        <w:rPr>
          <w:rStyle w:val="FootnoteReference"/>
          <w:color w:val="000000"/>
        </w:rPr>
        <w:footnoteRef/>
      </w:r>
      <w:r w:rsidRPr="00BB356A">
        <w:rPr>
          <w:color w:val="000000"/>
        </w:rPr>
        <w:t xml:space="preserve"> </w:t>
      </w:r>
      <w:r w:rsidRPr="00BB356A">
        <w:rPr>
          <w:i/>
          <w:color w:val="000000"/>
        </w:rPr>
        <w:t xml:space="preserve">See </w:t>
      </w:r>
      <w:r w:rsidRPr="00BB356A">
        <w:t>FCC GIS Database.</w:t>
      </w:r>
    </w:p>
  </w:footnote>
  <w:footnote w:id="62">
    <w:p w:rsidR="00D8114E" w:rsidRPr="00BB356A" w:rsidP="005616C4">
      <w:pPr>
        <w:pStyle w:val="FootnoteText"/>
        <w:jc w:val="left"/>
      </w:pPr>
      <w:r w:rsidRPr="00BB356A">
        <w:rPr>
          <w:rStyle w:val="FootnoteReference"/>
          <w:color w:val="000000"/>
        </w:rPr>
        <w:footnoteRef/>
      </w:r>
      <w:r w:rsidRPr="00BB356A">
        <w:t xml:space="preserve"> </w:t>
      </w:r>
      <w:r w:rsidRPr="00BB356A">
        <w:rPr>
          <w:i/>
        </w:rPr>
        <w:t>See</w:t>
      </w:r>
      <w:r w:rsidR="005C0911">
        <w:rPr>
          <w:i/>
        </w:rPr>
        <w:t xml:space="preserve"> id.</w:t>
      </w:r>
      <w:r w:rsidRPr="00BB356A">
        <w:t xml:space="preserve">; FCC, Auctions, Maps, </w:t>
      </w:r>
      <w:r>
        <w:fldChar w:fldCharType="begin"/>
      </w:r>
      <w:r>
        <w:instrText xml:space="preserve"> HYPERLINK "http://wireless.fcc.gov/auctions/data/maps/REAG.pdf" </w:instrText>
      </w:r>
      <w:r>
        <w:fldChar w:fldCharType="separate"/>
      </w:r>
      <w:r w:rsidRPr="00BB356A">
        <w:rPr>
          <w:rStyle w:val="Hyperlink"/>
        </w:rPr>
        <w:t>http://wireless.fcc.gov/auctions/data/maps/REAG.pdf</w:t>
      </w:r>
      <w:r>
        <w:fldChar w:fldCharType="end"/>
      </w:r>
      <w:r w:rsidRPr="00BB356A">
        <w:t xml:space="preserve">.    </w:t>
      </w:r>
    </w:p>
  </w:footnote>
  <w:footnote w:id="63">
    <w:p w:rsidR="00D8114E" w:rsidRPr="005616C4" w:rsidP="005616C4">
      <w:pPr>
        <w:pStyle w:val="FootnoteText"/>
        <w:jc w:val="left"/>
      </w:pPr>
      <w:r w:rsidRPr="00BB356A">
        <w:rPr>
          <w:rStyle w:val="FootnoteReference"/>
        </w:rPr>
        <w:footnoteRef/>
      </w:r>
      <w:r w:rsidRPr="00BB356A">
        <w:t xml:space="preserve"> </w:t>
      </w:r>
      <w:r w:rsidRPr="00BB356A">
        <w:rPr>
          <w:i/>
        </w:rPr>
        <w:t>See AT&amp;T CMA315 MOO</w:t>
      </w:r>
      <w:r w:rsidRPr="00BB356A">
        <w:t xml:space="preserve"> at 10, para. </w:t>
      </w:r>
      <w:r w:rsidRPr="00BB356A">
        <w:t>19</w:t>
      </w:r>
      <w:r w:rsidRPr="00BB356A">
        <w:t>;</w:t>
      </w:r>
      <w:r w:rsidRPr="005616C4">
        <w:t xml:space="preserve"> </w:t>
      </w:r>
      <w:r w:rsidRPr="005616C4">
        <w:rPr>
          <w:i/>
        </w:rPr>
        <w:t>AWN MOO</w:t>
      </w:r>
      <w:r w:rsidRPr="005616C4">
        <w:t xml:space="preserve"> at 10-11, para. 21; </w:t>
      </w:r>
      <w:r w:rsidRPr="005616C4">
        <w:rPr>
          <w:i/>
        </w:rPr>
        <w:t>700 MHz Reconsideration Order</w:t>
      </w:r>
      <w:r w:rsidRPr="005616C4">
        <w:t xml:space="preserve">, 28 FCC </w:t>
      </w:r>
      <w:r w:rsidRPr="005616C4">
        <w:t>Rcd</w:t>
      </w:r>
      <w:r w:rsidRPr="005616C4">
        <w:t xml:space="preserve"> at 2674, para. 6.</w:t>
      </w:r>
    </w:p>
  </w:footnote>
  <w:footnote w:id="64">
    <w:p w:rsidR="00D8114E" w:rsidRPr="00BB356A" w:rsidP="005616C4">
      <w:pPr>
        <w:pStyle w:val="FootnoteText"/>
        <w:jc w:val="left"/>
      </w:pPr>
      <w:r w:rsidRPr="00BB356A">
        <w:rPr>
          <w:rStyle w:val="FootnoteReference"/>
        </w:rPr>
        <w:footnoteRef/>
      </w:r>
      <w:r w:rsidRPr="00BB356A">
        <w:t xml:space="preserve"> RWA Comments at </w:t>
      </w:r>
      <w:r w:rsidRPr="00BB356A">
        <w:t>7</w:t>
      </w:r>
      <w:r>
        <w:t xml:space="preserve"> (quoting AT&amp;T Waiver Request at 7.)</w:t>
      </w:r>
      <w:r w:rsidRPr="00BB356A">
        <w:t>.</w:t>
      </w:r>
    </w:p>
  </w:footnote>
  <w:footnote w:id="65">
    <w:p w:rsidR="00D8114E" w:rsidRPr="005616C4" w:rsidP="005616C4">
      <w:pPr>
        <w:pStyle w:val="FootnoteText"/>
        <w:jc w:val="left"/>
      </w:pPr>
      <w:r w:rsidRPr="00BB356A">
        <w:rPr>
          <w:rStyle w:val="FootnoteReference"/>
        </w:rPr>
        <w:footnoteRef/>
      </w:r>
      <w:r w:rsidRPr="00BB356A">
        <w:t xml:space="preserve"> </w:t>
      </w:r>
      <w:r w:rsidRPr="00BB356A">
        <w:rPr>
          <w:i/>
        </w:rPr>
        <w:t>Id</w:t>
      </w:r>
      <w:r w:rsidRPr="00BB356A">
        <w:t xml:space="preserve">. </w:t>
      </w:r>
    </w:p>
  </w:footnote>
  <w:footnote w:id="66">
    <w:p w:rsidR="00D8114E" w:rsidRPr="005616C4" w:rsidP="005616C4">
      <w:pPr>
        <w:pStyle w:val="FootnoteText"/>
        <w:jc w:val="left"/>
      </w:pPr>
      <w:r w:rsidRPr="00BB356A">
        <w:rPr>
          <w:rStyle w:val="FootnoteReference"/>
        </w:rPr>
        <w:footnoteRef/>
      </w:r>
      <w:r w:rsidRPr="00BB356A">
        <w:t xml:space="preserve"> </w:t>
      </w:r>
      <w:r w:rsidRPr="00BB356A">
        <w:rPr>
          <w:i/>
        </w:rPr>
        <w:t>Id</w:t>
      </w:r>
      <w:r w:rsidRPr="00BB356A">
        <w:t xml:space="preserve">. at </w:t>
      </w:r>
      <w:r w:rsidRPr="00BB356A">
        <w:t>8</w:t>
      </w:r>
      <w:r w:rsidRPr="00BB356A">
        <w:t xml:space="preserve">. </w:t>
      </w:r>
    </w:p>
  </w:footnote>
  <w:footnote w:id="67">
    <w:p w:rsidR="00D8114E" w:rsidRPr="005616C4" w:rsidP="005616C4">
      <w:pPr>
        <w:pStyle w:val="FootnoteText"/>
        <w:jc w:val="left"/>
      </w:pPr>
      <w:r w:rsidRPr="00BB356A">
        <w:rPr>
          <w:rStyle w:val="FootnoteReference"/>
        </w:rPr>
        <w:footnoteRef/>
      </w:r>
      <w:r w:rsidRPr="00BB356A">
        <w:t xml:space="preserve"> </w:t>
      </w:r>
      <w:r w:rsidRPr="00BB356A">
        <w:rPr>
          <w:i/>
        </w:rPr>
        <w:t>Id</w:t>
      </w:r>
      <w:r w:rsidRPr="00BB356A">
        <w:t xml:space="preserve">. </w:t>
      </w:r>
    </w:p>
  </w:footnote>
  <w:footnote w:id="68">
    <w:p w:rsidR="00D8114E" w:rsidRPr="00BB356A" w:rsidP="005616C4">
      <w:pPr>
        <w:pStyle w:val="FootnoteText"/>
        <w:jc w:val="left"/>
      </w:pPr>
      <w:r w:rsidRPr="00BB356A">
        <w:rPr>
          <w:rStyle w:val="FootnoteReference"/>
        </w:rPr>
        <w:footnoteRef/>
      </w:r>
      <w:r w:rsidRPr="00BB356A">
        <w:t xml:space="preserve"> AT&amp;T Reply at </w:t>
      </w:r>
      <w:r w:rsidRPr="00BB356A">
        <w:t>5</w:t>
      </w:r>
      <w:r w:rsidRPr="00BB356A">
        <w:t>.</w:t>
      </w:r>
    </w:p>
  </w:footnote>
  <w:footnote w:id="69">
    <w:p w:rsidR="00D8114E" w:rsidRPr="005616C4" w:rsidP="005616C4">
      <w:pPr>
        <w:pStyle w:val="FootnoteText"/>
        <w:jc w:val="left"/>
      </w:pPr>
      <w:r w:rsidRPr="00BB356A">
        <w:rPr>
          <w:rStyle w:val="FootnoteReference"/>
        </w:rPr>
        <w:footnoteRef/>
      </w:r>
      <w:r w:rsidRPr="00BB356A">
        <w:rPr>
          <w:i/>
        </w:rPr>
        <w:t xml:space="preserve"> See AT&amp;T CMA315 Waiver Order</w:t>
      </w:r>
      <w:r w:rsidRPr="00BB356A">
        <w:t>,</w:t>
      </w:r>
      <w:r w:rsidRPr="005616C4">
        <w:rPr>
          <w:i/>
        </w:rPr>
        <w:t xml:space="preserve"> </w:t>
      </w:r>
      <w:r w:rsidRPr="005616C4">
        <w:t xml:space="preserve">32 FCC </w:t>
      </w:r>
      <w:r w:rsidRPr="005616C4">
        <w:t>Rcd</w:t>
      </w:r>
      <w:r w:rsidRPr="005616C4">
        <w:t xml:space="preserve"> at 516; </w:t>
      </w:r>
      <w:r w:rsidRPr="005616C4">
        <w:rPr>
          <w:i/>
        </w:rPr>
        <w:t>AT&amp;T CMA315 MOO</w:t>
      </w:r>
      <w:r w:rsidRPr="005616C4">
        <w:t xml:space="preserve"> at </w:t>
      </w:r>
      <w:r w:rsidRPr="005616C4">
        <w:t>9</w:t>
      </w:r>
      <w:r w:rsidRPr="005616C4">
        <w:t xml:space="preserve">, para. </w:t>
      </w:r>
      <w:r w:rsidRPr="005616C4">
        <w:t>18</w:t>
      </w:r>
      <w:r w:rsidRPr="005616C4">
        <w:t xml:space="preserve">; </w:t>
      </w:r>
      <w:r w:rsidRPr="005616C4">
        <w:rPr>
          <w:i/>
        </w:rPr>
        <w:t xml:space="preserve">AWN Waiver Order, </w:t>
      </w:r>
      <w:r w:rsidRPr="005616C4">
        <w:t xml:space="preserve">32 FCC </w:t>
      </w:r>
      <w:r w:rsidRPr="005616C4">
        <w:t>Rcd</w:t>
      </w:r>
      <w:r w:rsidRPr="005616C4">
        <w:t xml:space="preserve"> at 4728; </w:t>
      </w:r>
      <w:r w:rsidRPr="005616C4">
        <w:rPr>
          <w:i/>
        </w:rPr>
        <w:t xml:space="preserve">AWN MOO </w:t>
      </w:r>
      <w:r w:rsidRPr="005616C4">
        <w:t>at 9, para. 18.</w:t>
      </w:r>
    </w:p>
  </w:footnote>
  <w:footnote w:id="70">
    <w:p w:rsidR="00D8114E" w:rsidRPr="00BB356A" w:rsidP="005616C4">
      <w:pPr>
        <w:pStyle w:val="FootnoteText"/>
        <w:jc w:val="left"/>
      </w:pPr>
      <w:r w:rsidRPr="00BB356A">
        <w:rPr>
          <w:rStyle w:val="FootnoteReference"/>
        </w:rPr>
        <w:footnoteRef/>
      </w:r>
      <w:r w:rsidRPr="00BB356A">
        <w:t xml:space="preserve"> Waiver Request at </w:t>
      </w:r>
      <w:r w:rsidRPr="00BB356A">
        <w:t>6</w:t>
      </w:r>
      <w:r w:rsidRPr="00BB356A">
        <w:t>.</w:t>
      </w:r>
    </w:p>
  </w:footnote>
  <w:footnote w:id="71">
    <w:p w:rsidR="00D8114E" w:rsidRPr="005616C4" w:rsidP="005616C4">
      <w:pPr>
        <w:pStyle w:val="FootnoteText"/>
        <w:jc w:val="left"/>
      </w:pPr>
      <w:r w:rsidRPr="00BB356A">
        <w:rPr>
          <w:rStyle w:val="FootnoteReference"/>
        </w:rPr>
        <w:footnoteRef/>
      </w:r>
      <w:r w:rsidRPr="00BB356A">
        <w:t xml:space="preserve"> </w:t>
      </w:r>
      <w:r w:rsidRPr="00BB356A">
        <w:rPr>
          <w:i/>
        </w:rPr>
        <w:t>Id.</w:t>
      </w:r>
      <w:r w:rsidRPr="00BB356A">
        <w:t xml:space="preserve"> at </w:t>
      </w:r>
      <w:r w:rsidRPr="00BB356A">
        <w:t>6</w:t>
      </w:r>
      <w:r w:rsidRPr="00BB356A">
        <w:t>, 9.</w:t>
      </w:r>
    </w:p>
  </w:footnote>
  <w:footnote w:id="72">
    <w:p w:rsidR="00D8114E" w:rsidRPr="00BB356A" w:rsidP="005616C4">
      <w:pPr>
        <w:pStyle w:val="FootnoteText"/>
        <w:jc w:val="left"/>
      </w:pPr>
      <w:r w:rsidRPr="00BB356A">
        <w:rPr>
          <w:rStyle w:val="FootnoteReference"/>
        </w:rPr>
        <w:footnoteRef/>
      </w:r>
      <w:r w:rsidRPr="00BB356A">
        <w:t xml:space="preserve"> AT&amp;T Reply at </w:t>
      </w:r>
      <w:r w:rsidRPr="00BB356A">
        <w:t>5</w:t>
      </w:r>
      <w:r w:rsidRPr="00BB356A">
        <w:t>.</w:t>
      </w:r>
    </w:p>
  </w:footnote>
  <w:footnote w:id="73">
    <w:p w:rsidR="00D8114E" w:rsidRPr="00BB356A" w:rsidP="005616C4">
      <w:pPr>
        <w:pStyle w:val="FootnoteText"/>
        <w:jc w:val="left"/>
      </w:pPr>
      <w:r w:rsidRPr="00BB356A">
        <w:rPr>
          <w:rStyle w:val="FootnoteReference"/>
        </w:rPr>
        <w:footnoteRef/>
      </w:r>
      <w:r w:rsidRPr="00BB356A">
        <w:t xml:space="preserve"> ASTAC Reply at </w:t>
      </w:r>
      <w:r w:rsidRPr="00BB356A">
        <w:t>2</w:t>
      </w:r>
      <w:r w:rsidRPr="00BB356A">
        <w:t xml:space="preserve"> (emphasis added).</w:t>
      </w:r>
    </w:p>
  </w:footnote>
  <w:footnote w:id="74">
    <w:p w:rsidR="00D8114E" w:rsidRPr="005616C4" w:rsidP="005616C4">
      <w:pPr>
        <w:pStyle w:val="FootnoteText"/>
        <w:jc w:val="left"/>
      </w:pPr>
      <w:r w:rsidRPr="00BB356A">
        <w:rPr>
          <w:rStyle w:val="FootnoteReference"/>
        </w:rPr>
        <w:footnoteRef/>
      </w:r>
      <w:r w:rsidRPr="00BB356A">
        <w:t xml:space="preserve"> </w:t>
      </w:r>
      <w:r w:rsidRPr="00BB356A">
        <w:rPr>
          <w:i/>
        </w:rPr>
        <w:t>See</w:t>
      </w:r>
      <w:r w:rsidRPr="005616C4">
        <w:rPr>
          <w:i/>
        </w:rPr>
        <w:t xml:space="preserve"> </w:t>
      </w:r>
      <w:r w:rsidRPr="005616C4">
        <w:t xml:space="preserve">RWA Comments at </w:t>
      </w:r>
      <w:r w:rsidRPr="005616C4">
        <w:t>8</w:t>
      </w:r>
      <w:r w:rsidRPr="005616C4">
        <w:t xml:space="preserve">. </w:t>
      </w:r>
    </w:p>
  </w:footnote>
  <w:footnote w:id="75">
    <w:p w:rsidR="00D8114E" w:rsidRPr="00BB356A" w:rsidP="005616C4">
      <w:pPr>
        <w:pStyle w:val="FootnoteText"/>
        <w:jc w:val="left"/>
        <w:rPr>
          <w:i/>
        </w:rPr>
      </w:pPr>
      <w:r w:rsidRPr="00BB356A">
        <w:rPr>
          <w:rStyle w:val="FootnoteReference"/>
        </w:rPr>
        <w:footnoteRef/>
      </w:r>
      <w:r w:rsidRPr="00BB356A">
        <w:t xml:space="preserve"> ASTAC Reply at </w:t>
      </w:r>
      <w:r w:rsidRPr="00BB356A">
        <w:t>2</w:t>
      </w:r>
      <w:r w:rsidRPr="00BB356A">
        <w:t>.</w:t>
      </w:r>
    </w:p>
  </w:footnote>
  <w:footnote w:id="76">
    <w:p w:rsidR="00D8114E" w:rsidRPr="00BB356A" w:rsidP="005616C4">
      <w:pPr>
        <w:pStyle w:val="FootnoteText"/>
        <w:jc w:val="left"/>
      </w:pPr>
      <w:r w:rsidRPr="00BB356A">
        <w:rPr>
          <w:rStyle w:val="FootnoteReference"/>
        </w:rPr>
        <w:footnoteRef/>
      </w:r>
      <w:r w:rsidRPr="00BB356A">
        <w:t xml:space="preserve"> AT&amp;T Waiver Request at </w:t>
      </w:r>
      <w:r w:rsidRPr="00BB356A">
        <w:t>9</w:t>
      </w:r>
      <w:r w:rsidRPr="00BB356A">
        <w:t xml:space="preserve">.  </w:t>
      </w:r>
    </w:p>
  </w:footnote>
  <w:footnote w:id="77">
    <w:p w:rsidR="00D8114E" w:rsidRPr="005616C4" w:rsidP="005616C4">
      <w:pPr>
        <w:pStyle w:val="FootnoteText"/>
        <w:jc w:val="left"/>
        <w:rPr>
          <w:u w:val="single"/>
        </w:rPr>
      </w:pPr>
      <w:r w:rsidRPr="00BB356A">
        <w:rPr>
          <w:rStyle w:val="FootnoteReference"/>
        </w:rPr>
        <w:footnoteRef/>
      </w:r>
      <w:r w:rsidRPr="00BB356A">
        <w:t xml:space="preserve"> </w:t>
      </w:r>
      <w:r w:rsidRPr="00BB356A">
        <w:rPr>
          <w:i/>
        </w:rPr>
        <w:t xml:space="preserve">See </w:t>
      </w:r>
      <w:r w:rsidRPr="00BB356A">
        <w:t xml:space="preserve">Waiver Request at </w:t>
      </w:r>
      <w:r w:rsidRPr="00BB356A">
        <w:t>9</w:t>
      </w:r>
      <w:r w:rsidRPr="00BB356A">
        <w:t xml:space="preserve">; AT&amp;T Reply at 3; </w:t>
      </w:r>
      <w:r w:rsidRPr="00BB356A">
        <w:rPr>
          <w:i/>
        </w:rPr>
        <w:t>Interoperability Order,</w:t>
      </w:r>
      <w:r w:rsidRPr="005616C4">
        <w:t xml:space="preserve"> 28 FCC </w:t>
      </w:r>
      <w:r w:rsidRPr="005616C4">
        <w:t>Rcd</w:t>
      </w:r>
      <w:r w:rsidRPr="005616C4">
        <w:t xml:space="preserve"> at 15148, para. 57 (all active Lower 700 MHz band E Block licensees may meet their interim construction benchmark by providing signal coverage and offering service to at least 40 percent of its total E Block population and may meet their end-of-term construction benchmark by providing signal coverage to at least 70 percent of the population in each of its license areas).  </w:t>
      </w:r>
      <w:r w:rsidRPr="005616C4">
        <w:rPr>
          <w:i/>
        </w:rPr>
        <w:t xml:space="preserve">See also </w:t>
      </w:r>
      <w:r w:rsidRPr="005616C4">
        <w:t>47 CFR § 27.14(h) (Upper 700 MHz C Block licensees are required to provide reliable service sufficient to cover 40 percent of the population of their license areas within four years and 75 percent of the population within ten years.).</w:t>
      </w:r>
    </w:p>
  </w:footnote>
  <w:footnote w:id="78">
    <w:p w:rsidR="00D8114E" w:rsidRPr="00587895" w:rsidP="005616C4">
      <w:pPr>
        <w:pStyle w:val="FootnoteText"/>
        <w:jc w:val="left"/>
      </w:pPr>
      <w:r w:rsidRPr="00BB356A">
        <w:rPr>
          <w:rStyle w:val="FootnoteReference"/>
        </w:rPr>
        <w:footnoteRef/>
      </w:r>
      <w:r w:rsidRPr="00BB356A">
        <w:t xml:space="preserve"> </w:t>
      </w:r>
      <w:r w:rsidRPr="00BB356A">
        <w:rPr>
          <w:i/>
        </w:rPr>
        <w:t xml:space="preserve">See </w:t>
      </w:r>
      <w:r w:rsidRPr="00BB356A">
        <w:t>AT&amp;T Dec. 2</w:t>
      </w:r>
      <w:r w:rsidRPr="00BB356A">
        <w:rPr>
          <w:i/>
        </w:rPr>
        <w:t xml:space="preserve"> Ex Parte </w:t>
      </w:r>
      <w:r w:rsidRPr="005616C4">
        <w:t xml:space="preserve">at 2.  </w:t>
      </w:r>
      <w:r w:rsidRPr="005616C4">
        <w:rPr>
          <w:i/>
        </w:rPr>
        <w:t>See also, e.g.</w:t>
      </w:r>
      <w:r w:rsidRPr="005616C4">
        <w:t>, 47 CFR §§ 24.203 (PCS), 27.14(s) (AWS-1).</w:t>
      </w:r>
      <w:r w:rsidR="00B64282">
        <w:t xml:space="preserve">  AT&amp;T also argues that </w:t>
      </w:r>
      <w:r w:rsidR="009F5966">
        <w:t xml:space="preserve">its “experience with the Cellular service </w:t>
      </w:r>
      <w:r w:rsidRPr="009F5966" w:rsidR="009F5966">
        <w:t>demonstrates that incumbent licensees are much more likely to expand their service areas to accommodate new communities than is a third party to claim and build-out unserved area.</w:t>
      </w:r>
      <w:r w:rsidR="009F5966">
        <w:t xml:space="preserve">”  Waiver Request at </w:t>
      </w:r>
      <w:r w:rsidR="009F5966">
        <w:t>7</w:t>
      </w:r>
      <w:r w:rsidR="009F5966">
        <w:t xml:space="preserve">.  </w:t>
      </w:r>
      <w:r w:rsidR="00F16FAE">
        <w:t xml:space="preserve">Similar to the </w:t>
      </w:r>
      <w:r w:rsidR="00CA18E4">
        <w:t>keep-what-you-serve</w:t>
      </w:r>
      <w:r w:rsidR="00F16FAE">
        <w:t xml:space="preserve"> licensing regime of the 700 MHz band, parties may apply for unserved areas in</w:t>
      </w:r>
      <w:r w:rsidR="009F5966">
        <w:t xml:space="preserve"> the </w:t>
      </w:r>
      <w:r w:rsidRPr="007B2568" w:rsidR="00F16FAE">
        <w:t>Cellular Radiotelephone Service band</w:t>
      </w:r>
      <w:r w:rsidR="00F16FAE">
        <w:t>.</w:t>
      </w:r>
      <w:r w:rsidR="0023282D">
        <w:t xml:space="preserve"> </w:t>
      </w:r>
      <w:r w:rsidR="00F16FAE">
        <w:t xml:space="preserve"> </w:t>
      </w:r>
      <w:r w:rsidR="00F16FAE">
        <w:rPr>
          <w:i/>
        </w:rPr>
        <w:t xml:space="preserve">See </w:t>
      </w:r>
      <w:r w:rsidR="00F16FAE">
        <w:t>47 C.F.R. 22.911</w:t>
      </w:r>
      <w:r w:rsidR="002C43BF">
        <w:t xml:space="preserve">.  </w:t>
      </w:r>
      <w:r w:rsidR="002C43BF">
        <w:t>AT&amp;T states that Commission records show that “[d]</w:t>
      </w:r>
      <w:r w:rsidRPr="002C43BF" w:rsidR="002C43BF">
        <w:t>espite</w:t>
      </w:r>
      <w:r w:rsidRPr="002C43BF" w:rsidR="002C43BF">
        <w:t xml:space="preserve"> the presence of significant Cellular unserved area to claim in CMA316 over the last 25 years, the vast majority of the CMA remains unserved</w:t>
      </w:r>
      <w:r w:rsidR="002C43BF">
        <w:t xml:space="preserve">,” Waiver Request at 7 (citing </w:t>
      </w:r>
      <w:r w:rsidRPr="002C43BF" w:rsidR="002C43BF">
        <w:t>Maps</w:t>
      </w:r>
      <w:r w:rsidR="002C43BF">
        <w:t xml:space="preserve"> </w:t>
      </w:r>
      <w:r w:rsidRPr="002C43BF" w:rsidR="002C43BF">
        <w:t>of</w:t>
      </w:r>
      <w:r w:rsidR="002C43BF">
        <w:t xml:space="preserve"> </w:t>
      </w:r>
      <w:r w:rsidRPr="002C43BF" w:rsidR="002C43BF">
        <w:t>CGSAs</w:t>
      </w:r>
      <w:r w:rsidR="002C43BF">
        <w:t xml:space="preserve"> for Each Market: CMAs 176-351, page </w:t>
      </w:r>
      <w:r w:rsidRPr="002C43BF" w:rsidR="002C43BF">
        <w:t>141,</w:t>
      </w:r>
      <w:r w:rsidR="002C43BF">
        <w:t xml:space="preserve"> available </w:t>
      </w:r>
      <w:r w:rsidRPr="002C43BF" w:rsidR="002C43BF">
        <w:t xml:space="preserve">at  </w:t>
      </w:r>
      <w:r>
        <w:fldChar w:fldCharType="begin"/>
      </w:r>
      <w:r>
        <w:instrText xml:space="preserve"> HYPERLINK "http://wireless.fcc.gov/services/cellular/A_Block_PDF_Map_CMA176-CMA351.pdf" </w:instrText>
      </w:r>
      <w:r>
        <w:fldChar w:fldCharType="separate"/>
      </w:r>
      <w:r w:rsidRPr="002C43BF" w:rsidR="002C43BF">
        <w:rPr>
          <w:rStyle w:val="Hyperlink"/>
        </w:rPr>
        <w:t>http://wireless.fcc.gov/services/cellular/A_Block_PDF_Map_CMA176-CMA351.pdf</w:t>
      </w:r>
      <w:r>
        <w:fldChar w:fldCharType="end"/>
      </w:r>
      <w:r w:rsidR="002C43BF">
        <w:t xml:space="preserve">), and that the Commission itself has stated that </w:t>
      </w:r>
      <w:r w:rsidRPr="002C43BF" w:rsidR="002C43BF">
        <w:t>“[</w:t>
      </w:r>
      <w:r w:rsidRPr="002C43BF" w:rsidR="002C43BF">
        <w:t>i</w:t>
      </w:r>
      <w:r w:rsidRPr="002C43BF" w:rsidR="002C43BF">
        <w:t>]t is likely to be many years before the Alaskan CMA Blocks are substantially built out.”</w:t>
      </w:r>
      <w:r w:rsidR="002C43BF">
        <w:t xml:space="preserve">  </w:t>
      </w:r>
      <w:r w:rsidR="002C43BF">
        <w:rPr>
          <w:i/>
        </w:rPr>
        <w:t>Id</w:t>
      </w:r>
      <w:r w:rsidR="002C43BF">
        <w:t xml:space="preserve">. (citing </w:t>
      </w:r>
      <w:r w:rsidRPr="007307EA" w:rsidR="002C43BF">
        <w:rPr>
          <w:i/>
        </w:rPr>
        <w:t>Amendment of Parts 1 and 22 of the Commission’s Rules with Regard to the Cellular Service, Including Changes in Licensing of Unserved Area</w:t>
      </w:r>
      <w:r w:rsidRPr="002C43BF" w:rsidR="002C43BF">
        <w:t xml:space="preserve">, </w:t>
      </w:r>
      <w:r w:rsidRPr="007307EA" w:rsidR="002C43BF">
        <w:t>Notice of Proposed Rulemaking and Order</w:t>
      </w:r>
      <w:r w:rsidRPr="002C43BF" w:rsidR="002C43BF">
        <w:t xml:space="preserve">, 27 FCC </w:t>
      </w:r>
      <w:r w:rsidRPr="002C43BF" w:rsidR="002C43BF">
        <w:t>Rcd</w:t>
      </w:r>
      <w:r w:rsidRPr="002C43BF" w:rsidR="002C43BF">
        <w:t xml:space="preserve"> 1745, 1762 (2012</w:t>
      </w:r>
      <w:r w:rsidR="0023282D">
        <w:t>)</w:t>
      </w:r>
      <w:r w:rsidRPr="002C43BF" w:rsidR="002C43BF">
        <w:t>).</w:t>
      </w:r>
    </w:p>
  </w:footnote>
  <w:footnote w:id="79">
    <w:p w:rsidR="00D8114E" w:rsidRPr="005616C4" w:rsidP="005616C4">
      <w:pPr>
        <w:pStyle w:val="FootnoteText"/>
        <w:jc w:val="left"/>
        <w:rPr>
          <w:i/>
        </w:rPr>
      </w:pPr>
      <w:r w:rsidRPr="00BB356A">
        <w:rPr>
          <w:rStyle w:val="FootnoteReference"/>
        </w:rPr>
        <w:footnoteRef/>
      </w:r>
      <w:r w:rsidRPr="00BB356A">
        <w:t xml:space="preserve"> </w:t>
      </w:r>
      <w:r w:rsidRPr="00BB356A">
        <w:rPr>
          <w:i/>
        </w:rPr>
        <w:t>See generally AT&amp;T CMA315 Waiver Order</w:t>
      </w:r>
      <w:r w:rsidRPr="005616C4">
        <w:t xml:space="preserve">; </w:t>
      </w:r>
      <w:r w:rsidRPr="005616C4">
        <w:rPr>
          <w:i/>
        </w:rPr>
        <w:t>AT&amp;T CMA315 MOO</w:t>
      </w:r>
      <w:r w:rsidRPr="005616C4">
        <w:t xml:space="preserve">; </w:t>
      </w:r>
      <w:r w:rsidRPr="005616C4">
        <w:rPr>
          <w:i/>
        </w:rPr>
        <w:t>AWN Waiver Order</w:t>
      </w:r>
      <w:r w:rsidRPr="005616C4">
        <w:t>;</w:t>
      </w:r>
      <w:r w:rsidRPr="005616C4">
        <w:t xml:space="preserve"> </w:t>
      </w:r>
      <w:r w:rsidRPr="005616C4">
        <w:rPr>
          <w:i/>
        </w:rPr>
        <w:t>AWN MOO</w:t>
      </w:r>
      <w:r w:rsidRPr="005616C4">
        <w:t xml:space="preserve">.  </w:t>
      </w:r>
      <w:r w:rsidRPr="005616C4">
        <w:rPr>
          <w:i/>
        </w:rPr>
        <w:t>See also T-Mobile License LLC Request for Waiver of Section 27.14(g)(1)</w:t>
      </w:r>
      <w:r w:rsidRPr="005616C4">
        <w:t xml:space="preserve">, WT Docket No. 16-319, Letter Order, 31 FCC </w:t>
      </w:r>
      <w:r w:rsidRPr="005616C4">
        <w:t>Rcd</w:t>
      </w:r>
      <w:r w:rsidRPr="005616C4">
        <w:t xml:space="preserve"> 13379 (WTB Mobility Div. 2016);</w:t>
      </w:r>
      <w:r w:rsidRPr="005616C4">
        <w:rPr>
          <w:i/>
        </w:rPr>
        <w:t xml:space="preserve"> T-Mobile 700 MHz MOO</w:t>
      </w:r>
      <w:r w:rsidRPr="005616C4">
        <w:t>.</w:t>
      </w:r>
    </w:p>
  </w:footnote>
  <w:footnote w:id="80">
    <w:p w:rsidR="00D8114E" w:rsidRPr="005616C4" w:rsidP="005616C4">
      <w:pPr>
        <w:pStyle w:val="FootnoteText"/>
        <w:jc w:val="left"/>
      </w:pPr>
      <w:r w:rsidRPr="00BB356A">
        <w:rPr>
          <w:rStyle w:val="FootnoteReference"/>
        </w:rPr>
        <w:footnoteRef/>
      </w:r>
      <w:r w:rsidRPr="00BB356A">
        <w:t xml:space="preserve"> </w:t>
      </w:r>
      <w:r w:rsidRPr="00BB356A">
        <w:rPr>
          <w:i/>
        </w:rPr>
        <w:t>700 MHz Reconsideration Order</w:t>
      </w:r>
      <w:r w:rsidRPr="00BB356A">
        <w:t xml:space="preserve">, 28 FCC </w:t>
      </w:r>
      <w:r w:rsidRPr="00BB356A">
        <w:t>Rcd</w:t>
      </w:r>
      <w:r w:rsidRPr="00BB356A">
        <w:t xml:space="preserve"> at 2674, para. 6</w:t>
      </w:r>
      <w:r w:rsidRPr="005616C4">
        <w:t xml:space="preserve">.  RWA argues that the Division’s decision to deny a licensee’s request for a population-based alternative final benchmark for two Lower 700 MHz band licenses in American Samoa where, according to RWA, the buildout challenges are “nearly identical,” is controlling here. RWA Reply at 10 (citing </w:t>
      </w:r>
      <w:r w:rsidRPr="005616C4">
        <w:rPr>
          <w:i/>
        </w:rPr>
        <w:t xml:space="preserve">AST Telecom, LLC d/b/a </w:t>
      </w:r>
      <w:r w:rsidRPr="005616C4">
        <w:rPr>
          <w:i/>
        </w:rPr>
        <w:t>Bluesky</w:t>
      </w:r>
      <w:r w:rsidRPr="005616C4">
        <w:rPr>
          <w:i/>
        </w:rPr>
        <w:t xml:space="preserve">, </w:t>
      </w:r>
      <w:r w:rsidRPr="005616C4">
        <w:rPr>
          <w:i/>
          <w:iCs/>
        </w:rPr>
        <w:t>Request for Waiver of Interim and Final Geographic Construction Benchmarks for Lower 700 MHz Band A and B Block Licenses WQJQ800 and WQOU674 in American Samoa</w:t>
      </w:r>
      <w:r w:rsidRPr="005616C4">
        <w:t xml:space="preserve">, 32 FCC </w:t>
      </w:r>
      <w:r w:rsidRPr="005616C4">
        <w:t>Rcd</w:t>
      </w:r>
      <w:r w:rsidRPr="005616C4">
        <w:t xml:space="preserve"> 9307 (WTB Mobility Div. 2017) </w:t>
      </w:r>
      <w:r w:rsidRPr="005616C4">
        <w:rPr>
          <w:i/>
        </w:rPr>
        <w:t>(</w:t>
      </w:r>
      <w:r w:rsidRPr="005616C4">
        <w:rPr>
          <w:i/>
        </w:rPr>
        <w:t>Bluesky</w:t>
      </w:r>
      <w:r w:rsidRPr="005616C4">
        <w:rPr>
          <w:i/>
        </w:rPr>
        <w:t xml:space="preserve"> Waiver Order</w:t>
      </w:r>
      <w:r w:rsidRPr="005616C4">
        <w:t xml:space="preserve">)).  RWA made a substantially similar argument during the </w:t>
      </w:r>
      <w:r w:rsidRPr="005616C4">
        <w:rPr>
          <w:i/>
        </w:rPr>
        <w:t xml:space="preserve">AT&amp;T CMA315 MOO </w:t>
      </w:r>
      <w:r w:rsidRPr="005616C4">
        <w:t xml:space="preserve">proceeding.  </w:t>
      </w:r>
      <w:r w:rsidRPr="005616C4">
        <w:rPr>
          <w:i/>
        </w:rPr>
        <w:t>See</w:t>
      </w:r>
      <w:r w:rsidRPr="005616C4">
        <w:t xml:space="preserve"> </w:t>
      </w:r>
      <w:r w:rsidRPr="005616C4">
        <w:rPr>
          <w:i/>
        </w:rPr>
        <w:t>Ex Parte</w:t>
      </w:r>
      <w:r w:rsidRPr="005616C4">
        <w:t xml:space="preserve"> Letter from Caressa D. Bennet, General Counsel to RWA, to Marlene H. Dortch, Secretary, FCC, WT Docket No. 16-335, at 2 (filed Nov. 30, 2017).  </w:t>
      </w:r>
      <w:r w:rsidRPr="005616C4">
        <w:t xml:space="preserve">The Commission in the </w:t>
      </w:r>
      <w:r w:rsidRPr="005616C4">
        <w:rPr>
          <w:i/>
        </w:rPr>
        <w:t>AT&amp;T CMA315 MOO</w:t>
      </w:r>
      <w:r w:rsidRPr="005616C4">
        <w:t xml:space="preserve"> specifically rejected this argument, stating that “[</w:t>
      </w:r>
      <w:r w:rsidRPr="005616C4">
        <w:t>i</w:t>
      </w:r>
      <w:r w:rsidRPr="005616C4">
        <w:t xml:space="preserve">]n its effort to lump together Alaska and American Samoa for purposes of assessing requests for waiver of Section 27.14(g), RWA ignores a fundamental difference between the two areas:  AT&amp;T’s License Area is 376,863 square miles in contrast to </w:t>
      </w:r>
      <w:r w:rsidRPr="005616C4">
        <w:t>Bluesky’s</w:t>
      </w:r>
      <w:r w:rsidRPr="005616C4">
        <w:t xml:space="preserve"> American Samoan license areas, which cover about 551 square miles.</w:t>
      </w:r>
      <w:r w:rsidRPr="005616C4">
        <w:t xml:space="preserve">  The challenges associated with buildout in this specific area within Alaska are therefore much more significant than the specific areas in American Samoa covered by the </w:t>
      </w:r>
      <w:r w:rsidRPr="005616C4">
        <w:t>Bluesky</w:t>
      </w:r>
      <w:r w:rsidRPr="005616C4">
        <w:t xml:space="preserve"> licenses, and in that regard, AT&amp;T and </w:t>
      </w:r>
      <w:r w:rsidRPr="005616C4">
        <w:t>Bluesky</w:t>
      </w:r>
      <w:r w:rsidRPr="005616C4">
        <w:t xml:space="preserve"> are not similarly situated.  A waiver is thus appropriate in the instant situation.”  </w:t>
      </w:r>
      <w:r w:rsidRPr="005616C4">
        <w:rPr>
          <w:i/>
        </w:rPr>
        <w:t xml:space="preserve">AT&amp;T CMA315 MOO </w:t>
      </w:r>
      <w:r w:rsidRPr="005616C4">
        <w:t xml:space="preserve">at 12 n.102.  </w:t>
      </w:r>
      <w:r w:rsidRPr="005616C4">
        <w:rPr>
          <w:i/>
        </w:rPr>
        <w:t xml:space="preserve">See also </w:t>
      </w:r>
      <w:r w:rsidRPr="005616C4">
        <w:t xml:space="preserve">AT&amp;T Reply at 11-12.  As in the </w:t>
      </w:r>
      <w:r w:rsidRPr="005616C4">
        <w:rPr>
          <w:i/>
        </w:rPr>
        <w:t>AT&amp;T CMA315 MOO</w:t>
      </w:r>
      <w:r w:rsidRPr="005616C4">
        <w:t xml:space="preserve">, the License area at issue here is substantially larger than </w:t>
      </w:r>
      <w:r w:rsidRPr="005616C4">
        <w:t>Bluesky’s</w:t>
      </w:r>
      <w:r w:rsidRPr="005616C4">
        <w:t xml:space="preserve">, covering more than 232,811 square miles.  We find, as the Commission did in the </w:t>
      </w:r>
      <w:r w:rsidRPr="005616C4">
        <w:rPr>
          <w:i/>
        </w:rPr>
        <w:t>AT&amp;T CMA315 MOO</w:t>
      </w:r>
      <w:r w:rsidRPr="005616C4">
        <w:t xml:space="preserve">, that the </w:t>
      </w:r>
      <w:r w:rsidRPr="005616C4">
        <w:rPr>
          <w:i/>
        </w:rPr>
        <w:t>Bluesky</w:t>
      </w:r>
      <w:r w:rsidRPr="005616C4">
        <w:rPr>
          <w:i/>
        </w:rPr>
        <w:t xml:space="preserve"> Waiver Order</w:t>
      </w:r>
      <w:r w:rsidRPr="005616C4">
        <w:t xml:space="preserve"> is inapposite here.</w:t>
      </w:r>
    </w:p>
  </w:footnote>
  <w:footnote w:id="81">
    <w:p w:rsidR="00D8114E" w:rsidRPr="00BB356A" w:rsidP="005616C4">
      <w:pPr>
        <w:pStyle w:val="FootnoteText"/>
        <w:jc w:val="left"/>
      </w:pPr>
      <w:r w:rsidRPr="00BB356A">
        <w:rPr>
          <w:rStyle w:val="FootnoteReference"/>
        </w:rPr>
        <w:footnoteRef/>
      </w:r>
      <w:r w:rsidRPr="00BB356A">
        <w:t xml:space="preserve"> Waiver Request at </w:t>
      </w:r>
      <w:r w:rsidRPr="00BB356A">
        <w:t>8</w:t>
      </w:r>
      <w:r w:rsidRPr="00BB356A">
        <w:t>.</w:t>
      </w:r>
    </w:p>
  </w:footnote>
  <w:footnote w:id="82">
    <w:p w:rsidR="00D8114E" w:rsidRPr="00BB356A" w:rsidP="005616C4">
      <w:pPr>
        <w:pStyle w:val="FootnoteText"/>
        <w:jc w:val="left"/>
      </w:pPr>
      <w:r w:rsidRPr="00BB356A">
        <w:rPr>
          <w:rStyle w:val="FootnoteReference"/>
        </w:rPr>
        <w:footnoteRef/>
      </w:r>
      <w:r w:rsidRPr="00BB356A">
        <w:t xml:space="preserve"> </w:t>
      </w:r>
      <w:r w:rsidRPr="00BB356A">
        <w:t>47</w:t>
      </w:r>
      <w:r w:rsidRPr="00BB356A">
        <w:t xml:space="preserve"> U.S.C. § 309.</w:t>
      </w:r>
    </w:p>
  </w:footnote>
  <w:footnote w:id="83">
    <w:p w:rsidR="00D8114E" w:rsidRPr="005616C4" w:rsidP="005616C4">
      <w:pPr>
        <w:pStyle w:val="FootnoteText"/>
        <w:jc w:val="left"/>
      </w:pPr>
      <w:r w:rsidRPr="00BB356A">
        <w:rPr>
          <w:rStyle w:val="FootnoteReference"/>
        </w:rPr>
        <w:footnoteRef/>
      </w:r>
      <w:r w:rsidRPr="00BB356A">
        <w:t xml:space="preserve"> This waiver relief will not automatically transfer if AT&amp;T seeks to assign, partition, or disaggregate spectrum under the License to a third party.  Rather, the third party must demonstrate that the waiver relief should transfer, and the Bureau may, in its discretion, grant, modify, or reject such relief.</w:t>
      </w:r>
      <w:r w:rsidRPr="00BB356A">
        <w:rPr>
          <w:b/>
        </w:rPr>
        <w:t xml:space="preserve"> </w:t>
      </w:r>
    </w:p>
  </w:footnote>
  <w:footnote w:id="84">
    <w:p w:rsidR="00D8114E" w:rsidRPr="005616C4" w:rsidP="005616C4">
      <w:pPr>
        <w:pStyle w:val="FootnoteText"/>
        <w:jc w:val="left"/>
      </w:pPr>
      <w:r w:rsidRPr="00BB356A">
        <w:rPr>
          <w:rStyle w:val="FootnoteReference"/>
        </w:rPr>
        <w:footnoteRef/>
      </w:r>
      <w:r w:rsidRPr="00BB356A">
        <w:t xml:space="preserve"> </w:t>
      </w:r>
      <w:r w:rsidRPr="00BB356A">
        <w:rPr>
          <w:i/>
        </w:rPr>
        <w:t xml:space="preserve">See 700 MHz Second Report and Order, </w:t>
      </w:r>
      <w:r w:rsidRPr="00BB356A">
        <w:t xml:space="preserve">22 FCC </w:t>
      </w:r>
      <w:r w:rsidRPr="00BB356A">
        <w:t>Rcd</w:t>
      </w:r>
      <w:r w:rsidRPr="00BB356A">
        <w:t xml:space="preserve"> at 15348, 15349, para. 153; 47 CFR § 27.14(g</w:t>
      </w:r>
      <w:r w:rsidRPr="00BB356A">
        <w:t>)(</w:t>
      </w:r>
      <w:r w:rsidRPr="00BB356A">
        <w:t>2).</w:t>
      </w:r>
    </w:p>
  </w:footnote>
  <w:footnote w:id="85">
    <w:p w:rsidR="00D8114E" w:rsidRPr="005616C4" w:rsidP="005616C4">
      <w:pPr>
        <w:pStyle w:val="FootnoteText"/>
        <w:jc w:val="left"/>
      </w:pPr>
      <w:r w:rsidRPr="00BB356A">
        <w:rPr>
          <w:rStyle w:val="FootnoteReference"/>
        </w:rPr>
        <w:footnoteRef/>
      </w:r>
      <w:r w:rsidRPr="00BB356A">
        <w:t xml:space="preserve"> </w:t>
      </w:r>
      <w:r w:rsidRPr="00BB356A">
        <w:rPr>
          <w:i/>
        </w:rPr>
        <w:t>See</w:t>
      </w:r>
      <w:r w:rsidRPr="00BB356A">
        <w:t xml:space="preserve"> 47 C</w:t>
      </w:r>
      <w:r w:rsidRPr="005616C4">
        <w:t>FR 1.947(d).</w:t>
      </w:r>
    </w:p>
  </w:footnote>
  <w:footnote w:id="86">
    <w:p w:rsidR="00D8114E" w:rsidRPr="005616C4" w:rsidP="005616C4">
      <w:pPr>
        <w:pStyle w:val="FootnoteText"/>
        <w:jc w:val="left"/>
      </w:pPr>
      <w:r w:rsidRPr="00BB356A">
        <w:rPr>
          <w:rStyle w:val="FootnoteReference"/>
        </w:rPr>
        <w:footnoteRef/>
      </w:r>
      <w:r w:rsidRPr="00BB356A">
        <w:t xml:space="preserve"> ULS File No. 0007573088</w:t>
      </w:r>
      <w:r w:rsidRPr="005616C4">
        <w:t>.</w:t>
      </w:r>
    </w:p>
  </w:footnote>
  <w:footnote w:id="87">
    <w:p w:rsidR="00D23F0F" w:rsidP="00D23F0F">
      <w:pPr>
        <w:pStyle w:val="FootnoteText"/>
        <w:jc w:val="left"/>
      </w:pPr>
      <w:r>
        <w:rPr>
          <w:rStyle w:val="FootnoteReference"/>
        </w:rPr>
        <w:footnoteRef/>
      </w:r>
      <w:r>
        <w:t xml:space="preserve"> </w:t>
      </w:r>
      <w:r w:rsidRPr="00D14BDB">
        <w:t xml:space="preserve">AT&amp;T must file a notification of construction demonstrating that it has met this benchmark.  </w:t>
      </w:r>
      <w:r w:rsidRPr="00D14BDB">
        <w:rPr>
          <w:i/>
        </w:rPr>
        <w:t>See</w:t>
      </w:r>
      <w:r w:rsidRPr="00D14BDB">
        <w:t xml:space="preserve"> 47 CFR 1.947(d).</w:t>
      </w:r>
    </w:p>
  </w:footnote>
  <w:footnote w:id="88">
    <w:p w:rsidR="00D8114E" w:rsidRPr="00BB356A" w:rsidP="005616C4">
      <w:pPr>
        <w:pStyle w:val="FootnoteText"/>
        <w:jc w:val="left"/>
        <w:rPr>
          <w:i/>
        </w:rPr>
      </w:pPr>
      <w:r w:rsidRPr="00BB356A">
        <w:rPr>
          <w:rStyle w:val="FootnoteReference"/>
        </w:rPr>
        <w:footnoteRef/>
      </w:r>
      <w:r w:rsidRPr="00BB356A">
        <w:t xml:space="preserve"> </w:t>
      </w:r>
      <w:r w:rsidRPr="00BB356A">
        <w:rPr>
          <w:i/>
        </w:rPr>
        <w:t>Id.</w:t>
      </w:r>
    </w:p>
  </w:footnote>
  <w:footnote w:id="89">
    <w:p w:rsidR="00D8114E" w:rsidRPr="005616C4" w:rsidP="005616C4">
      <w:pPr>
        <w:pStyle w:val="FootnoteText"/>
        <w:jc w:val="left"/>
      </w:pPr>
      <w:r w:rsidRPr="00BB356A">
        <w:rPr>
          <w:rStyle w:val="FootnoteReference"/>
        </w:rPr>
        <w:footnoteRef/>
      </w:r>
      <w:r w:rsidRPr="00BB356A">
        <w:t xml:space="preserve"> By way of example, good faith negotiations require reasonable market-based rates.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14E" w:rsidP="00C31AFE">
    <w:pPr>
      <w:pStyle w:val="Header"/>
      <w:tabs>
        <w:tab w:val="clear" w:pos="4320"/>
        <w:tab w:val="clear" w:pos="8640"/>
      </w:tabs>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90213217" r:id="rId2"/>
      </w:pict>
    </w:r>
    <w:r>
      <w:rPr>
        <w:rFonts w:ascii="CG Times (W1)" w:hAnsi="CG Times (W1)"/>
        <w:sz w:val="28"/>
      </w:rPr>
      <w:t>Federal Communications Commission</w:t>
    </w:r>
  </w:p>
  <w:p w:rsidR="00D8114E">
    <w:pPr>
      <w:jc w:val="center"/>
    </w:pPr>
    <w:r>
      <w:rPr>
        <w:rFonts w:ascii="CG Times (W1)" w:hAnsi="CG Times (W1)"/>
        <w:sz w:val="28"/>
      </w:rPr>
      <w:t>Washington, D.C. 20554</w:t>
    </w:r>
  </w:p>
  <w:p w:rsidR="00D8114E">
    <w:pPr>
      <w:pStyle w:val="Header"/>
      <w:tabs>
        <w:tab w:val="clear" w:pos="4320"/>
      </w:tabs>
      <w:jc w:val="center"/>
      <w:rPr>
        <w:sz w:val="22"/>
      </w:rPr>
    </w:pPr>
  </w:p>
  <w:p w:rsidR="00D8114E" w:rsidRPr="00E30660" w:rsidP="008209C9">
    <w:pPr>
      <w:pStyle w:val="Header"/>
      <w:tabs>
        <w:tab w:val="clear" w:pos="4320"/>
      </w:tabs>
      <w:jc w:val="center"/>
      <w:rPr>
        <w:sz w:val="22"/>
        <w:szCs w:val="22"/>
      </w:rPr>
    </w:pPr>
    <w:r>
      <w:rPr>
        <w:sz w:val="22"/>
        <w:szCs w:val="22"/>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71E87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start w:val="1"/>
      <w:numFmt w:val="decimal"/>
      <w:lvlText w:val="%1."/>
      <w:lvlJc w:val="left"/>
      <w:pPr>
        <w:ind w:left="1080" w:hanging="360"/>
      </w:pPr>
      <w:rPr>
        <w:rFonts w:hint="default"/>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E832D9"/>
    <w:multiLevelType w:val="hybridMultilevel"/>
    <w:tmpl w:val="CD34C8FC"/>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
    <w:nsid w:val="065C3375"/>
    <w:multiLevelType w:val="hybridMultilevel"/>
    <w:tmpl w:val="BA8C11B6"/>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317119"/>
    <w:multiLevelType w:val="hybridMultilevel"/>
    <w:tmpl w:val="1D62A5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87405"/>
    <w:multiLevelType w:val="hybridMultilevel"/>
    <w:tmpl w:val="6136D1E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BB1142"/>
    <w:multiLevelType w:val="hybridMultilevel"/>
    <w:tmpl w:val="7792A1A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1697756"/>
    <w:multiLevelType w:val="hybridMultilevel"/>
    <w:tmpl w:val="2DB287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927631"/>
    <w:multiLevelType w:val="hybridMultilevel"/>
    <w:tmpl w:val="8990039E"/>
    <w:lvl w:ilvl="0">
      <w:start w:val="1"/>
      <w:numFmt w:val="upperRoman"/>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6B225B6"/>
    <w:multiLevelType w:val="hybridMultilevel"/>
    <w:tmpl w:val="F07C4D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132869"/>
    <w:multiLevelType w:val="hybridMultilevel"/>
    <w:tmpl w:val="0C6E1B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33340C"/>
    <w:multiLevelType w:val="hybridMultilevel"/>
    <w:tmpl w:val="DC901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490F030C"/>
    <w:multiLevelType w:val="hybridMultilevel"/>
    <w:tmpl w:val="3EEA1F16"/>
    <w:lvl w:ilvl="0">
      <w:start w:val="1"/>
      <w:numFmt w:val="bullet"/>
      <w:lvlText w:val=""/>
      <w:lvlJc w:val="left"/>
      <w:pPr>
        <w:ind w:left="3804" w:hanging="360"/>
      </w:pPr>
      <w:rPr>
        <w:rFonts w:ascii="Symbol" w:hAnsi="Symbol" w:hint="default"/>
      </w:rPr>
    </w:lvl>
    <w:lvl w:ilvl="1" w:tentative="1">
      <w:start w:val="1"/>
      <w:numFmt w:val="bullet"/>
      <w:lvlText w:val="o"/>
      <w:lvlJc w:val="left"/>
      <w:pPr>
        <w:ind w:left="4524" w:hanging="360"/>
      </w:pPr>
      <w:rPr>
        <w:rFonts w:ascii="Courier New" w:hAnsi="Courier New" w:cs="Courier New" w:hint="default"/>
      </w:rPr>
    </w:lvl>
    <w:lvl w:ilvl="2" w:tentative="1">
      <w:start w:val="1"/>
      <w:numFmt w:val="bullet"/>
      <w:lvlText w:val=""/>
      <w:lvlJc w:val="left"/>
      <w:pPr>
        <w:ind w:left="5244" w:hanging="360"/>
      </w:pPr>
      <w:rPr>
        <w:rFonts w:ascii="Wingdings" w:hAnsi="Wingdings" w:hint="default"/>
      </w:rPr>
    </w:lvl>
    <w:lvl w:ilvl="3" w:tentative="1">
      <w:start w:val="1"/>
      <w:numFmt w:val="bullet"/>
      <w:lvlText w:val=""/>
      <w:lvlJc w:val="left"/>
      <w:pPr>
        <w:ind w:left="5964" w:hanging="360"/>
      </w:pPr>
      <w:rPr>
        <w:rFonts w:ascii="Symbol" w:hAnsi="Symbol" w:hint="default"/>
      </w:rPr>
    </w:lvl>
    <w:lvl w:ilvl="4" w:tentative="1">
      <w:start w:val="1"/>
      <w:numFmt w:val="bullet"/>
      <w:lvlText w:val="o"/>
      <w:lvlJc w:val="left"/>
      <w:pPr>
        <w:ind w:left="6684" w:hanging="360"/>
      </w:pPr>
      <w:rPr>
        <w:rFonts w:ascii="Courier New" w:hAnsi="Courier New" w:cs="Courier New" w:hint="default"/>
      </w:rPr>
    </w:lvl>
    <w:lvl w:ilvl="5" w:tentative="1">
      <w:start w:val="1"/>
      <w:numFmt w:val="bullet"/>
      <w:lvlText w:val=""/>
      <w:lvlJc w:val="left"/>
      <w:pPr>
        <w:ind w:left="7404" w:hanging="360"/>
      </w:pPr>
      <w:rPr>
        <w:rFonts w:ascii="Wingdings" w:hAnsi="Wingdings" w:hint="default"/>
      </w:rPr>
    </w:lvl>
    <w:lvl w:ilvl="6" w:tentative="1">
      <w:start w:val="1"/>
      <w:numFmt w:val="bullet"/>
      <w:lvlText w:val=""/>
      <w:lvlJc w:val="left"/>
      <w:pPr>
        <w:ind w:left="8124" w:hanging="360"/>
      </w:pPr>
      <w:rPr>
        <w:rFonts w:ascii="Symbol" w:hAnsi="Symbol" w:hint="default"/>
      </w:rPr>
    </w:lvl>
    <w:lvl w:ilvl="7" w:tentative="1">
      <w:start w:val="1"/>
      <w:numFmt w:val="bullet"/>
      <w:lvlText w:val="o"/>
      <w:lvlJc w:val="left"/>
      <w:pPr>
        <w:ind w:left="8844" w:hanging="360"/>
      </w:pPr>
      <w:rPr>
        <w:rFonts w:ascii="Courier New" w:hAnsi="Courier New" w:cs="Courier New" w:hint="default"/>
      </w:rPr>
    </w:lvl>
    <w:lvl w:ilvl="8" w:tentative="1">
      <w:start w:val="1"/>
      <w:numFmt w:val="bullet"/>
      <w:lvlText w:val=""/>
      <w:lvlJc w:val="left"/>
      <w:pPr>
        <w:ind w:left="9564" w:hanging="360"/>
      </w:pPr>
      <w:rPr>
        <w:rFonts w:ascii="Wingdings" w:hAnsi="Wingdings" w:hint="default"/>
      </w:rPr>
    </w:lvl>
  </w:abstractNum>
  <w:abstractNum w:abstractNumId="17">
    <w:nsid w:val="519504DA"/>
    <w:multiLevelType w:val="hybridMultilevel"/>
    <w:tmpl w:val="D4066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906B5E"/>
    <w:multiLevelType w:val="hybridMultilevel"/>
    <w:tmpl w:val="6114BA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5821744"/>
    <w:multiLevelType w:val="hybridMultilevel"/>
    <w:tmpl w:val="83E2067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E8503F"/>
    <w:multiLevelType w:val="hybridMultilevel"/>
    <w:tmpl w:val="9F5AE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CF62D7"/>
    <w:multiLevelType w:val="hybridMultilevel"/>
    <w:tmpl w:val="2554698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C81E48"/>
    <w:multiLevelType w:val="hybridMultilevel"/>
    <w:tmpl w:val="FDA2C6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5">
    <w:nsid w:val="66C616FD"/>
    <w:multiLevelType w:val="hybridMultilevel"/>
    <w:tmpl w:val="30D6C7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E6A18E2"/>
    <w:multiLevelType w:val="hybridMultilevel"/>
    <w:tmpl w:val="519411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79A617FA"/>
    <w:multiLevelType w:val="hybridMultilevel"/>
    <w:tmpl w:val="F6B62BF8"/>
    <w:lvl w:ilvl="0">
      <w:start w:val="1"/>
      <w:numFmt w:val="decimal"/>
      <w:lvlText w:val="%1."/>
      <w:lvlJc w:val="left"/>
      <w:pPr>
        <w:tabs>
          <w:tab w:val="num" w:pos="1800"/>
        </w:tabs>
        <w:ind w:left="720" w:firstLine="72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7A4217E0"/>
    <w:multiLevelType w:val="hybridMultilevel"/>
    <w:tmpl w:val="12F0BDEA"/>
    <w:lvl w:ilvl="0">
      <w:start w:val="1"/>
      <w:numFmt w:val="decimal"/>
      <w:lvlText w:val="%1)"/>
      <w:lvlJc w:val="left"/>
      <w:pPr>
        <w:ind w:left="720" w:hanging="360"/>
      </w:pPr>
    </w:lvl>
    <w:lvl w:ilvl="1">
      <w:start w:val="1"/>
      <w:numFmt w:val="decimal"/>
      <w:lvlText w:val="%2)"/>
      <w:lvlJc w:val="left"/>
      <w:pPr>
        <w:ind w:left="1440" w:hanging="360"/>
      </w:pPr>
    </w:lvl>
    <w:lvl w:ilvl="2">
      <w:start w:val="5"/>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A444365"/>
    <w:multiLevelType w:val="hybridMultilevel"/>
    <w:tmpl w:val="682CD0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B472EE4"/>
    <w:multiLevelType w:val="hybridMultilevel"/>
    <w:tmpl w:val="3EDE2FDE"/>
    <w:lvl w:ilvl="0">
      <w:start w:val="1"/>
      <w:numFmt w:val="bullet"/>
      <w:lvlText w:val=""/>
      <w:lvlJc w:val="left"/>
      <w:pPr>
        <w:ind w:left="2610" w:hanging="360"/>
      </w:pPr>
      <w:rPr>
        <w:rFonts w:ascii="Symbol" w:hAnsi="Symbol" w:hint="default"/>
      </w:rPr>
    </w:lvl>
    <w:lvl w:ilvl="1" w:tentative="1">
      <w:start w:val="1"/>
      <w:numFmt w:val="bullet"/>
      <w:lvlText w:val="o"/>
      <w:lvlJc w:val="left"/>
      <w:pPr>
        <w:ind w:left="3330" w:hanging="360"/>
      </w:pPr>
      <w:rPr>
        <w:rFonts w:ascii="Courier New" w:hAnsi="Courier New" w:cs="Courier New" w:hint="default"/>
      </w:rPr>
    </w:lvl>
    <w:lvl w:ilvl="2" w:tentative="1">
      <w:start w:val="1"/>
      <w:numFmt w:val="bullet"/>
      <w:lvlText w:val=""/>
      <w:lvlJc w:val="left"/>
      <w:pPr>
        <w:ind w:left="4050" w:hanging="360"/>
      </w:pPr>
      <w:rPr>
        <w:rFonts w:ascii="Wingdings" w:hAnsi="Wingdings" w:hint="default"/>
      </w:rPr>
    </w:lvl>
    <w:lvl w:ilvl="3" w:tentative="1">
      <w:start w:val="1"/>
      <w:numFmt w:val="bullet"/>
      <w:lvlText w:val=""/>
      <w:lvlJc w:val="left"/>
      <w:pPr>
        <w:ind w:left="4770" w:hanging="360"/>
      </w:pPr>
      <w:rPr>
        <w:rFonts w:ascii="Symbol" w:hAnsi="Symbol" w:hint="default"/>
      </w:rPr>
    </w:lvl>
    <w:lvl w:ilvl="4" w:tentative="1">
      <w:start w:val="1"/>
      <w:numFmt w:val="bullet"/>
      <w:lvlText w:val="o"/>
      <w:lvlJc w:val="left"/>
      <w:pPr>
        <w:ind w:left="5490" w:hanging="360"/>
      </w:pPr>
      <w:rPr>
        <w:rFonts w:ascii="Courier New" w:hAnsi="Courier New" w:cs="Courier New" w:hint="default"/>
      </w:rPr>
    </w:lvl>
    <w:lvl w:ilvl="5" w:tentative="1">
      <w:start w:val="1"/>
      <w:numFmt w:val="bullet"/>
      <w:lvlText w:val=""/>
      <w:lvlJc w:val="left"/>
      <w:pPr>
        <w:ind w:left="6210" w:hanging="360"/>
      </w:pPr>
      <w:rPr>
        <w:rFonts w:ascii="Wingdings" w:hAnsi="Wingdings" w:hint="default"/>
      </w:rPr>
    </w:lvl>
    <w:lvl w:ilvl="6" w:tentative="1">
      <w:start w:val="1"/>
      <w:numFmt w:val="bullet"/>
      <w:lvlText w:val=""/>
      <w:lvlJc w:val="left"/>
      <w:pPr>
        <w:ind w:left="6930" w:hanging="360"/>
      </w:pPr>
      <w:rPr>
        <w:rFonts w:ascii="Symbol" w:hAnsi="Symbol" w:hint="default"/>
      </w:rPr>
    </w:lvl>
    <w:lvl w:ilvl="7" w:tentative="1">
      <w:start w:val="1"/>
      <w:numFmt w:val="bullet"/>
      <w:lvlText w:val="o"/>
      <w:lvlJc w:val="left"/>
      <w:pPr>
        <w:ind w:left="7650" w:hanging="360"/>
      </w:pPr>
      <w:rPr>
        <w:rFonts w:ascii="Courier New" w:hAnsi="Courier New" w:cs="Courier New" w:hint="default"/>
      </w:rPr>
    </w:lvl>
    <w:lvl w:ilvl="8" w:tentative="1">
      <w:start w:val="1"/>
      <w:numFmt w:val="bullet"/>
      <w:lvlText w:val=""/>
      <w:lvlJc w:val="left"/>
      <w:pPr>
        <w:ind w:left="8370" w:hanging="360"/>
      </w:pPr>
      <w:rPr>
        <w:rFonts w:ascii="Wingdings" w:hAnsi="Wingdings" w:hint="default"/>
      </w:rPr>
    </w:lvl>
  </w:abstractNum>
  <w:num w:numId="1">
    <w:abstractNumId w:val="15"/>
  </w:num>
  <w:num w:numId="2">
    <w:abstractNumId w:val="24"/>
  </w:num>
  <w:num w:numId="3">
    <w:abstractNumId w:val="9"/>
  </w:num>
  <w:num w:numId="4">
    <w:abstractNumId w:val="1"/>
  </w:num>
  <w:num w:numId="5">
    <w:abstractNumId w:val="29"/>
  </w:num>
  <w:num w:numId="6">
    <w:abstractNumId w:val="20"/>
  </w:num>
  <w:num w:numId="7">
    <w:abstractNumId w:val="12"/>
  </w:num>
  <w:num w:numId="8">
    <w:abstractNumId w:val="10"/>
  </w:num>
  <w:num w:numId="9">
    <w:abstractNumId w:val="18"/>
  </w:num>
  <w:num w:numId="10">
    <w:abstractNumId w:val="27"/>
  </w:num>
  <w:num w:numId="11">
    <w:abstractNumId w:val="0"/>
  </w:num>
  <w:num w:numId="12">
    <w:abstractNumId w:val="13"/>
  </w:num>
  <w:num w:numId="13">
    <w:abstractNumId w:val="24"/>
    <w:lvlOverride w:ilvl="0">
      <w:startOverride w:val="1"/>
    </w:lvlOverride>
  </w:num>
  <w:num w:numId="14">
    <w:abstractNumId w:val="24"/>
    <w:lvlOverride w:ilvl="0">
      <w:startOverride w:val="1"/>
    </w:lvlOverride>
  </w:num>
  <w:num w:numId="15">
    <w:abstractNumId w:val="16"/>
  </w:num>
  <w:num w:numId="16">
    <w:abstractNumId w:val="3"/>
  </w:num>
  <w:num w:numId="17">
    <w:abstractNumId w:val="24"/>
    <w:lvlOverride w:ilvl="0">
      <w:startOverride w:val="1"/>
    </w:lvlOverride>
  </w:num>
  <w:num w:numId="18">
    <w:abstractNumId w:val="30"/>
  </w:num>
  <w:num w:numId="19">
    <w:abstractNumId w:val="4"/>
  </w:num>
  <w:num w:numId="20">
    <w:abstractNumId w:val="17"/>
  </w:num>
  <w:num w:numId="21">
    <w:abstractNumId w:val="26"/>
  </w:num>
  <w:num w:numId="22">
    <w:abstractNumId w:val="20"/>
    <w:lvlOverride w:ilvl="0">
      <w:startOverride w:val="1"/>
    </w:lvlOverride>
  </w:num>
  <w:num w:numId="23">
    <w:abstractNumId w:val="6"/>
  </w:num>
  <w:num w:numId="24">
    <w:abstractNumId w:val="8"/>
  </w:num>
  <w:num w:numId="25">
    <w:abstractNumId w:val="20"/>
  </w:num>
  <w:num w:numId="26">
    <w:abstractNumId w:val="19"/>
  </w:num>
  <w:num w:numId="27">
    <w:abstractNumId w:val="22"/>
  </w:num>
  <w:num w:numId="28">
    <w:abstractNumId w:val="21"/>
  </w:num>
  <w:num w:numId="29">
    <w:abstractNumId w:val="5"/>
  </w:num>
  <w:num w:numId="30">
    <w:abstractNumId w:val="23"/>
  </w:num>
  <w:num w:numId="31">
    <w:abstractNumId w:val="2"/>
  </w:num>
  <w:num w:numId="32">
    <w:abstractNumId w:val="14"/>
  </w:num>
  <w:num w:numId="33">
    <w:abstractNumId w:val="7"/>
  </w:num>
  <w:num w:numId="34">
    <w:abstractNumId w:val="14"/>
  </w:num>
  <w:num w:numId="35">
    <w:abstractNumId w:val="14"/>
  </w:num>
  <w:num w:numId="36">
    <w:abstractNumId w:val="14"/>
  </w:num>
  <w:num w:numId="37">
    <w:abstractNumId w:val="28"/>
  </w:num>
  <w:num w:numId="38">
    <w:abstractNumId w:val="11"/>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basedOn w:val="Normal"/>
    <w:link w:val="FootnoteTextChar"/>
    <w:qFormat/>
    <w:rsid w:val="00F6122A"/>
    <w:pPr>
      <w:tabs>
        <w:tab w:val="left" w:pos="180"/>
        <w:tab w:val="left" w:pos="720"/>
        <w:tab w:val="left" w:pos="1440"/>
        <w:tab w:val="left" w:pos="2160"/>
      </w:tabs>
      <w:spacing w:after="120"/>
      <w:jc w:val="both"/>
    </w:pPr>
  </w:style>
  <w:style w:type="character" w:styleId="FootnoteReference">
    <w:name w:val="footnote reference"/>
    <w:aliases w:val="(NECG) Footnote Reference,Appel note de bas de p,FR,Footnote Reference/,Footnote Reference1,Style 12,Style 124,Style 13,Style 17,Style 3,Style 34,Style 4,Style 6,Style 7,Style 9,fr,o"/>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B766ED"/>
    <w:pPr>
      <w:ind w:firstLine="720"/>
    </w:pPr>
    <w:rPr>
      <w:snapToGrid w:val="0"/>
      <w:color w:val="000000"/>
      <w:kern w:val="28"/>
      <w:sz w:val="22"/>
      <w:szCs w:val="22"/>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link w:val="FootnoteText"/>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 w:type="character" w:customStyle="1" w:styleId="UnresolvedMention">
    <w:name w:val="Unresolved Mention"/>
    <w:basedOn w:val="DefaultParagraphFont"/>
    <w:uiPriority w:val="99"/>
    <w:semiHidden/>
    <w:unhideWhenUsed/>
    <w:rsid w:val="009A4211"/>
    <w:rPr>
      <w:color w:val="808080"/>
      <w:shd w:val="clear" w:color="auto" w:fill="E6E6E6"/>
    </w:rPr>
  </w:style>
  <w:style w:type="paragraph" w:styleId="BodyText">
    <w:name w:val="Body Text"/>
    <w:basedOn w:val="Normal"/>
    <w:link w:val="BodyTextChar"/>
    <w:uiPriority w:val="1"/>
    <w:qFormat/>
    <w:rsid w:val="00DA42C6"/>
    <w:pPr>
      <w:widowControl w:val="0"/>
      <w:ind w:left="120"/>
    </w:pPr>
    <w:rPr>
      <w:rFonts w:cstheme="minorBidi"/>
      <w:sz w:val="24"/>
      <w:szCs w:val="24"/>
    </w:rPr>
  </w:style>
  <w:style w:type="character" w:customStyle="1" w:styleId="BodyTextChar">
    <w:name w:val="Body Text Char"/>
    <w:basedOn w:val="DefaultParagraphFont"/>
    <w:link w:val="BodyText"/>
    <w:uiPriority w:val="1"/>
    <w:rsid w:val="00DA42C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