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74B9E" w:rsidP="00F31587">
      <w:pPr>
        <w:tabs>
          <w:tab w:val="left" w:pos="4110"/>
        </w:tabs>
      </w:pPr>
      <w:r>
        <w:tab/>
        <w:t xml:space="preserve">June </w:t>
      </w:r>
      <w:r w:rsidR="00E41DEC">
        <w:t>13</w:t>
      </w:r>
      <w:r>
        <w:t>, 2018</w:t>
      </w:r>
    </w:p>
    <w:p w:rsidR="000A5594" w:rsidP="00174B9E"/>
    <w:p w:rsidR="00174B9E" w:rsidRPr="002D3361" w:rsidP="00174B9E">
      <w:pPr>
        <w:jc w:val="right"/>
      </w:pPr>
      <w:r w:rsidRPr="00E41DEC">
        <w:t>DA 1</w:t>
      </w:r>
      <w:r w:rsidRPr="00E41DEC" w:rsidR="00157581">
        <w:t>8</w:t>
      </w:r>
      <w:r w:rsidRPr="00E41DEC" w:rsidR="00070BF8">
        <w:t xml:space="preserve"> </w:t>
      </w:r>
      <w:r w:rsidRPr="00E41DEC">
        <w:t>-</w:t>
      </w:r>
      <w:r w:rsidR="00016E79">
        <w:t>603</w:t>
      </w:r>
      <w:bookmarkStart w:id="0" w:name="_GoBack"/>
      <w:bookmarkEnd w:id="0"/>
    </w:p>
    <w:p w:rsidR="00F31587" w:rsidRPr="002D3361" w:rsidP="00174B9E"/>
    <w:p w:rsidR="00174B9E" w:rsidP="00174B9E"/>
    <w:p w:rsidR="00174B9E" w:rsidP="000A5594">
      <w:pPr>
        <w:tabs>
          <w:tab w:val="left" w:pos="2565"/>
        </w:tabs>
      </w:pPr>
      <w:r>
        <w:t xml:space="preserve">Karl Blake </w:t>
      </w:r>
      <w:r w:rsidR="000A5594">
        <w:tab/>
      </w:r>
    </w:p>
    <w:p w:rsidR="00174B9E" w:rsidP="00174B9E">
      <w:pPr>
        <w:tabs>
          <w:tab w:val="left" w:pos="1710"/>
        </w:tabs>
      </w:pPr>
      <w:r>
        <w:t>Polar Communications Mutual Aid Corporation</w:t>
      </w:r>
    </w:p>
    <w:p w:rsidR="00174B9E" w:rsidP="00174B9E">
      <w:pPr>
        <w:tabs>
          <w:tab w:val="left" w:pos="1710"/>
        </w:tabs>
      </w:pPr>
      <w:r>
        <w:t>P.O. Box 270</w:t>
      </w:r>
    </w:p>
    <w:p w:rsidR="00174B9E" w:rsidP="00174B9E">
      <w:pPr>
        <w:tabs>
          <w:tab w:val="left" w:pos="1710"/>
        </w:tabs>
      </w:pPr>
      <w:r>
        <w:t xml:space="preserve">110 Fourth Street East </w:t>
      </w:r>
    </w:p>
    <w:p w:rsidR="00174B9E" w:rsidP="00174B9E">
      <w:pPr>
        <w:tabs>
          <w:tab w:val="left" w:pos="1710"/>
        </w:tabs>
      </w:pPr>
      <w:r>
        <w:t>Park River, ND 58270</w:t>
      </w:r>
    </w:p>
    <w:p w:rsidR="00174B9E" w:rsidP="00174B9E">
      <w:pPr>
        <w:tabs>
          <w:tab w:val="left" w:pos="1710"/>
        </w:tabs>
      </w:pPr>
    </w:p>
    <w:p w:rsidR="00E44E84" w:rsidP="004510C8">
      <w:pPr>
        <w:tabs>
          <w:tab w:val="left" w:pos="720"/>
        </w:tabs>
        <w:rPr>
          <w:b/>
        </w:rPr>
      </w:pPr>
      <w:r>
        <w:rPr>
          <w:b/>
        </w:rPr>
        <w:tab/>
      </w:r>
      <w:r w:rsidR="00174B9E">
        <w:rPr>
          <w:b/>
        </w:rPr>
        <w:t xml:space="preserve">RE:  </w:t>
      </w:r>
      <w:r>
        <w:rPr>
          <w:b/>
        </w:rPr>
        <w:tab/>
      </w:r>
      <w:r w:rsidR="00174B9E">
        <w:rPr>
          <w:b/>
        </w:rPr>
        <w:t xml:space="preserve">Request for Waiver </w:t>
      </w:r>
      <w:r>
        <w:rPr>
          <w:b/>
        </w:rPr>
        <w:t xml:space="preserve">and Extension of Time </w:t>
      </w:r>
      <w:r w:rsidR="0051341C">
        <w:rPr>
          <w:b/>
        </w:rPr>
        <w:t>–</w:t>
      </w:r>
      <w:r>
        <w:rPr>
          <w:b/>
        </w:rPr>
        <w:t xml:space="preserve"> </w:t>
      </w:r>
      <w:r w:rsidR="0051341C">
        <w:rPr>
          <w:b/>
        </w:rPr>
        <w:t>47 C.F.R. §</w:t>
      </w:r>
      <w:r w:rsidR="00174B9E">
        <w:rPr>
          <w:b/>
        </w:rPr>
        <w:t xml:space="preserve"> 27.14(g) </w:t>
      </w:r>
    </w:p>
    <w:p w:rsidR="00174B9E" w:rsidP="004510C8">
      <w:pPr>
        <w:tabs>
          <w:tab w:val="left" w:pos="720"/>
        </w:tabs>
      </w:pPr>
      <w:r>
        <w:rPr>
          <w:b/>
        </w:rPr>
        <w:tab/>
      </w:r>
      <w:r>
        <w:rPr>
          <w:b/>
        </w:rPr>
        <w:tab/>
      </w:r>
      <w:r>
        <w:rPr>
          <w:b/>
        </w:rPr>
        <w:t>(Call Signs WQJS665 and WQJU904)</w:t>
      </w:r>
    </w:p>
    <w:p w:rsidR="00174B9E" w:rsidP="00174B9E">
      <w:pPr>
        <w:tabs>
          <w:tab w:val="left" w:pos="1710"/>
        </w:tabs>
      </w:pPr>
    </w:p>
    <w:p w:rsidR="00174B9E" w:rsidP="00174B9E">
      <w:pPr>
        <w:tabs>
          <w:tab w:val="left" w:pos="1710"/>
        </w:tabs>
      </w:pPr>
      <w:r>
        <w:t>Dear Mr. Blake:</w:t>
      </w:r>
    </w:p>
    <w:p w:rsidR="00174B9E" w:rsidP="00174B9E">
      <w:pPr>
        <w:tabs>
          <w:tab w:val="left" w:pos="1710"/>
        </w:tabs>
      </w:pPr>
    </w:p>
    <w:p w:rsidR="004510C8" w:rsidP="00174B9E">
      <w:r>
        <w:tab/>
        <w:t>This letter addresses the above-referenced request for a waiver of Section 27.14(g) of the Commission’s rules</w:t>
      </w:r>
      <w:r>
        <w:rPr>
          <w:rStyle w:val="FootnoteReference"/>
        </w:rPr>
        <w:footnoteReference w:id="2"/>
      </w:r>
      <w:r>
        <w:t xml:space="preserve"> filed by Polar Communications Mutual Aid Corporation (Polar).</w:t>
      </w:r>
      <w:r>
        <w:rPr>
          <w:rStyle w:val="FootnoteReference"/>
        </w:rPr>
        <w:footnoteReference w:id="3"/>
      </w:r>
      <w:r>
        <w:t xml:space="preserve">  Polar seeks a waiver of the interim construction benchmar</w:t>
      </w:r>
      <w:r w:rsidR="00F54DF5">
        <w:t>k imposed by Section 27.14(g)</w:t>
      </w:r>
      <w:r>
        <w:t>.</w:t>
      </w:r>
      <w:r>
        <w:rPr>
          <w:rStyle w:val="FootnoteReference"/>
        </w:rPr>
        <w:footnoteReference w:id="4"/>
      </w:r>
      <w:r>
        <w:t xml:space="preserve">  For the reasons discussed below, we find that the underlying purpose of the rule would be frustrated by a strict application</w:t>
      </w:r>
      <w:r w:rsidR="00B439DC">
        <w:t xml:space="preserve"> of the rule</w:t>
      </w:r>
      <w:r>
        <w:t xml:space="preserve"> in the instant case and </w:t>
      </w:r>
      <w:r w:rsidR="00CB2ECD">
        <w:t xml:space="preserve">find it in the public interest to revise </w:t>
      </w:r>
      <w:r w:rsidR="004C6EBB">
        <w:t>Polar’s</w:t>
      </w:r>
      <w:r w:rsidR="004C6EBB">
        <w:t xml:space="preserve"> interim construction deadline from December 16, 2016 to February 27, 2017</w:t>
      </w:r>
      <w:r>
        <w:t>.</w:t>
      </w:r>
      <w:r>
        <w:rPr>
          <w:rStyle w:val="FootnoteReference"/>
        </w:rPr>
        <w:footnoteReference w:id="5"/>
      </w:r>
      <w:r>
        <w:t xml:space="preserve"> </w:t>
      </w:r>
      <w:r>
        <w:t xml:space="preserve"> </w:t>
      </w:r>
      <w:r w:rsidR="004C6EBB">
        <w:t xml:space="preserve">  </w:t>
      </w:r>
    </w:p>
    <w:p w:rsidR="004510C8" w:rsidP="00174B9E"/>
    <w:p w:rsidR="004C6EBB" w:rsidRPr="004C4D66" w:rsidP="004510C8">
      <w:pPr>
        <w:ind w:firstLine="720"/>
      </w:pPr>
      <w:r>
        <w:rPr>
          <w:i/>
        </w:rPr>
        <w:t xml:space="preserve">Background.  </w:t>
      </w:r>
      <w:r w:rsidRPr="006B10B6" w:rsidR="004C4D66">
        <w:t xml:space="preserve">In the </w:t>
      </w:r>
      <w:r w:rsidRPr="006B10B6" w:rsidR="004C4D66">
        <w:rPr>
          <w:i/>
        </w:rPr>
        <w:t>700 MHz Second Report and Order</w:t>
      </w:r>
      <w:r w:rsidRPr="006B10B6" w:rsidR="004C4D66">
        <w:t>,</w:t>
      </w:r>
      <w:r w:rsidRPr="006B10B6" w:rsidR="004C4D66">
        <w:rPr>
          <w:i/>
        </w:rPr>
        <w:t xml:space="preserve"> </w:t>
      </w:r>
      <w:r w:rsidRPr="006B10B6" w:rsidR="004C4D66">
        <w:t xml:space="preserve">the Commission adopted interim and end-of-license term construction </w:t>
      </w:r>
      <w:r w:rsidRPr="009D0D28" w:rsidR="004C4D66">
        <w:t>benchmarks for certain 700 MHz band licensees.</w:t>
      </w:r>
      <w:r>
        <w:rPr>
          <w:vertAlign w:val="superscript"/>
        </w:rPr>
        <w:footnoteReference w:id="6"/>
      </w:r>
      <w:r w:rsidRPr="009D0D28" w:rsidR="004C4D66">
        <w:t xml:space="preserve">  The Commission’s rules for the Lower 700 MHz band A and B Block</w:t>
      </w:r>
      <w:r w:rsidR="009D0D28">
        <w:t>s</w:t>
      </w:r>
      <w:r w:rsidR="004C4D66">
        <w:t xml:space="preserve"> require</w:t>
      </w:r>
      <w:r w:rsidRPr="006B10B6" w:rsidR="004C4D66">
        <w:t xml:space="preserve"> licensees to provide signal coverage and offer service over at least 35 percent of </w:t>
      </w:r>
      <w:r w:rsidR="004C4D66">
        <w:t>the geographic area of their license at the interim construction deadline (Interim Construction Requirement)</w:t>
      </w:r>
      <w:r w:rsidRPr="006B10B6" w:rsidR="004C4D66">
        <w:t>,</w:t>
      </w:r>
      <w:r>
        <w:rPr>
          <w:vertAlign w:val="superscript"/>
        </w:rPr>
        <w:footnoteReference w:id="7"/>
      </w:r>
      <w:r w:rsidRPr="006B10B6" w:rsidR="004C4D66">
        <w:t xml:space="preserve"> and to provide signal coverage and offer service over at least 70 percent of </w:t>
      </w:r>
      <w:r w:rsidR="004C4D66">
        <w:t>the geographic</w:t>
      </w:r>
      <w:r w:rsidRPr="006B10B6" w:rsidR="004C4D66">
        <w:t xml:space="preserve"> area</w:t>
      </w:r>
      <w:r w:rsidR="004C4D66">
        <w:t xml:space="preserve"> of the license</w:t>
      </w:r>
      <w:r w:rsidRPr="006B10B6" w:rsidR="004C4D66">
        <w:t xml:space="preserve"> by the </w:t>
      </w:r>
      <w:r w:rsidR="004C4D66">
        <w:t>final construction deadline (Final Construction Requirement).</w:t>
      </w:r>
      <w:r>
        <w:rPr>
          <w:vertAlign w:val="superscript"/>
        </w:rPr>
        <w:footnoteReference w:id="8"/>
      </w:r>
      <w:r w:rsidRPr="006B10B6" w:rsidR="004C4D66">
        <w:t xml:space="preserve">  </w:t>
      </w:r>
      <w:r w:rsidRPr="0081752C" w:rsidR="00B439DC">
        <w:t>Section 27.14(g)(1) provides that</w:t>
      </w:r>
      <w:r w:rsidR="00BB3AA8">
        <w:t>,</w:t>
      </w:r>
      <w:r w:rsidRPr="0081752C" w:rsidR="00B439DC">
        <w:t xml:space="preserve"> if a licensee does not satisfy the Interim Construction Requirement, its license term will be reduced by two years, thereby requiring it to meet the Final Construction Requirement two years</w:t>
      </w:r>
      <w:r w:rsidR="003C768D">
        <w:t xml:space="preserve"> </w:t>
      </w:r>
      <w:r w:rsidR="00BB3AA8">
        <w:t>earlier</w:t>
      </w:r>
      <w:r w:rsidRPr="0081752C" w:rsidR="00B439DC">
        <w:t>.</w:t>
      </w:r>
      <w:r>
        <w:rPr>
          <w:rStyle w:val="FootnoteReference"/>
          <w:color w:val="000000" w:themeColor="text1"/>
        </w:rPr>
        <w:footnoteReference w:id="9"/>
      </w:r>
      <w:r w:rsidRPr="0081752C" w:rsidR="00B439DC">
        <w:t xml:space="preserve">  Further, if a licensee does not meet its Final Construction Requirement, it will be subject to a “keep-what-you-serve” rule, whereby its “authorization will terminate automatically without Commission action for those geographic portions of its license in which the licensee is not providing servic</w:t>
      </w:r>
      <w:r w:rsidRPr="004C4D66" w:rsidR="00B439DC">
        <w:t>e, and those unserved areas will become available for reassignment by the Commission.”</w:t>
      </w:r>
      <w:r>
        <w:rPr>
          <w:rStyle w:val="FootnoteReference"/>
        </w:rPr>
        <w:footnoteReference w:id="10"/>
      </w:r>
    </w:p>
    <w:p w:rsidR="00B439DC" w:rsidRPr="004C4D66" w:rsidP="004510C8">
      <w:pPr>
        <w:ind w:firstLine="720"/>
      </w:pPr>
    </w:p>
    <w:p w:rsidR="00ED5789" w:rsidP="006D720C">
      <w:pPr>
        <w:ind w:firstLine="720"/>
      </w:pPr>
      <w:r>
        <w:t xml:space="preserve">In 2008, </w:t>
      </w:r>
      <w:r w:rsidRPr="004C4D66" w:rsidR="00B439DC">
        <w:t xml:space="preserve">Polar acquired </w:t>
      </w:r>
      <w:r w:rsidR="00E14930">
        <w:t>from</w:t>
      </w:r>
      <w:r w:rsidRPr="004C4D66" w:rsidR="00E14930">
        <w:t xml:space="preserve"> Red River Rural Telephone Association, Inc </w:t>
      </w:r>
      <w:r w:rsidRPr="004C4D66" w:rsidR="004C4D66">
        <w:t xml:space="preserve">two </w:t>
      </w:r>
      <w:r w:rsidR="00E24A05">
        <w:t xml:space="preserve">partitioned </w:t>
      </w:r>
      <w:r w:rsidRPr="004C4D66" w:rsidR="004C4D66">
        <w:t>700 MHz B Block licenses, C</w:t>
      </w:r>
      <w:r w:rsidRPr="004C4D66" w:rsidR="00B439DC">
        <w:t xml:space="preserve">all </w:t>
      </w:r>
      <w:r w:rsidR="00C804CF">
        <w:t>S</w:t>
      </w:r>
      <w:r w:rsidRPr="004C4D66" w:rsidR="00B439DC">
        <w:t>igns WQJS665 and WQJU904</w:t>
      </w:r>
      <w:r w:rsidRPr="004C4D66" w:rsidR="004C4D66">
        <w:t>,</w:t>
      </w:r>
      <w:r>
        <w:rPr>
          <w:rStyle w:val="FootnoteReference"/>
        </w:rPr>
        <w:footnoteReference w:id="11"/>
      </w:r>
      <w:r w:rsidRPr="004C4D66" w:rsidR="00B439DC">
        <w:t xml:space="preserve"> </w:t>
      </w:r>
      <w:r w:rsidR="00C11C9E">
        <w:t>which</w:t>
      </w:r>
      <w:r w:rsidRPr="004C4D66" w:rsidR="00B439DC">
        <w:t xml:space="preserve"> </w:t>
      </w:r>
      <w:r w:rsidR="00E24A05">
        <w:t xml:space="preserve">together </w:t>
      </w:r>
      <w:r w:rsidR="0019609C">
        <w:t>consist</w:t>
      </w:r>
      <w:r w:rsidRPr="004C4D66" w:rsidR="00B439DC">
        <w:t xml:space="preserve"> of several counties located within CMA582 in North Dakota.</w:t>
      </w:r>
      <w:r>
        <w:rPr>
          <w:rStyle w:val="FootnoteReference"/>
        </w:rPr>
        <w:footnoteReference w:id="12"/>
      </w:r>
      <w:r w:rsidRPr="004C4D66" w:rsidR="00B439DC">
        <w:t xml:space="preserve">  </w:t>
      </w:r>
      <w:r w:rsidRPr="004C4D66" w:rsidR="004C4D66">
        <w:t xml:space="preserve">Polar </w:t>
      </w:r>
      <w:r w:rsidR="00136C86">
        <w:t xml:space="preserve">timely </w:t>
      </w:r>
      <w:r w:rsidRPr="004C4D66" w:rsidR="004C4D66">
        <w:t xml:space="preserve">filed interim construction notifications </w:t>
      </w:r>
      <w:r w:rsidR="00136C86">
        <w:t>in response to its</w:t>
      </w:r>
      <w:r w:rsidR="00C11C9E">
        <w:t xml:space="preserve"> </w:t>
      </w:r>
      <w:r w:rsidR="00A91A19">
        <w:t xml:space="preserve">original </w:t>
      </w:r>
      <w:r w:rsidR="00C11C9E">
        <w:t xml:space="preserve">June 13, 2013 </w:t>
      </w:r>
      <w:r w:rsidR="00A91A19">
        <w:t xml:space="preserve">interim construction deadline </w:t>
      </w:r>
      <w:r w:rsidR="00C11C9E">
        <w:t>for the two licenses</w:t>
      </w:r>
      <w:r w:rsidR="00A91A19">
        <w:t xml:space="preserve">; </w:t>
      </w:r>
      <w:r w:rsidR="00A91A19">
        <w:t>Polar’s</w:t>
      </w:r>
      <w:r w:rsidRPr="004C4D66" w:rsidR="00D4071E">
        <w:t xml:space="preserve"> interim construction deadline for these</w:t>
      </w:r>
      <w:r w:rsidR="00A91A19">
        <w:t xml:space="preserve"> licenses was subsequently revised to December 13, 2016</w:t>
      </w:r>
      <w:r w:rsidRPr="004C4D66" w:rsidR="004C4D66">
        <w:t>.</w:t>
      </w:r>
      <w:r>
        <w:rPr>
          <w:rStyle w:val="FootnoteReference"/>
        </w:rPr>
        <w:footnoteReference w:id="13"/>
      </w:r>
      <w:r w:rsidRPr="004C4D66" w:rsidR="004C4D66">
        <w:t xml:space="preserve">  </w:t>
      </w:r>
      <w:r w:rsidR="00A7321F">
        <w:t>As part of its</w:t>
      </w:r>
      <w:r w:rsidR="000E2AA1">
        <w:t xml:space="preserve"> 2013</w:t>
      </w:r>
      <w:r w:rsidRPr="004C4D66" w:rsidR="004C4D66">
        <w:t xml:space="preserve"> construction notification</w:t>
      </w:r>
      <w:r w:rsidR="00051ED1">
        <w:t xml:space="preserve"> filing</w:t>
      </w:r>
      <w:r w:rsidRPr="004C4D66" w:rsidR="004C4D66">
        <w:t>s, Polar requested a waiver of Section 27.14(g) to the extent necessary to permit the Commission to treat the two</w:t>
      </w:r>
      <w:r w:rsidR="00E24A05">
        <w:t xml:space="preserve"> partitioned</w:t>
      </w:r>
      <w:r w:rsidRPr="004C4D66" w:rsidR="004C4D66">
        <w:t xml:space="preserve"> </w:t>
      </w:r>
      <w:r w:rsidR="00E44C90">
        <w:t xml:space="preserve">CMA582 </w:t>
      </w:r>
      <w:r w:rsidRPr="004C4D66" w:rsidR="004C4D66">
        <w:t xml:space="preserve">licenses as </w:t>
      </w:r>
      <w:r w:rsidR="00E44E84">
        <w:t>having a single Interim Construction Requirement</w:t>
      </w:r>
      <w:r w:rsidR="0019609C">
        <w:t>.</w:t>
      </w:r>
      <w:r>
        <w:rPr>
          <w:rStyle w:val="FootnoteReference"/>
        </w:rPr>
        <w:footnoteReference w:id="14"/>
      </w:r>
      <w:r w:rsidRPr="004C4D66" w:rsidR="004C4D66">
        <w:t xml:space="preserve"> </w:t>
      </w:r>
      <w:r w:rsidR="006D720C">
        <w:t xml:space="preserve"> On November 30, 2016, Polar amended its </w:t>
      </w:r>
      <w:r w:rsidR="00051ED1">
        <w:t xml:space="preserve">pending </w:t>
      </w:r>
      <w:r w:rsidR="006D720C">
        <w:t xml:space="preserve">construction notifications in order to provide the Commission with </w:t>
      </w:r>
      <w:r w:rsidR="00A91A19">
        <w:t xml:space="preserve">required </w:t>
      </w:r>
      <w:r w:rsidR="006D720C">
        <w:t>electronic map files</w:t>
      </w:r>
      <w:r w:rsidR="00042CD1">
        <w:t>.</w:t>
      </w:r>
      <w:r>
        <w:rPr>
          <w:rStyle w:val="FootnoteReference"/>
        </w:rPr>
        <w:footnoteReference w:id="15"/>
      </w:r>
      <w:r w:rsidR="00042CD1">
        <w:t xml:space="preserve">  </w:t>
      </w:r>
      <w:r w:rsidR="00AE1B9C">
        <w:t xml:space="preserve">The amendments </w:t>
      </w:r>
      <w:r w:rsidR="00AE1B9C">
        <w:t>included</w:t>
      </w:r>
      <w:r w:rsidR="00FF7D50">
        <w:t xml:space="preserve"> </w:t>
      </w:r>
      <w:r w:rsidR="00042CD1">
        <w:t xml:space="preserve">new engineering reports showing revised coverage areas, and </w:t>
      </w:r>
      <w:r w:rsidR="00BB3AA8">
        <w:t xml:space="preserve">they </w:t>
      </w:r>
      <w:r w:rsidR="00BD0F7B">
        <w:t>stated</w:t>
      </w:r>
      <w:r w:rsidR="00042CD1">
        <w:t xml:space="preserve"> that Polar had constructed and was providing service</w:t>
      </w:r>
      <w:r w:rsidR="00051ED1">
        <w:t xml:space="preserve"> sufficient</w:t>
      </w:r>
      <w:r w:rsidR="00042CD1">
        <w:t xml:space="preserve"> to meet the 35 percent geographic coverage requirement for each call sign.</w:t>
      </w:r>
      <w:r>
        <w:rPr>
          <w:rStyle w:val="FootnoteReference"/>
        </w:rPr>
        <w:footnoteReference w:id="16"/>
      </w:r>
      <w:r w:rsidR="00042CD1">
        <w:t xml:space="preserve">  </w:t>
      </w:r>
      <w:r w:rsidR="00F9355D">
        <w:t xml:space="preserve">Specifically, the amended construction notifications indicated that Polar was providing signal coverage </w:t>
      </w:r>
      <w:r w:rsidR="00E237C6">
        <w:t>of</w:t>
      </w:r>
      <w:r w:rsidR="00F9355D">
        <w:t xml:space="preserve"> 38.4 percent of </w:t>
      </w:r>
      <w:r w:rsidR="00BB3AA8">
        <w:t xml:space="preserve">the </w:t>
      </w:r>
      <w:r w:rsidR="00F9355D">
        <w:t xml:space="preserve">licensed area covered </w:t>
      </w:r>
      <w:r w:rsidRPr="00547E50" w:rsidR="00F9355D">
        <w:t>by WQJU</w:t>
      </w:r>
      <w:r w:rsidRPr="00547E50" w:rsidR="00547E50">
        <w:t>904</w:t>
      </w:r>
      <w:r w:rsidR="00F9355D">
        <w:t xml:space="preserve"> and 62.4 percent of the license area covered under </w:t>
      </w:r>
      <w:r w:rsidRPr="00547E50" w:rsidR="00547E50">
        <w:t>WQJS665</w:t>
      </w:r>
      <w:r w:rsidR="00BB3AA8">
        <w:t>;</w:t>
      </w:r>
      <w:r w:rsidR="00F9355D">
        <w:t xml:space="preserve"> </w:t>
      </w:r>
      <w:r w:rsidR="00BB3AA8">
        <w:t xml:space="preserve">this </w:t>
      </w:r>
      <w:r w:rsidR="00F9355D">
        <w:t>represented a total coverage of 40.3 percent of the combined license area</w:t>
      </w:r>
      <w:r w:rsidR="00E24A05">
        <w:t>s</w:t>
      </w:r>
      <w:r w:rsidR="00F9355D">
        <w:t xml:space="preserve">.  </w:t>
      </w:r>
      <w:r w:rsidR="00042CD1">
        <w:t xml:space="preserve">Although the amendments indicated that the interim construction requirement was satisfied for both licenses, </w:t>
      </w:r>
      <w:r w:rsidR="00AE1B9C">
        <w:t>Polar reiterated its request that the licenses be treated as a single license for construction purposes.</w:t>
      </w:r>
      <w:r>
        <w:rPr>
          <w:rStyle w:val="FootnoteReference"/>
        </w:rPr>
        <w:footnoteReference w:id="17"/>
      </w:r>
      <w:r w:rsidR="00B56AAA">
        <w:t xml:space="preserve">  </w:t>
      </w:r>
      <w:r w:rsidR="006E62F9">
        <w:t xml:space="preserve">On December </w:t>
      </w:r>
      <w:r w:rsidR="006B7B01">
        <w:t xml:space="preserve">14, 2016, </w:t>
      </w:r>
      <w:r w:rsidR="005644A6">
        <w:t>the Division</w:t>
      </w:r>
      <w:r w:rsidR="006B7B01">
        <w:t xml:space="preserve"> </w:t>
      </w:r>
      <w:r w:rsidR="005644A6">
        <w:t xml:space="preserve">granted </w:t>
      </w:r>
      <w:r w:rsidR="005644A6">
        <w:t>Polar’s</w:t>
      </w:r>
      <w:r w:rsidR="005644A6">
        <w:t xml:space="preserve"> request</w:t>
      </w:r>
      <w:r w:rsidR="00662B2E">
        <w:t xml:space="preserve"> to</w:t>
      </w:r>
      <w:r w:rsidR="006B7B01">
        <w:t xml:space="preserve"> </w:t>
      </w:r>
      <w:r w:rsidRPr="006B7B01" w:rsidR="006B7B01">
        <w:t xml:space="preserve">combine the coverage area of </w:t>
      </w:r>
      <w:r w:rsidR="00706F93">
        <w:t>both call signs when demonstrating compliance with</w:t>
      </w:r>
      <w:r w:rsidRPr="006B7B01" w:rsidR="006B7B01">
        <w:t xml:space="preserve"> its </w:t>
      </w:r>
      <w:r w:rsidR="006B7B01">
        <w:t>Interim and Final Construction Requirements</w:t>
      </w:r>
      <w:r w:rsidR="00F9355D">
        <w:t xml:space="preserve">, but </w:t>
      </w:r>
      <w:r w:rsidR="00BB3AA8">
        <w:t xml:space="preserve">it </w:t>
      </w:r>
      <w:r w:rsidR="00F9355D">
        <w:t xml:space="preserve">conditioned </w:t>
      </w:r>
      <w:r w:rsidR="00BD0F7B">
        <w:t>relief on Polar demonstrating</w:t>
      </w:r>
      <w:r w:rsidRPr="006B7B01" w:rsidR="006B7B01">
        <w:t xml:space="preserve"> significant construction for each license</w:t>
      </w:r>
      <w:r w:rsidR="00BD0F7B">
        <w:t>.</w:t>
      </w:r>
      <w:r>
        <w:rPr>
          <w:rStyle w:val="FootnoteReference"/>
        </w:rPr>
        <w:footnoteReference w:id="18"/>
      </w:r>
      <w:r w:rsidR="00F1250D">
        <w:t xml:space="preserve">  </w:t>
      </w:r>
    </w:p>
    <w:p w:rsidR="002F7A66" w:rsidP="006D720C">
      <w:pPr>
        <w:ind w:firstLine="720"/>
      </w:pPr>
    </w:p>
    <w:p w:rsidR="00F9355D" w:rsidP="00C83EB2">
      <w:pPr>
        <w:ind w:firstLine="720"/>
      </w:pPr>
      <w:r w:rsidRPr="00547E50">
        <w:t xml:space="preserve">In reviewing </w:t>
      </w:r>
      <w:r w:rsidRPr="00547E50">
        <w:t>Polar’s</w:t>
      </w:r>
      <w:r w:rsidRPr="00547E50">
        <w:t xml:space="preserve"> </w:t>
      </w:r>
      <w:r w:rsidRPr="00547E50" w:rsidR="00A71A72">
        <w:t xml:space="preserve">amended </w:t>
      </w:r>
      <w:r w:rsidRPr="00547E50">
        <w:t xml:space="preserve">construction </w:t>
      </w:r>
      <w:r w:rsidRPr="00547E50" w:rsidR="00C11C9E">
        <w:t>notification</w:t>
      </w:r>
      <w:r w:rsidRPr="00547E50">
        <w:t xml:space="preserve">s, however, the Division discovered that </w:t>
      </w:r>
      <w:r w:rsidRPr="00547E50">
        <w:t xml:space="preserve">Polar mistakenly </w:t>
      </w:r>
      <w:r w:rsidRPr="00547E50" w:rsidR="00BB3AA8">
        <w:t xml:space="preserve">had </w:t>
      </w:r>
      <w:r w:rsidRPr="00547E50">
        <w:t xml:space="preserve">located </w:t>
      </w:r>
      <w:r w:rsidRPr="00547E50" w:rsidR="00C83EB2">
        <w:t xml:space="preserve">two base stations just outside of its licensed CMA582 market areas – </w:t>
      </w:r>
      <w:r w:rsidRPr="00547E50" w:rsidR="00B767AD">
        <w:t xml:space="preserve">one </w:t>
      </w:r>
      <w:r w:rsidRPr="00547E50" w:rsidR="00C83EB2">
        <w:t>base station</w:t>
      </w:r>
      <w:r w:rsidRPr="00547E50">
        <w:t xml:space="preserve"> in CMA581</w:t>
      </w:r>
      <w:r w:rsidRPr="00547E50" w:rsidR="003B3D1A">
        <w:t xml:space="preserve"> (</w:t>
      </w:r>
      <w:r w:rsidRPr="00547E50" w:rsidR="003B3D1A">
        <w:t>Nekoma</w:t>
      </w:r>
      <w:r w:rsidRPr="00547E50" w:rsidR="003B3D1A">
        <w:t>)</w:t>
      </w:r>
      <w:r w:rsidRPr="00547E50">
        <w:t xml:space="preserve"> </w:t>
      </w:r>
      <w:r w:rsidRPr="00547E50" w:rsidR="00B767AD">
        <w:t xml:space="preserve">and </w:t>
      </w:r>
      <w:r w:rsidRPr="00547E50" w:rsidR="007A582B">
        <w:t>the o</w:t>
      </w:r>
      <w:r w:rsidRPr="00547E50" w:rsidR="00B767AD">
        <w:t>ther in CMA221</w:t>
      </w:r>
      <w:r w:rsidRPr="00547E50" w:rsidR="003B3D1A">
        <w:t xml:space="preserve"> (Hunter)</w:t>
      </w:r>
      <w:r w:rsidRPr="00547E50">
        <w:t>.</w:t>
      </w:r>
      <w:r>
        <w:rPr>
          <w:rStyle w:val="FootnoteReference"/>
        </w:rPr>
        <w:footnoteReference w:id="19"/>
      </w:r>
      <w:r w:rsidRPr="00547E50" w:rsidR="00B767AD">
        <w:t xml:space="preserve">  </w:t>
      </w:r>
      <w:r w:rsidRPr="00547E50" w:rsidR="00283406">
        <w:t>The</w:t>
      </w:r>
      <w:r w:rsidRPr="00547E50" w:rsidR="00C83EB2">
        <w:t xml:space="preserve"> service coverage </w:t>
      </w:r>
      <w:r w:rsidRPr="00547E50" w:rsidR="00D558BB">
        <w:t xml:space="preserve">provided by those sites therefore </w:t>
      </w:r>
      <w:r w:rsidRPr="00547E50" w:rsidR="00BB3AA8">
        <w:t xml:space="preserve">could </w:t>
      </w:r>
      <w:r w:rsidRPr="00547E50" w:rsidR="00D558BB">
        <w:t xml:space="preserve">not be considered </w:t>
      </w:r>
      <w:r w:rsidR="00E06E92">
        <w:t xml:space="preserve">in reviewing </w:t>
      </w:r>
      <w:r w:rsidR="00E06E92">
        <w:t>Polar’s</w:t>
      </w:r>
      <w:r w:rsidRPr="003B3D1A" w:rsidR="00C83EB2">
        <w:t xml:space="preserve"> </w:t>
      </w:r>
      <w:r w:rsidR="00D558BB">
        <w:t>CMA582</w:t>
      </w:r>
      <w:r w:rsidR="00E06E92">
        <w:t xml:space="preserve"> 700 MHz B Block construction</w:t>
      </w:r>
      <w:r w:rsidRPr="008F1C25" w:rsidR="00C83EB2">
        <w:t xml:space="preserve">.  </w:t>
      </w:r>
      <w:r w:rsidRPr="008F1C25" w:rsidR="00D6671E">
        <w:t>Without</w:t>
      </w:r>
      <w:r w:rsidR="00E24A05">
        <w:t xml:space="preserve"> the coverage provided by</w:t>
      </w:r>
      <w:r w:rsidR="008F1C25">
        <w:t xml:space="preserve"> the</w:t>
      </w:r>
      <w:r w:rsidRPr="008F1C25" w:rsidR="00D6671E">
        <w:t xml:space="preserve"> </w:t>
      </w:r>
      <w:r w:rsidRPr="008F1C25" w:rsidR="00D6671E">
        <w:t>Nekoma</w:t>
      </w:r>
      <w:r w:rsidRPr="008F1C25" w:rsidR="00D6671E">
        <w:t xml:space="preserve"> and Hunter </w:t>
      </w:r>
      <w:r w:rsidRPr="008F1C25" w:rsidR="008F1C25">
        <w:t>sites</w:t>
      </w:r>
      <w:r w:rsidRPr="008F1C25" w:rsidR="00D6671E">
        <w:t xml:space="preserve">, </w:t>
      </w:r>
      <w:r w:rsidRPr="008F1C25" w:rsidR="00D6671E">
        <w:t>Polar</w:t>
      </w:r>
      <w:r w:rsidR="00E24A05">
        <w:t>’s</w:t>
      </w:r>
      <w:r w:rsidRPr="008F1C25" w:rsidR="00D6671E">
        <w:t xml:space="preserve"> coverage and service</w:t>
      </w:r>
      <w:r w:rsidR="00E24A05">
        <w:t xml:space="preserve"> area amounted</w:t>
      </w:r>
      <w:r w:rsidRPr="008F1C25" w:rsidR="00D6671E">
        <w:t xml:space="preserve"> to</w:t>
      </w:r>
      <w:r w:rsidR="00E06E92">
        <w:t xml:space="preserve"> slightly</w:t>
      </w:r>
      <w:r w:rsidRPr="008F1C25" w:rsidR="00D6671E">
        <w:t xml:space="preserve"> less than 32 percent</w:t>
      </w:r>
      <w:r w:rsidRPr="008F1C25" w:rsidR="008F1C25">
        <w:t xml:space="preserve"> of its </w:t>
      </w:r>
      <w:r w:rsidRPr="008F1C25" w:rsidR="00D6671E">
        <w:t xml:space="preserve">geographic </w:t>
      </w:r>
      <w:r w:rsidRPr="008F1C25" w:rsidR="008F1C25">
        <w:t xml:space="preserve">market </w:t>
      </w:r>
      <w:r w:rsidRPr="008F1C25" w:rsidR="00D6671E">
        <w:t xml:space="preserve">area as of the December 13, 2016 interim construction deadline.  </w:t>
      </w:r>
      <w:r w:rsidRPr="008F1C25" w:rsidR="00C83EB2">
        <w:t xml:space="preserve">After FCC staff communicated </w:t>
      </w:r>
      <w:r w:rsidRPr="00547E50" w:rsidR="00C83EB2">
        <w:t xml:space="preserve">this </w:t>
      </w:r>
      <w:r w:rsidR="00BB3AA8">
        <w:t xml:space="preserve">finding </w:t>
      </w:r>
      <w:r w:rsidRPr="00547E50" w:rsidR="00C83EB2">
        <w:t xml:space="preserve">to Polar, Polar entered into a spectrum manager leasing arrangement with </w:t>
      </w:r>
      <w:r w:rsidRPr="00547E50" w:rsidR="00E24A05">
        <w:t>AT&amp;T</w:t>
      </w:r>
      <w:r w:rsidRPr="00547E50" w:rsidR="008F1C25">
        <w:t>, the licensee of the</w:t>
      </w:r>
      <w:r w:rsidRPr="00547E50" w:rsidR="00531ACD">
        <w:t xml:space="preserve"> </w:t>
      </w:r>
      <w:r w:rsidRPr="00547E50" w:rsidR="00256DA9">
        <w:t xml:space="preserve">700 MHz </w:t>
      </w:r>
      <w:r w:rsidRPr="00547E50" w:rsidR="00531ACD">
        <w:t>B Block</w:t>
      </w:r>
      <w:r w:rsidRPr="00547E50" w:rsidR="008F1C25">
        <w:t xml:space="preserve"> </w:t>
      </w:r>
      <w:r w:rsidRPr="00547E50" w:rsidR="00126BD3">
        <w:t xml:space="preserve">market areas covering the </w:t>
      </w:r>
      <w:r w:rsidRPr="00547E50" w:rsidR="00126BD3">
        <w:t>Nekoma</w:t>
      </w:r>
      <w:r w:rsidRPr="00547E50" w:rsidR="00126BD3">
        <w:t xml:space="preserve"> and Hunter sites, </w:t>
      </w:r>
      <w:r w:rsidRPr="00547E50" w:rsidR="00C83EB2">
        <w:t>o</w:t>
      </w:r>
      <w:r w:rsidRPr="00547E50" w:rsidR="00126BD3">
        <w:t>n February 27, 2017.</w:t>
      </w:r>
      <w:r>
        <w:rPr>
          <w:rStyle w:val="FootnoteReference"/>
        </w:rPr>
        <w:footnoteReference w:id="20"/>
      </w:r>
      <w:r w:rsidRPr="00547E50" w:rsidR="00C83EB2">
        <w:t xml:space="preserve">  Polar has since </w:t>
      </w:r>
      <w:r w:rsidR="00547E50">
        <w:t>entered into an agreement with AT&amp;T</w:t>
      </w:r>
      <w:r w:rsidRPr="00547E50" w:rsidR="00C83EB2">
        <w:t xml:space="preserve"> to assign both of its B Block licenses in addition to other 700 MHz licenses that i</w:t>
      </w:r>
      <w:r w:rsidR="00547E50">
        <w:t>t holds in North Dakota</w:t>
      </w:r>
      <w:r w:rsidRPr="00547E50" w:rsidR="00C83EB2">
        <w:t>.</w:t>
      </w:r>
      <w:r>
        <w:rPr>
          <w:rStyle w:val="FootnoteReference"/>
        </w:rPr>
        <w:footnoteReference w:id="21"/>
      </w:r>
      <w:r w:rsidR="00C83EB2">
        <w:t xml:space="preserve">  </w:t>
      </w:r>
    </w:p>
    <w:p w:rsidR="002F7A66" w:rsidP="006D720C">
      <w:pPr>
        <w:ind w:firstLine="720"/>
      </w:pPr>
    </w:p>
    <w:p w:rsidR="00CD7435" w:rsidRPr="009D0D28" w:rsidP="008B6FF3">
      <w:pPr>
        <w:ind w:firstLine="720"/>
      </w:pPr>
      <w:r>
        <w:t>O</w:t>
      </w:r>
      <w:r w:rsidR="00206BF3">
        <w:t>n April 28, 2017</w:t>
      </w:r>
      <w:r>
        <w:t xml:space="preserve">, </w:t>
      </w:r>
      <w:r w:rsidR="00C11C9E">
        <w:t xml:space="preserve">Polar filed </w:t>
      </w:r>
      <w:r w:rsidR="00126BD3">
        <w:t>a request for</w:t>
      </w:r>
      <w:r w:rsidR="00C11C9E">
        <w:t xml:space="preserve"> waiver of the Interim Construction Requirement </w:t>
      </w:r>
      <w:r w:rsidR="004C3DC4">
        <w:t xml:space="preserve">for both licenses </w:t>
      </w:r>
      <w:r w:rsidR="00C11C9E">
        <w:t>pursuant to Section 1.925(b)</w:t>
      </w:r>
      <w:r w:rsidR="00126BD3">
        <w:t>.</w:t>
      </w:r>
      <w:r>
        <w:rPr>
          <w:rStyle w:val="FootnoteReference"/>
        </w:rPr>
        <w:footnoteReference w:id="22"/>
      </w:r>
      <w:r w:rsidR="00C11C9E">
        <w:t xml:space="preserve"> </w:t>
      </w:r>
      <w:r w:rsidR="00126BD3">
        <w:t xml:space="preserve"> Polar seeks additional time until February 27, 2017, the </w:t>
      </w:r>
      <w:r w:rsidR="00126BD3">
        <w:t>effective date of the spectrum manager lease</w:t>
      </w:r>
      <w:r w:rsidR="004C3DC4">
        <w:t>,</w:t>
      </w:r>
      <w:r w:rsidR="00126BD3">
        <w:t xml:space="preserve"> </w:t>
      </w:r>
      <w:r w:rsidR="00E24A05">
        <w:t xml:space="preserve">to meet </w:t>
      </w:r>
      <w:r w:rsidR="00E06E92">
        <w:t>its</w:t>
      </w:r>
      <w:r w:rsidR="00E24A05">
        <w:t xml:space="preserve"> Int</w:t>
      </w:r>
      <w:r w:rsidR="004C3DC4">
        <w:t>erim Construction Requirement.</w:t>
      </w:r>
      <w:r>
        <w:rPr>
          <w:rStyle w:val="FootnoteReference"/>
        </w:rPr>
        <w:footnoteReference w:id="23"/>
      </w:r>
      <w:r w:rsidR="004C3DC4">
        <w:t xml:space="preserve">  Alternatively, Polar asks that we accept its 31.98 percent coverage of its combined license area as substantial provision of the required 35 percent geographic area coverage.</w:t>
      </w:r>
      <w:r>
        <w:rPr>
          <w:rStyle w:val="FootnoteReference"/>
        </w:rPr>
        <w:footnoteReference w:id="24"/>
      </w:r>
      <w:r w:rsidR="004C3DC4">
        <w:t xml:space="preserve">  </w:t>
      </w:r>
      <w:r w:rsidR="008B6FF3">
        <w:t xml:space="preserve">On June 7, 2017, </w:t>
      </w:r>
      <w:r w:rsidR="00FD289C">
        <w:t>Polar supplemented its April 2017 Waiver Request</w:t>
      </w:r>
      <w:r w:rsidR="00FF091A">
        <w:t xml:space="preserve"> with a</w:t>
      </w:r>
      <w:r w:rsidR="00777AF6">
        <w:t xml:space="preserve">dditional information.  The June 7, 2017 </w:t>
      </w:r>
      <w:r w:rsidR="00706F93">
        <w:t>S</w:t>
      </w:r>
      <w:r w:rsidR="00777AF6">
        <w:t xml:space="preserve">upplement requests </w:t>
      </w:r>
      <w:r w:rsidR="00FF091A">
        <w:t>t</w:t>
      </w:r>
      <w:r w:rsidR="00551D1C">
        <w:t>hat, to the extent that we deny</w:t>
      </w:r>
      <w:r w:rsidR="00FF091A">
        <w:t xml:space="preserve"> its </w:t>
      </w:r>
      <w:r w:rsidR="00051ED1">
        <w:t>April 2017 W</w:t>
      </w:r>
      <w:r w:rsidR="00FF091A">
        <w:t xml:space="preserve">aiver </w:t>
      </w:r>
      <w:r w:rsidR="00051ED1">
        <w:t>R</w:t>
      </w:r>
      <w:r w:rsidR="00FF091A">
        <w:t xml:space="preserve">equest and do not accept its interim construction notifications, the Commission extend the license term of each license and provide Polar at least six months from </w:t>
      </w:r>
      <w:r w:rsidRPr="009D0D28" w:rsidR="00FF091A">
        <w:t>the date of Commission action on the Interim Construction Notifications to allow Polar to meet the accelerated end-of-term construction benchmarks.</w:t>
      </w:r>
      <w:r>
        <w:rPr>
          <w:rStyle w:val="FootnoteReference"/>
        </w:rPr>
        <w:footnoteReference w:id="25"/>
      </w:r>
    </w:p>
    <w:p w:rsidR="00CD7435" w:rsidRPr="009D0D28" w:rsidP="006D720C">
      <w:pPr>
        <w:ind w:firstLine="720"/>
      </w:pPr>
    </w:p>
    <w:p w:rsidR="00150D4F" w:rsidRPr="009D0D28" w:rsidP="00150D4F">
      <w:pPr>
        <w:ind w:firstLine="720"/>
      </w:pPr>
      <w:r w:rsidRPr="009D0D28">
        <w:t xml:space="preserve">In support of its request for waiver, Polar asserts that grant of a waiver is warranted because:  (1) it believed in good faith that it had constructed a network that was providing broadband coverage to its license area within CMA582 in rural North Dakota as of December 13, 2016; (2) even when excluding the service provided by </w:t>
      </w:r>
      <w:r w:rsidRPr="009D0D28">
        <w:t>Nekoma</w:t>
      </w:r>
      <w:r w:rsidRPr="009D0D28">
        <w:t xml:space="preserve"> and Hunter, Polar was still providing coverage at the interim construction deadline to 31.98 percent of the geographic area of its licenses; (3) as of February 27, 2017, Polar possesses the requisite authorization by way of its spectrum manager leasing arrangement with AT&amp;T to provide service at </w:t>
      </w:r>
      <w:r w:rsidRPr="009D0D28">
        <w:t>Nekoma</w:t>
      </w:r>
      <w:r w:rsidRPr="009D0D28">
        <w:t xml:space="preserve"> and Hunter; and (4) strict application of Section 27.14(g) would trigger an acceleration of the Final Construction Requirement to June 13, 2017, and would result in a loss of much of the unserved license area, causing significant delay to rural service deployment in the corresponding license area due to </w:t>
      </w:r>
      <w:r w:rsidRPr="009D0D28">
        <w:t>Polar’s</w:t>
      </w:r>
      <w:r w:rsidRPr="009D0D28">
        <w:t xml:space="preserve"> inability to construct a network capable of providing coverage to 70 percent of the geographic area of its license area by that date.</w:t>
      </w:r>
      <w:r>
        <w:rPr>
          <w:rStyle w:val="FootnoteReference"/>
        </w:rPr>
        <w:footnoteReference w:id="26"/>
      </w:r>
      <w:r w:rsidRPr="009D0D28">
        <w:t xml:space="preserve">  </w:t>
      </w:r>
    </w:p>
    <w:p w:rsidR="00150D4F" w:rsidRPr="009D0D28" w:rsidP="00150D4F">
      <w:pPr>
        <w:ind w:firstLine="720"/>
      </w:pPr>
    </w:p>
    <w:p w:rsidR="004354CC" w:rsidP="007B3E6B">
      <w:pPr>
        <w:ind w:firstLine="720"/>
      </w:pPr>
      <w:r w:rsidRPr="009D0D28">
        <w:rPr>
          <w:i/>
        </w:rPr>
        <w:t>Discussion.</w:t>
      </w:r>
      <w:r w:rsidRPr="009D0D28">
        <w:t xml:space="preserve">  </w:t>
      </w:r>
      <w:r w:rsidR="00BB3AA8">
        <w:rPr>
          <w:spacing w:val="-3"/>
        </w:rPr>
        <w:t>R</w:t>
      </w:r>
      <w:r w:rsidRPr="009D0D28">
        <w:rPr>
          <w:spacing w:val="-3"/>
        </w:rPr>
        <w:t>equests to waive a requirement of the wireless construction and coverage rules must “meet a high hurdle at the starting gate.”</w:t>
      </w:r>
      <w:r>
        <w:rPr>
          <w:rStyle w:val="FootnoteReference"/>
          <w:spacing w:val="-3"/>
        </w:rPr>
        <w:footnoteReference w:id="27"/>
      </w:r>
      <w:r w:rsidRPr="009D0D28">
        <w:rPr>
          <w:spacing w:val="-3"/>
        </w:rPr>
        <w:t xml:space="preserve">  </w:t>
      </w:r>
      <w:r w:rsidRPr="009D0D28">
        <w:t>Under the Commission’s general standard for considering waiver requests, we may grant such a request when: (</w:t>
      </w:r>
      <w:r w:rsidRPr="009D0D28">
        <w:t>i</w:t>
      </w:r>
      <w:r w:rsidRPr="009D0D28">
        <w:t>) the underlying purpose of the rule(s)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bookmarkStart w:id="3" w:name="FN_FN45_"/>
      <w:bookmarkEnd w:id="3"/>
      <w:r>
        <w:rPr>
          <w:rStyle w:val="FootnoteReference"/>
        </w:rPr>
        <w:footnoteReference w:id="28"/>
      </w:r>
      <w:r w:rsidRPr="009D0D28">
        <w:t xml:space="preserve">  </w:t>
      </w:r>
      <w:r w:rsidRPr="009D0D28" w:rsidR="00836D64">
        <w:t>It is well-established that the Commission may waive a rule where the particular facts make strict compliance inconsistent with the public interest,</w:t>
      </w:r>
      <w:r>
        <w:rPr>
          <w:vertAlign w:val="superscript"/>
        </w:rPr>
        <w:footnoteReference w:id="29"/>
      </w:r>
      <w:r w:rsidRPr="009D0D28" w:rsidR="00836D64">
        <w:t xml:space="preserve"> and it may take into account unique considerations of hardship, equity, or more effective implementation of ove</w:t>
      </w:r>
      <w:r w:rsidRPr="0044117A" w:rsidR="00836D64">
        <w:t>rall policy on an individual basis.</w:t>
      </w:r>
      <w:r>
        <w:rPr>
          <w:vertAlign w:val="superscript"/>
        </w:rPr>
        <w:footnoteReference w:id="30"/>
      </w:r>
      <w:r w:rsidR="00B14BE0">
        <w:t xml:space="preserve"> </w:t>
      </w:r>
    </w:p>
    <w:p w:rsidR="007B3E6B" w:rsidP="007B3E6B">
      <w:pPr>
        <w:ind w:firstLine="720"/>
      </w:pPr>
    </w:p>
    <w:p w:rsidR="004354CC" w:rsidP="00AE5C97">
      <w:pPr>
        <w:ind w:firstLine="720"/>
      </w:pPr>
      <w:r w:rsidRPr="0044117A">
        <w:t>We have carefully reviewed the record before us and find that</w:t>
      </w:r>
      <w:r w:rsidRPr="00692419">
        <w:t xml:space="preserve"> the </w:t>
      </w:r>
      <w:r w:rsidRPr="00692419">
        <w:t>underlying purpose</w:t>
      </w:r>
      <w:r w:rsidRPr="00692419">
        <w:t xml:space="preserve"> of Section 27.14(g)</w:t>
      </w:r>
      <w:r w:rsidR="00F91285">
        <w:t xml:space="preserve">, which is </w:t>
      </w:r>
      <w:r w:rsidRPr="00692419">
        <w:t>“to better promote access to spectrum and the provision of service, especially in rural areas</w:t>
      </w:r>
      <w:r w:rsidR="00F91285">
        <w:t>,</w:t>
      </w:r>
      <w:r w:rsidRPr="00692419">
        <w:t>”</w:t>
      </w:r>
      <w:r>
        <w:rPr>
          <w:vertAlign w:val="superscript"/>
        </w:rPr>
        <w:footnoteReference w:id="31"/>
      </w:r>
      <w:r w:rsidRPr="00692419">
        <w:t xml:space="preserve"> would be frustrated by</w:t>
      </w:r>
      <w:r>
        <w:t xml:space="preserve"> strict</w:t>
      </w:r>
      <w:r w:rsidRPr="00692419">
        <w:t xml:space="preserve"> application of the rule </w:t>
      </w:r>
      <w:r w:rsidR="00256DA9">
        <w:t>in this instance</w:t>
      </w:r>
      <w:r>
        <w:t>,</w:t>
      </w:r>
      <w:r w:rsidRPr="00692419">
        <w:t xml:space="preserve"> and tha</w:t>
      </w:r>
      <w:r>
        <w:t>t grant of the requested waiver</w:t>
      </w:r>
      <w:r w:rsidRPr="00692419">
        <w:t xml:space="preserve"> </w:t>
      </w:r>
      <w:r>
        <w:t xml:space="preserve">to provide additional time for Polar to meet its interim construction </w:t>
      </w:r>
      <w:r w:rsidRPr="009F6D57">
        <w:t xml:space="preserve">requirements will serve the public interest.  </w:t>
      </w:r>
    </w:p>
    <w:p w:rsidR="004354CC" w:rsidP="00AE5C97">
      <w:pPr>
        <w:ind w:firstLine="720"/>
      </w:pPr>
    </w:p>
    <w:p w:rsidR="00A803A0" w:rsidP="00A803A0">
      <w:pPr>
        <w:ind w:firstLine="720"/>
      </w:pPr>
      <w:r w:rsidRPr="00B55DDE">
        <w:t xml:space="preserve">We find that the totality of the factors involved in the instant case </w:t>
      </w:r>
      <w:r w:rsidR="00256DA9">
        <w:t xml:space="preserve">support a limited waiver of </w:t>
      </w:r>
      <w:r w:rsidRPr="00B55DDE">
        <w:t xml:space="preserve">Section 27.14(g)(1).  </w:t>
      </w:r>
      <w:r>
        <w:t>The record reflects</w:t>
      </w:r>
      <w:r w:rsidR="00BE5CCD">
        <w:t xml:space="preserve"> that Polar constructed with the intent to comply with the </w:t>
      </w:r>
      <w:r w:rsidR="00000292">
        <w:t xml:space="preserve">Interim Construction </w:t>
      </w:r>
      <w:r w:rsidR="00E06E92">
        <w:t>Requirement</w:t>
      </w:r>
      <w:r>
        <w:t xml:space="preserve"> </w:t>
      </w:r>
      <w:r w:rsidRPr="00000292" w:rsidR="00000292">
        <w:t xml:space="preserve">and believed in good faith that it </w:t>
      </w:r>
      <w:r w:rsidR="007D3624">
        <w:t xml:space="preserve">actually </w:t>
      </w:r>
      <w:r w:rsidR="00BB3AA8">
        <w:t>was</w:t>
      </w:r>
      <w:r w:rsidR="00BB3AA8">
        <w:t xml:space="preserve"> </w:t>
      </w:r>
      <w:r w:rsidR="007D3624">
        <w:t xml:space="preserve">providing </w:t>
      </w:r>
      <w:r w:rsidR="00256DA9">
        <w:t>coverage</w:t>
      </w:r>
      <w:r w:rsidR="007D3624">
        <w:t xml:space="preserve"> </w:t>
      </w:r>
      <w:r w:rsidR="007276B0">
        <w:t xml:space="preserve">and service </w:t>
      </w:r>
      <w:r w:rsidR="007D3624">
        <w:t xml:space="preserve">sufficient to meet the interim 35 percent geographic </w:t>
      </w:r>
      <w:r w:rsidR="007276B0">
        <w:t>construction</w:t>
      </w:r>
      <w:r w:rsidR="007D3624">
        <w:t xml:space="preserve"> </w:t>
      </w:r>
      <w:r w:rsidR="00765460">
        <w:t>criteria</w:t>
      </w:r>
      <w:r w:rsidR="007D3624">
        <w:t xml:space="preserve"> as of the </w:t>
      </w:r>
      <w:r w:rsidR="00256DA9">
        <w:t xml:space="preserve">December </w:t>
      </w:r>
      <w:r w:rsidR="00E06E92">
        <w:t xml:space="preserve">13, </w:t>
      </w:r>
      <w:r w:rsidR="00256DA9">
        <w:t>2016</w:t>
      </w:r>
      <w:r w:rsidR="00E06E92">
        <w:t>,</w:t>
      </w:r>
      <w:r w:rsidR="00256DA9">
        <w:t xml:space="preserve"> </w:t>
      </w:r>
      <w:r w:rsidR="007D3624">
        <w:t>deadline.</w:t>
      </w:r>
      <w:r w:rsidRPr="00000292" w:rsidR="00000292">
        <w:t xml:space="preserve">  </w:t>
      </w:r>
      <w:r w:rsidR="007D3624">
        <w:t>Polar’s</w:t>
      </w:r>
      <w:r w:rsidR="007D3624">
        <w:t xml:space="preserve"> intent to construct as required is demonstrated </w:t>
      </w:r>
      <w:r w:rsidR="00256DA9">
        <w:t xml:space="preserve">by </w:t>
      </w:r>
      <w:r w:rsidR="00E06E92">
        <w:t xml:space="preserve">the </w:t>
      </w:r>
      <w:r w:rsidR="00256DA9">
        <w:t>actual</w:t>
      </w:r>
      <w:r w:rsidR="00706F93">
        <w:t xml:space="preserve"> </w:t>
      </w:r>
      <w:r w:rsidR="00E5519C">
        <w:t>deployment</w:t>
      </w:r>
      <w:r w:rsidR="00256DA9">
        <w:t xml:space="preserve"> of</w:t>
      </w:r>
      <w:r w:rsidR="00706F93">
        <w:t xml:space="preserve"> facilities</w:t>
      </w:r>
      <w:r w:rsidR="00256DA9">
        <w:t xml:space="preserve"> intended</w:t>
      </w:r>
      <w:r w:rsidR="00706F93">
        <w:t xml:space="preserve"> </w:t>
      </w:r>
      <w:r w:rsidR="00256DA9">
        <w:t>to</w:t>
      </w:r>
      <w:r w:rsidR="00706F93">
        <w:t xml:space="preserve"> provide wireless service to its combined </w:t>
      </w:r>
      <w:r w:rsidR="00256DA9">
        <w:t xml:space="preserve">CMA582 </w:t>
      </w:r>
      <w:r w:rsidR="00DB7262">
        <w:t xml:space="preserve">license areas.  The 700 MHz B Block coverage provided by </w:t>
      </w:r>
      <w:r w:rsidR="00DB7262">
        <w:t>all of</w:t>
      </w:r>
      <w:r w:rsidR="00DB7262">
        <w:t xml:space="preserve"> </w:t>
      </w:r>
      <w:r w:rsidR="00DB7262">
        <w:t>Polar’s</w:t>
      </w:r>
      <w:r w:rsidR="00DB7262">
        <w:t xml:space="preserve"> sites</w:t>
      </w:r>
      <w:r w:rsidR="00765460">
        <w:t xml:space="preserve">, including the </w:t>
      </w:r>
      <w:r w:rsidR="00765460">
        <w:t>Nekoma</w:t>
      </w:r>
      <w:r w:rsidR="00765460">
        <w:t xml:space="preserve"> and Hunter locations,</w:t>
      </w:r>
      <w:r w:rsidR="00DB7262">
        <w:t xml:space="preserve"> amounted to a little over 40 percent of </w:t>
      </w:r>
      <w:r w:rsidR="00861E40">
        <w:t>its combined</w:t>
      </w:r>
      <w:r w:rsidR="00765460">
        <w:t xml:space="preserve"> </w:t>
      </w:r>
      <w:r w:rsidR="00DB7262">
        <w:t xml:space="preserve">geographic </w:t>
      </w:r>
      <w:r w:rsidR="00861E40">
        <w:t xml:space="preserve">market </w:t>
      </w:r>
      <w:r w:rsidR="00DB7262">
        <w:t>area.  We note that e</w:t>
      </w:r>
      <w:r w:rsidR="001407A9">
        <w:t>ven without the non-CMA582</w:t>
      </w:r>
      <w:r w:rsidRPr="00000292" w:rsidR="00DB7262">
        <w:t xml:space="preserve"> sites, </w:t>
      </w:r>
      <w:r w:rsidRPr="00000292" w:rsidR="00DB7262">
        <w:t>Polar’s</w:t>
      </w:r>
      <w:r w:rsidRPr="00000292" w:rsidR="00DB7262">
        <w:t xml:space="preserve"> service coverage approximated 32 percent of the geographi</w:t>
      </w:r>
      <w:r w:rsidR="00DB7262">
        <w:t>c area of its combined markets</w:t>
      </w:r>
      <w:r w:rsidR="00765460">
        <w:t>—a significant portion of its required interim construction.  Moreo</w:t>
      </w:r>
      <w:r w:rsidRPr="00150D4F" w:rsidR="00150D4F">
        <w:t xml:space="preserve">ver, upon being notified of the issues with its </w:t>
      </w:r>
      <w:r w:rsidRPr="00150D4F" w:rsidR="00150D4F">
        <w:t>Nekoma</w:t>
      </w:r>
      <w:r w:rsidRPr="00150D4F" w:rsidR="00150D4F">
        <w:t xml:space="preserve"> and Hunter </w:t>
      </w:r>
      <w:r w:rsidR="00765460">
        <w:t>sites</w:t>
      </w:r>
      <w:r w:rsidRPr="00150D4F" w:rsidR="00150D4F">
        <w:t xml:space="preserve">, Polar </w:t>
      </w:r>
      <w:r w:rsidR="001407A9">
        <w:t>immediately</w:t>
      </w:r>
      <w:r w:rsidR="00412582">
        <w:t xml:space="preserve"> </w:t>
      </w:r>
      <w:r w:rsidR="00BB3AA8">
        <w:t xml:space="preserve">acted </w:t>
      </w:r>
      <w:r w:rsidR="00412582">
        <w:t>to</w:t>
      </w:r>
      <w:r w:rsidRPr="00150D4F" w:rsidR="00150D4F">
        <w:t xml:space="preserve"> resolve the </w:t>
      </w:r>
      <w:r w:rsidR="00412582">
        <w:t>issues</w:t>
      </w:r>
      <w:r w:rsidRPr="00150D4F" w:rsidR="00150D4F">
        <w:t xml:space="preserve"> </w:t>
      </w:r>
      <w:r w:rsidR="001407A9">
        <w:t xml:space="preserve">with respect to these locations </w:t>
      </w:r>
      <w:r w:rsidRPr="00150D4F" w:rsidR="00150D4F">
        <w:t>by entering into a spectrum leasing arrangement with AT&amp;T</w:t>
      </w:r>
      <w:r w:rsidR="001407A9">
        <w:t xml:space="preserve"> to bring itself into compliance</w:t>
      </w:r>
      <w:r w:rsidR="00412582">
        <w:t>.</w:t>
      </w:r>
      <w:r w:rsidRPr="00150D4F" w:rsidR="00150D4F">
        <w:t xml:space="preserve"> </w:t>
      </w:r>
      <w:r w:rsidR="00412582">
        <w:t xml:space="preserve"> </w:t>
      </w:r>
      <w:r w:rsidR="00765460">
        <w:t xml:space="preserve">It is apparent </w:t>
      </w:r>
      <w:r w:rsidR="00D0258A">
        <w:t xml:space="preserve">from its actions </w:t>
      </w:r>
      <w:r w:rsidR="00765460">
        <w:t xml:space="preserve">that Polar </w:t>
      </w:r>
      <w:r w:rsidR="00415BF5">
        <w:t xml:space="preserve">diligently </w:t>
      </w:r>
      <w:r w:rsidR="001E6156">
        <w:t>sought to deploy a</w:t>
      </w:r>
      <w:r w:rsidR="00D0258A">
        <w:t>n advanced</w:t>
      </w:r>
      <w:r w:rsidR="001E6156">
        <w:t xml:space="preserve"> wireless network and was not attempting to avoid its construction obligations </w:t>
      </w:r>
      <w:r w:rsidR="00861E40">
        <w:t>or</w:t>
      </w:r>
      <w:r w:rsidR="001E6156">
        <w:t xml:space="preserve"> warehouse spectrum.</w:t>
      </w:r>
      <w:r w:rsidR="009D0D28">
        <w:t xml:space="preserve">  We </w:t>
      </w:r>
      <w:r w:rsidR="00861E40">
        <w:t xml:space="preserve">therefore </w:t>
      </w:r>
      <w:r w:rsidR="009D0D28">
        <w:t xml:space="preserve">find that strict application of the December 13, 2016, deadline would not serve the </w:t>
      </w:r>
      <w:r w:rsidR="009D0D28">
        <w:t>underlying purpose</w:t>
      </w:r>
      <w:r w:rsidR="009D0D28">
        <w:t xml:space="preserve"> of </w:t>
      </w:r>
      <w:r w:rsidRPr="00B55DDE" w:rsidR="009D0D28">
        <w:t>Section 27.14(g)(1</w:t>
      </w:r>
      <w:r w:rsidR="009D0D28">
        <w:t>) where Polar has sought to comply with coverage requirements.</w:t>
      </w:r>
    </w:p>
    <w:p w:rsidR="00A803A0" w:rsidP="00A803A0">
      <w:pPr>
        <w:ind w:firstLine="720"/>
      </w:pPr>
    </w:p>
    <w:p w:rsidR="00B14BE0" w:rsidP="009D0D28">
      <w:pPr>
        <w:spacing w:after="120"/>
        <w:ind w:firstLine="720"/>
      </w:pPr>
      <w:r>
        <w:t>Additionally</w:t>
      </w:r>
      <w:r w:rsidRPr="00A803A0" w:rsidR="00A803A0">
        <w:t xml:space="preserve">, we find that other factors, such as the </w:t>
      </w:r>
      <w:r w:rsidRPr="005A40B1" w:rsidR="00A803A0">
        <w:t xml:space="preserve">rural nature of </w:t>
      </w:r>
      <w:r w:rsidRPr="005A40B1" w:rsidR="00A803A0">
        <w:t>Polar’s</w:t>
      </w:r>
      <w:r w:rsidRPr="005A40B1" w:rsidR="00A803A0">
        <w:t xml:space="preserve"> licensed areas as well as the limited scope of its requested relief, </w:t>
      </w:r>
      <w:r w:rsidRPr="005A40B1" w:rsidR="00D51739">
        <w:t xml:space="preserve">provide additional </w:t>
      </w:r>
      <w:r w:rsidRPr="005A40B1" w:rsidR="00A803A0">
        <w:t>support</w:t>
      </w:r>
      <w:r w:rsidRPr="005A40B1" w:rsidR="00D51739">
        <w:t xml:space="preserve"> for</w:t>
      </w:r>
      <w:r w:rsidRPr="005A40B1" w:rsidR="00A803A0">
        <w:t xml:space="preserve"> waiver in this instance.  As noted, the Commission sought to promote rural service coverage in adopting the construction requirements for the 700 MHz Band.</w:t>
      </w:r>
      <w:r>
        <w:rPr>
          <w:rStyle w:val="FootnoteReference"/>
        </w:rPr>
        <w:footnoteReference w:id="32"/>
      </w:r>
      <w:r w:rsidRPr="005A40B1" w:rsidR="00A803A0">
        <w:t xml:space="preserve"> </w:t>
      </w:r>
      <w:r w:rsidRPr="005A40B1">
        <w:t xml:space="preserve"> </w:t>
      </w:r>
      <w:r w:rsidRPr="005A40B1" w:rsidR="00095388">
        <w:t>Polar argues that the area covered by its licenses are extremely rural and difficult to serve, with a population density of 2.3 people per square mile.</w:t>
      </w:r>
      <w:r>
        <w:rPr>
          <w:rStyle w:val="FootnoteReference"/>
        </w:rPr>
        <w:footnoteReference w:id="33"/>
      </w:r>
      <w:r w:rsidRPr="005A40B1" w:rsidR="009D0D28">
        <w:t xml:space="preserve">  Our own review reveals that none of the underlying</w:t>
      </w:r>
      <w:r w:rsidRPr="005A40B1" w:rsidR="00095388">
        <w:t xml:space="preserve"> counties have a population density greater than 9.4 people per square mile, which falls well within the Commission’s definition of a “rural” county as one with a population density of 100 persons per square mile or less.</w:t>
      </w:r>
      <w:r>
        <w:rPr>
          <w:rStyle w:val="FootnoteReference"/>
        </w:rPr>
        <w:footnoteReference w:id="34"/>
      </w:r>
      <w:r w:rsidRPr="005A40B1" w:rsidR="00095388">
        <w:t xml:space="preserve">  Consistent with </w:t>
      </w:r>
      <w:r w:rsidR="00415BF5">
        <w:t xml:space="preserve">the directive of </w:t>
      </w:r>
      <w:r w:rsidRPr="005A40B1" w:rsidR="00095388">
        <w:t xml:space="preserve">Section 309 of the </w:t>
      </w:r>
      <w:r w:rsidRPr="005A40B1" w:rsidR="009D0D28">
        <w:t xml:space="preserve">Communications </w:t>
      </w:r>
      <w:r w:rsidRPr="005A40B1" w:rsidR="00095388">
        <w:t>Act to promote the deployment of wireless services to rural communities,</w:t>
      </w:r>
      <w:r>
        <w:rPr>
          <w:rStyle w:val="FootnoteReference"/>
        </w:rPr>
        <w:footnoteReference w:id="35"/>
      </w:r>
      <w:r w:rsidRPr="005A40B1" w:rsidR="00095388">
        <w:t xml:space="preserve"> we find that</w:t>
      </w:r>
      <w:r w:rsidRPr="00095388" w:rsidR="00095388">
        <w:t xml:space="preserve"> </w:t>
      </w:r>
      <w:r w:rsidR="009D0D28">
        <w:t>grant of the requested relief</w:t>
      </w:r>
      <w:r w:rsidRPr="00095388" w:rsidR="00095388">
        <w:t xml:space="preserve"> w</w:t>
      </w:r>
      <w:r w:rsidR="00095388">
        <w:t xml:space="preserve">ill </w:t>
      </w:r>
      <w:r w:rsidR="009D0D28">
        <w:t>facilitate the continued access and deployment in this rural area without undermining the Commission’s goal of prompt and efficient provision of service.</w:t>
      </w:r>
    </w:p>
    <w:p w:rsidR="009D0D28" w:rsidRPr="009D0D28" w:rsidP="009D0D28">
      <w:pPr>
        <w:spacing w:after="120"/>
        <w:ind w:firstLine="720"/>
      </w:pPr>
      <w:r w:rsidRPr="00A803A0">
        <w:t xml:space="preserve">We also </w:t>
      </w:r>
      <w:r w:rsidR="00415BF5">
        <w:t xml:space="preserve">note the limited nature of its waiver request: </w:t>
      </w:r>
      <w:r w:rsidRPr="00A803A0">
        <w:t xml:space="preserve">its </w:t>
      </w:r>
      <w:r>
        <w:t>requested</w:t>
      </w:r>
      <w:r w:rsidRPr="00A803A0">
        <w:t xml:space="preserve"> relief is</w:t>
      </w:r>
      <w:r w:rsidR="00E60E1A">
        <w:t xml:space="preserve"> just</w:t>
      </w:r>
      <w:r w:rsidRPr="00A803A0">
        <w:t xml:space="preserve"> slightly longer than two months in duration.  Polar has requested additional time only to the extent necessary to perfect it</w:t>
      </w:r>
      <w:r w:rsidR="00B14BE0">
        <w:t>s spectrum leasing</w:t>
      </w:r>
      <w:r w:rsidRPr="00A803A0">
        <w:t xml:space="preserve"> agreement; it does not seek time to perform additional construction as the </w:t>
      </w:r>
      <w:r>
        <w:t xml:space="preserve">coverage of its combined 700 MHz B Block license areas—including the coverage </w:t>
      </w:r>
      <w:r w:rsidR="006815E8">
        <w:t>being provided</w:t>
      </w:r>
      <w:r>
        <w:t xml:space="preserve"> from the </w:t>
      </w:r>
      <w:r>
        <w:t>Nekoma</w:t>
      </w:r>
      <w:r>
        <w:t xml:space="preserve"> and Hunter sites—</w:t>
      </w:r>
      <w:r w:rsidR="00B14BE0">
        <w:t xml:space="preserve">already </w:t>
      </w:r>
      <w:r w:rsidR="006815E8">
        <w:t xml:space="preserve">exceeds the level required to meet </w:t>
      </w:r>
      <w:r w:rsidRPr="009D0D28" w:rsidR="006815E8">
        <w:t xml:space="preserve">the Interim Construction </w:t>
      </w:r>
      <w:r>
        <w:t>R</w:t>
      </w:r>
      <w:r w:rsidRPr="009D0D28" w:rsidR="006815E8">
        <w:t>equirement.</w:t>
      </w:r>
    </w:p>
    <w:p w:rsidR="005338A7" w:rsidRPr="009D0D28" w:rsidP="009D0D28">
      <w:pPr>
        <w:spacing w:after="120"/>
        <w:ind w:firstLine="720"/>
      </w:pPr>
      <w:r w:rsidRPr="009D0D28">
        <w:t>W</w:t>
      </w:r>
      <w:r w:rsidR="009D0D28">
        <w:t>hile w</w:t>
      </w:r>
      <w:r w:rsidRPr="009D0D28">
        <w:t>e find that the meaningful public benefit</w:t>
      </w:r>
      <w:r w:rsidR="00415BF5">
        <w:t>s</w:t>
      </w:r>
      <w:r w:rsidRPr="009D0D28">
        <w:t xml:space="preserve"> to be derived from continued service to rural areas, as well as the limited duration of the waiver </w:t>
      </w:r>
      <w:r w:rsidR="009D0D28">
        <w:t xml:space="preserve">are factors that </w:t>
      </w:r>
      <w:r w:rsidRPr="009D0D28">
        <w:t>weigh in favor of providing relief</w:t>
      </w:r>
      <w:r w:rsidR="009D0D28">
        <w:t>, w</w:t>
      </w:r>
      <w:r w:rsidRPr="009D0D28">
        <w:t>e reject other arguments made by Polar in support of its request</w:t>
      </w:r>
      <w:r w:rsidR="003C768D">
        <w:t>—</w:t>
      </w:r>
      <w:r w:rsidR="009D0D28">
        <w:t>namely</w:t>
      </w:r>
      <w:r w:rsidRPr="009D0D28" w:rsidR="002D514C">
        <w:t xml:space="preserve"> </w:t>
      </w:r>
      <w:r w:rsidRPr="009D0D28" w:rsidR="002D514C">
        <w:t>Polar’s</w:t>
      </w:r>
      <w:r w:rsidRPr="009D0D28" w:rsidR="002D514C">
        <w:t xml:space="preserve"> </w:t>
      </w:r>
      <w:r w:rsidR="009D0D28">
        <w:t>suggestion</w:t>
      </w:r>
      <w:r w:rsidRPr="009D0D28" w:rsidR="002D514C">
        <w:t xml:space="preserve"> that an </w:t>
      </w:r>
      <w:r w:rsidRPr="009D0D28" w:rsidR="00DC113E">
        <w:t xml:space="preserve">existing </w:t>
      </w:r>
      <w:r w:rsidRPr="009D0D28" w:rsidR="002D514C">
        <w:t>agreement to assign its license</w:t>
      </w:r>
      <w:r w:rsidRPr="009D0D28" w:rsidR="00F91CB5">
        <w:t xml:space="preserve">s </w:t>
      </w:r>
      <w:r w:rsidRPr="009D0D28" w:rsidR="00DC113E">
        <w:t xml:space="preserve">to AT&amp;T </w:t>
      </w:r>
      <w:r w:rsidRPr="009D0D28" w:rsidR="00F91CB5">
        <w:t>provides</w:t>
      </w:r>
      <w:r w:rsidR="009D0D28">
        <w:t>, by itself,</w:t>
      </w:r>
      <w:r w:rsidRPr="009D0D28" w:rsidR="00F91CB5">
        <w:t xml:space="preserve"> a basis for relief in this case.</w:t>
      </w:r>
      <w:r>
        <w:rPr>
          <w:rStyle w:val="FootnoteReference"/>
        </w:rPr>
        <w:footnoteReference w:id="36"/>
      </w:r>
      <w:r w:rsidRPr="009D0D28" w:rsidR="00F91CB5">
        <w:t xml:space="preserve"> </w:t>
      </w:r>
      <w:r w:rsidRPr="009D0D28" w:rsidR="002D514C">
        <w:t xml:space="preserve"> </w:t>
      </w:r>
      <w:r w:rsidRPr="009D0D28" w:rsidR="00927EA6">
        <w:t xml:space="preserve">While Polar states that the transaction will result in substantial public interest benefits, it provides no specific information in its Waiver Request as to the benefits that </w:t>
      </w:r>
      <w:r w:rsidRPr="009D0D28" w:rsidR="0071027A">
        <w:t>will accrue</w:t>
      </w:r>
      <w:r w:rsidRPr="009D0D28">
        <w:t xml:space="preserve"> </w:t>
      </w:r>
      <w:r w:rsidRPr="009D0D28" w:rsidR="0071027A">
        <w:t>to consumers in the license areas</w:t>
      </w:r>
      <w:r w:rsidRPr="009D0D28" w:rsidR="009D0D28">
        <w:t xml:space="preserve"> as a result of that transaction, or how the transaction will ensure the deployment of broadband services to these license areas.</w:t>
      </w:r>
      <w:r w:rsidR="009D0D28">
        <w:tab/>
      </w:r>
    </w:p>
    <w:p w:rsidR="00174B9E" w:rsidP="007F3EBB">
      <w:pPr>
        <w:ind w:firstLine="720"/>
      </w:pPr>
      <w:r w:rsidRPr="005F3701">
        <w:t xml:space="preserve">Accordingly, </w:t>
      </w:r>
      <w:r w:rsidR="005338A7">
        <w:t>based on the totality of factors</w:t>
      </w:r>
      <w:r w:rsidRPr="005F3701">
        <w:t xml:space="preserve">, we find that the </w:t>
      </w:r>
      <w:r w:rsidRPr="005F3701">
        <w:t>underlying purpose</w:t>
      </w:r>
      <w:r w:rsidRPr="005F3701">
        <w:t xml:space="preserve"> of Section 27.14(g) would not be served by strict application of the December 13, 2016 deadline, and that waiver of Section 27.14(g) to provide Polar additional time to meet its interim 35 percent geographic coverage requirement</w:t>
      </w:r>
      <w:r w:rsidR="009D0D28">
        <w:t xml:space="preserve"> is in the public interest</w:t>
      </w:r>
      <w:r w:rsidRPr="005F3701">
        <w:t>.</w:t>
      </w:r>
      <w:r w:rsidR="007F3EBB">
        <w:t xml:space="preserve">  We hereby grant </w:t>
      </w:r>
      <w:r w:rsidR="007F3EBB">
        <w:t>Polar’s</w:t>
      </w:r>
      <w:r w:rsidR="007F3EBB">
        <w:t xml:space="preserve"> request to waive its Section 27.14(g) interim construction deadline until February 27, 2017.  </w:t>
      </w:r>
      <w:r w:rsidRPr="00F82883" w:rsidR="00F82883">
        <w:t>Because we waive Section 27.14(g) to grant Polar additional time</w:t>
      </w:r>
      <w:r w:rsidR="00536800">
        <w:t xml:space="preserve"> pursuant to Section 1.925(b)(3)(</w:t>
      </w:r>
      <w:r w:rsidR="00536800">
        <w:t>i</w:t>
      </w:r>
      <w:r w:rsidR="00536800">
        <w:t>)</w:t>
      </w:r>
      <w:r w:rsidRPr="00F82883" w:rsidR="00F82883">
        <w:t xml:space="preserve">, we need not address the alternative forms of relief </w:t>
      </w:r>
      <w:r w:rsidR="00536800">
        <w:t>proposed by Polar</w:t>
      </w:r>
      <w:r w:rsidR="00F82883">
        <w:t xml:space="preserve">, and hereby dismiss them </w:t>
      </w:r>
      <w:r w:rsidR="007F3EBB">
        <w:t>as moot.</w:t>
      </w:r>
    </w:p>
    <w:p w:rsidR="004C6EBB" w:rsidP="00174B9E"/>
    <w:p w:rsidR="00536800" w:rsidP="00BC6BFB">
      <w:pPr>
        <w:ind w:firstLine="720"/>
      </w:pPr>
      <w:r w:rsidRPr="00633543">
        <w:t>Accordingly, IT IS ORDERED that, pursuant to Section 4(</w:t>
      </w:r>
      <w:r w:rsidRPr="00633543">
        <w:t>i</w:t>
      </w:r>
      <w:r w:rsidRPr="00633543">
        <w:t>) of the Communications Act, as amended, 47 U.S.C. § 154(</w:t>
      </w:r>
      <w:r w:rsidRPr="00633543">
        <w:t>i</w:t>
      </w:r>
      <w:r w:rsidRPr="00633543">
        <w:t>), and Section</w:t>
      </w:r>
      <w:r w:rsidR="00B06079">
        <w:t>s</w:t>
      </w:r>
      <w:r w:rsidRPr="00633543">
        <w:t xml:space="preserve"> 1.925(b)(3)</w:t>
      </w:r>
      <w:r w:rsidR="00F82883">
        <w:t>(</w:t>
      </w:r>
      <w:r w:rsidR="00F82883">
        <w:t>i</w:t>
      </w:r>
      <w:r w:rsidR="00F82883">
        <w:t>)</w:t>
      </w:r>
      <w:r w:rsidR="00BC6BFB">
        <w:t xml:space="preserve">, </w:t>
      </w:r>
      <w:r w:rsidR="00F82883">
        <w:t xml:space="preserve">and </w:t>
      </w:r>
      <w:r w:rsidRPr="00633543" w:rsidR="00F82883">
        <w:t>27.14(g</w:t>
      </w:r>
      <w:r w:rsidR="00F82883">
        <w:t xml:space="preserve">) </w:t>
      </w:r>
      <w:r w:rsidRPr="00633543">
        <w:t>of the Commission’s rules, 47 CFR §</w:t>
      </w:r>
      <w:r w:rsidR="00F82883">
        <w:t>§</w:t>
      </w:r>
      <w:r w:rsidRPr="00633543">
        <w:t xml:space="preserve"> 1.925(b)(3)</w:t>
      </w:r>
      <w:r w:rsidR="00F82883">
        <w:t>(</w:t>
      </w:r>
      <w:r w:rsidR="00F82883">
        <w:t>i</w:t>
      </w:r>
      <w:r w:rsidR="00F82883">
        <w:t>)</w:t>
      </w:r>
      <w:r w:rsidRPr="00633543">
        <w:t xml:space="preserve">, </w:t>
      </w:r>
      <w:r w:rsidRPr="00633543" w:rsidR="00F82883">
        <w:t>27.14(g</w:t>
      </w:r>
      <w:r w:rsidR="00F82883">
        <w:t>)</w:t>
      </w:r>
      <w:r w:rsidR="00692027">
        <w:t xml:space="preserve">, </w:t>
      </w:r>
      <w:r w:rsidR="00BC6BFB">
        <w:t xml:space="preserve">the </w:t>
      </w:r>
      <w:r w:rsidRPr="00692027" w:rsidR="00692027">
        <w:t>Request for Waiver and Extension of Time</w:t>
      </w:r>
      <w:r w:rsidR="00BC6BFB">
        <w:t xml:space="preserve"> – </w:t>
      </w:r>
      <w:r w:rsidR="00692027">
        <w:t>47 CFR §</w:t>
      </w:r>
      <w:r w:rsidRPr="00692027" w:rsidR="00692027">
        <w:t xml:space="preserve"> 27.14(g), </w:t>
      </w:r>
      <w:r w:rsidR="00BC6BFB">
        <w:t>filed on April 28, 2017</w:t>
      </w:r>
      <w:r w:rsidR="00787E18">
        <w:t xml:space="preserve">, by </w:t>
      </w:r>
      <w:r w:rsidRPr="00692027" w:rsidR="00787E18">
        <w:t>Polar Communications Mutual Aid Corporation</w:t>
      </w:r>
      <w:r w:rsidR="00BC6BFB">
        <w:t xml:space="preserve">, </w:t>
      </w:r>
      <w:r w:rsidRPr="00692027" w:rsidR="00692027">
        <w:t>ULS File Nos. 0007755967 and 0007755965</w:t>
      </w:r>
      <w:r w:rsidR="00692027">
        <w:t>, IS GRANTED, to the extent provided herein</w:t>
      </w:r>
      <w:r w:rsidR="00F32572">
        <w:t>.</w:t>
      </w:r>
      <w:r w:rsidR="00B06079">
        <w:t xml:space="preserve"> </w:t>
      </w:r>
    </w:p>
    <w:p w:rsidR="00536800" w:rsidP="00BC6BFB">
      <w:pPr>
        <w:ind w:firstLine="720"/>
      </w:pPr>
    </w:p>
    <w:p w:rsidR="00F82883" w:rsidP="00BC6BFB">
      <w:pPr>
        <w:ind w:firstLine="720"/>
      </w:pPr>
      <w:r>
        <w:t xml:space="preserve">IT IS FURTHER ORDERED that, </w:t>
      </w:r>
      <w:r w:rsidRPr="00633543">
        <w:t>pursuant to Section 4(</w:t>
      </w:r>
      <w:r w:rsidRPr="00633543">
        <w:t>i</w:t>
      </w:r>
      <w:r w:rsidRPr="00633543">
        <w:t>) of the Communications Act, as amended, 47 U.S.C. § 154(</w:t>
      </w:r>
      <w:r w:rsidRPr="00633543">
        <w:t>i</w:t>
      </w:r>
      <w:r w:rsidRPr="00633543">
        <w:t>), and Section</w:t>
      </w:r>
      <w:r>
        <w:t>s</w:t>
      </w:r>
      <w:r w:rsidRPr="00633543">
        <w:t xml:space="preserve"> 1.925(b)(3)</w:t>
      </w:r>
      <w:r>
        <w:t>(</w:t>
      </w:r>
      <w:r>
        <w:t>i</w:t>
      </w:r>
      <w:r>
        <w:t>), 1.946(e),</w:t>
      </w:r>
      <w:r w:rsidRPr="00633543">
        <w:t xml:space="preserve"> </w:t>
      </w:r>
      <w:r>
        <w:t xml:space="preserve">and </w:t>
      </w:r>
      <w:r w:rsidRPr="00633543">
        <w:t>27.14(g</w:t>
      </w:r>
      <w:r>
        <w:t xml:space="preserve">) </w:t>
      </w:r>
      <w:r w:rsidRPr="00633543">
        <w:t>of the Commission’s rules, 47 CFR §</w:t>
      </w:r>
      <w:r>
        <w:t>§</w:t>
      </w:r>
      <w:r w:rsidRPr="00633543">
        <w:t xml:space="preserve"> 1.925(b)(3)</w:t>
      </w:r>
      <w:r>
        <w:t>(</w:t>
      </w:r>
      <w:r>
        <w:t>i</w:t>
      </w:r>
      <w:r>
        <w:t>)</w:t>
      </w:r>
      <w:r w:rsidRPr="00633543">
        <w:t xml:space="preserve">, </w:t>
      </w:r>
      <w:r>
        <w:t xml:space="preserve">1.946(e), </w:t>
      </w:r>
      <w:r w:rsidRPr="00633543">
        <w:t>27.14(g</w:t>
      </w:r>
      <w:r>
        <w:t>), a</w:t>
      </w:r>
      <w:r w:rsidR="00B06079">
        <w:t>lternative requests for relief of the December 16, 2016, Interim Construction Requirement</w:t>
      </w:r>
      <w:r w:rsidR="00F32572">
        <w:t xml:space="preserve">, including requests raised in </w:t>
      </w:r>
      <w:r>
        <w:t xml:space="preserve">the Explanation and Request for Waiver re Timing of Filing – Request for Waiver and Extensions of Time – 47 CFR 1.946(e), filed on April 28, 2017, by </w:t>
      </w:r>
      <w:r w:rsidRPr="00692027">
        <w:t>Polar Communications Mutual Aid Corporation</w:t>
      </w:r>
      <w:r>
        <w:t xml:space="preserve">, </w:t>
      </w:r>
      <w:r w:rsidRPr="00692027">
        <w:t>ULS File Nos. 0007755967 and 0007755965</w:t>
      </w:r>
      <w:r>
        <w:t>,</w:t>
      </w:r>
      <w:r w:rsidR="00F32572">
        <w:t xml:space="preserve"> </w:t>
      </w:r>
      <w:r w:rsidR="00B06079">
        <w:t>are DISMISSED as moot.</w:t>
      </w:r>
    </w:p>
    <w:p w:rsidR="00F82883" w:rsidP="003879EF">
      <w:pPr>
        <w:ind w:firstLine="720"/>
      </w:pPr>
    </w:p>
    <w:p w:rsidR="003879EF" w:rsidP="00BC6BFB">
      <w:pPr>
        <w:ind w:firstLine="720"/>
      </w:pPr>
      <w:r>
        <w:t xml:space="preserve">IT IS FURTHER ORDERED that, </w:t>
      </w:r>
      <w:r w:rsidRPr="00633543">
        <w:t>pursuant to Section 4(</w:t>
      </w:r>
      <w:r w:rsidRPr="00633543">
        <w:t>i</w:t>
      </w:r>
      <w:r w:rsidRPr="00633543">
        <w:t>) of the Communications Act, as amended, 47 U.S.C. § 154(</w:t>
      </w:r>
      <w:r w:rsidRPr="00633543">
        <w:t>i</w:t>
      </w:r>
      <w:r w:rsidRPr="00633543">
        <w:t>), and Section</w:t>
      </w:r>
      <w:r>
        <w:t>s</w:t>
      </w:r>
      <w:r w:rsidRPr="00633543">
        <w:t xml:space="preserve"> 1.925(b)(3)</w:t>
      </w:r>
      <w:r>
        <w:t>(</w:t>
      </w:r>
      <w:r>
        <w:t>i</w:t>
      </w:r>
      <w:r>
        <w:t>), 1.946(e),</w:t>
      </w:r>
      <w:r w:rsidRPr="00633543">
        <w:t xml:space="preserve"> </w:t>
      </w:r>
      <w:r>
        <w:t xml:space="preserve">and </w:t>
      </w:r>
      <w:r w:rsidRPr="00633543">
        <w:t>27.14(g</w:t>
      </w:r>
      <w:r>
        <w:t xml:space="preserve">)(1) </w:t>
      </w:r>
      <w:r w:rsidRPr="00633543">
        <w:t>of the Commission’s rules, 47 CFR §</w:t>
      </w:r>
      <w:r>
        <w:t>§</w:t>
      </w:r>
      <w:r w:rsidRPr="00633543">
        <w:t xml:space="preserve"> 1.925(b)(3)</w:t>
      </w:r>
      <w:r>
        <w:t>(</w:t>
      </w:r>
      <w:r>
        <w:t>i</w:t>
      </w:r>
      <w:r>
        <w:t>)</w:t>
      </w:r>
      <w:r w:rsidRPr="00633543">
        <w:t xml:space="preserve">, </w:t>
      </w:r>
      <w:r>
        <w:t xml:space="preserve">1.946(e), </w:t>
      </w:r>
      <w:r w:rsidRPr="00633543">
        <w:t>27.14(g</w:t>
      </w:r>
      <w:r>
        <w:t xml:space="preserve">)(1), </w:t>
      </w:r>
      <w:r w:rsidR="00787E18">
        <w:t>the</w:t>
      </w:r>
      <w:r>
        <w:t xml:space="preserve"> </w:t>
      </w:r>
      <w:r w:rsidRPr="00692027">
        <w:t xml:space="preserve">Request for </w:t>
      </w:r>
      <w:r w:rsidR="00BC6BFB">
        <w:t>Modification of License Term</w:t>
      </w:r>
      <w:r w:rsidRPr="00692027">
        <w:t xml:space="preserve"> and Extension of Time</w:t>
      </w:r>
      <w:r w:rsidR="00BC6BFB">
        <w:t xml:space="preserve"> – </w:t>
      </w:r>
      <w:r>
        <w:t>47 CFR §</w:t>
      </w:r>
      <w:r w:rsidR="00BC6BFB">
        <w:t xml:space="preserve"> 1.925 &amp; 1.946(e)</w:t>
      </w:r>
      <w:r w:rsidR="00787E18">
        <w:t>,</w:t>
      </w:r>
      <w:r w:rsidRPr="00692027">
        <w:t xml:space="preserve"> </w:t>
      </w:r>
      <w:r w:rsidRPr="00633543">
        <w:t xml:space="preserve">filed </w:t>
      </w:r>
      <w:r w:rsidR="00787E18">
        <w:t xml:space="preserve">on </w:t>
      </w:r>
      <w:r>
        <w:t>June 7, 2017</w:t>
      </w:r>
      <w:r w:rsidRPr="00633543">
        <w:t xml:space="preserve">, by </w:t>
      </w:r>
      <w:r>
        <w:t>Polar Communications Mutual Aid Corporation</w:t>
      </w:r>
      <w:r w:rsidRPr="00633543">
        <w:t>,</w:t>
      </w:r>
      <w:r w:rsidR="00F82883">
        <w:t xml:space="preserve"> </w:t>
      </w:r>
      <w:r w:rsidRPr="00633543">
        <w:t>ULS File No</w:t>
      </w:r>
      <w:r>
        <w:t>s</w:t>
      </w:r>
      <w:r w:rsidRPr="00633543">
        <w:t xml:space="preserve">. </w:t>
      </w:r>
      <w:r w:rsidR="0018124D">
        <w:t>0007803163</w:t>
      </w:r>
      <w:r>
        <w:t xml:space="preserve"> and </w:t>
      </w:r>
      <w:r w:rsidR="00861E43">
        <w:t>0007803092</w:t>
      </w:r>
      <w:r w:rsidRPr="00633543">
        <w:t xml:space="preserve">, </w:t>
      </w:r>
      <w:r w:rsidR="00787E18">
        <w:t>IS</w:t>
      </w:r>
      <w:r w:rsidRPr="00633543">
        <w:t xml:space="preserve"> </w:t>
      </w:r>
      <w:r w:rsidR="00787E18">
        <w:t>DISMISSED as moot</w:t>
      </w:r>
      <w:r w:rsidR="001F2385">
        <w:t>.</w:t>
      </w:r>
    </w:p>
    <w:p w:rsidR="001F2385"/>
    <w:p w:rsidR="001F2385" w:rsidP="00787E18">
      <w:pPr>
        <w:ind w:firstLine="720"/>
      </w:pPr>
      <w:r>
        <w:t>These actions are taken under delegated authority pursuant to Section 0.131 and 0.331 of the Commission’s rules, 47 CFR §§ 0.131, 0.331.</w:t>
      </w:r>
    </w:p>
    <w:p w:rsidR="001F2385"/>
    <w:p w:rsidR="001F2385" w:rsidP="00787E18">
      <w:pPr>
        <w:ind w:left="5040"/>
      </w:pPr>
      <w:r>
        <w:t>Sincerely</w:t>
      </w:r>
      <w:r w:rsidR="00787E18">
        <w:t>,</w:t>
      </w:r>
    </w:p>
    <w:p w:rsidR="001F2385" w:rsidP="00787E18">
      <w:pPr>
        <w:ind w:left="5040"/>
      </w:pPr>
    </w:p>
    <w:p w:rsidR="001F2385" w:rsidP="00787E18">
      <w:pPr>
        <w:ind w:left="5040"/>
      </w:pPr>
    </w:p>
    <w:p w:rsidR="001F2385" w:rsidP="00787E18">
      <w:pPr>
        <w:ind w:left="5040"/>
      </w:pPr>
    </w:p>
    <w:p w:rsidR="001F2385" w:rsidP="00787E18">
      <w:pPr>
        <w:ind w:left="5040"/>
      </w:pPr>
      <w:r>
        <w:t>Roger S. Noel</w:t>
      </w:r>
    </w:p>
    <w:p w:rsidR="001F2385" w:rsidP="00787E18">
      <w:pPr>
        <w:ind w:left="5040"/>
      </w:pPr>
      <w:r>
        <w:t>Chief, Mobility Division</w:t>
      </w:r>
    </w:p>
    <w:p w:rsidR="001F2385" w:rsidP="00787E18">
      <w:pPr>
        <w:ind w:left="5040"/>
      </w:pPr>
      <w:r>
        <w:t>Wireless Telecommunications Bureau</w:t>
      </w:r>
    </w:p>
    <w:sectPr w:rsidSect="000A559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4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40B1" w:rsidP="00174B9E">
      <w:r>
        <w:separator/>
      </w:r>
    </w:p>
  </w:footnote>
  <w:footnote w:type="continuationSeparator" w:id="1">
    <w:p w:rsidR="005A40B1" w:rsidP="00174B9E">
      <w:r>
        <w:continuationSeparator/>
      </w:r>
    </w:p>
  </w:footnote>
  <w:footnote w:id="2">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47 CFR § 27.14(g).  </w:t>
      </w:r>
    </w:p>
  </w:footnote>
  <w:footnote w:id="3">
    <w:p w:rsidR="005A40B1" w:rsidRPr="00DD6CF3" w:rsidP="009D0D28">
      <w:pPr>
        <w:pStyle w:val="FootnoteText"/>
        <w:spacing w:after="120"/>
        <w:rPr>
          <w:i/>
          <w:sz w:val="20"/>
          <w:szCs w:val="20"/>
        </w:rPr>
      </w:pPr>
      <w:r w:rsidRPr="009D0D28">
        <w:rPr>
          <w:rStyle w:val="FootnoteReference"/>
          <w:sz w:val="20"/>
          <w:szCs w:val="20"/>
        </w:rPr>
        <w:footnoteRef/>
      </w:r>
      <w:r w:rsidRPr="009D0D28">
        <w:rPr>
          <w:sz w:val="20"/>
          <w:szCs w:val="20"/>
        </w:rPr>
        <w:t xml:space="preserve"> </w:t>
      </w:r>
      <w:r w:rsidRPr="00787E18">
        <w:rPr>
          <w:sz w:val="20"/>
          <w:szCs w:val="20"/>
        </w:rPr>
        <w:t>Polar Communications Mutual Aid Corporation</w:t>
      </w:r>
      <w:r>
        <w:rPr>
          <w:sz w:val="20"/>
          <w:szCs w:val="20"/>
        </w:rPr>
        <w:t xml:space="preserve">, </w:t>
      </w:r>
      <w:r w:rsidRPr="009D0D28">
        <w:rPr>
          <w:sz w:val="20"/>
          <w:szCs w:val="20"/>
        </w:rPr>
        <w:t>Request for Waiver an</w:t>
      </w:r>
      <w:r>
        <w:rPr>
          <w:sz w:val="20"/>
          <w:szCs w:val="20"/>
        </w:rPr>
        <w:t>d Extension of Time –</w:t>
      </w:r>
      <w:r w:rsidR="00DD6CF3">
        <w:rPr>
          <w:sz w:val="20"/>
          <w:szCs w:val="20"/>
        </w:rPr>
        <w:t xml:space="preserve"> 47 CFR § 27.14(g),</w:t>
      </w:r>
      <w:r>
        <w:rPr>
          <w:sz w:val="20"/>
          <w:szCs w:val="20"/>
        </w:rPr>
        <w:t xml:space="preserve"> </w:t>
      </w:r>
      <w:r w:rsidRPr="009D0D28">
        <w:rPr>
          <w:sz w:val="20"/>
          <w:szCs w:val="20"/>
        </w:rPr>
        <w:t>ULS File Nos. 0007755967 and 0007755965 (filed Apr. 28, 2017) (</w:t>
      </w:r>
      <w:r w:rsidR="00F32572">
        <w:rPr>
          <w:sz w:val="20"/>
          <w:szCs w:val="20"/>
        </w:rPr>
        <w:t xml:space="preserve">Waiver Request).  Polar also submitted separate requests for alternative relief.  </w:t>
      </w:r>
      <w:r w:rsidR="00F32572">
        <w:rPr>
          <w:i/>
          <w:sz w:val="20"/>
          <w:szCs w:val="20"/>
        </w:rPr>
        <w:t xml:space="preserve">See </w:t>
      </w:r>
      <w:r w:rsidRPr="00787E18" w:rsidR="00F32572">
        <w:rPr>
          <w:sz w:val="20"/>
          <w:szCs w:val="20"/>
        </w:rPr>
        <w:t xml:space="preserve">Explanation and Request for Waiver re Timing of Filing – Request for Waiver and Extensions of Time – 47 CFR 1.946(e), </w:t>
      </w:r>
      <w:r w:rsidRPr="009D0D28" w:rsidR="00F32572">
        <w:rPr>
          <w:sz w:val="20"/>
          <w:szCs w:val="20"/>
        </w:rPr>
        <w:t>ULS File Nos. 0007755967 and 0007755965</w:t>
      </w:r>
      <w:r w:rsidR="00F32572">
        <w:rPr>
          <w:sz w:val="20"/>
          <w:szCs w:val="20"/>
        </w:rPr>
        <w:t xml:space="preserve"> (filed Apr. 28, 2017); </w:t>
      </w:r>
      <w:r w:rsidRPr="009D0D28">
        <w:rPr>
          <w:sz w:val="20"/>
          <w:szCs w:val="20"/>
        </w:rPr>
        <w:t>Request for Modification of License Term and Extension of Time, 47 C.F.R. §§ 27.14(g) &amp; 1.946(e), ULS File Nos. 0007803163 and 0007803092 (filed June 7, 2017) (Supplement).</w:t>
      </w:r>
      <w:r w:rsidR="00DD6CF3">
        <w:rPr>
          <w:sz w:val="20"/>
          <w:szCs w:val="20"/>
        </w:rPr>
        <w:t xml:space="preserve">  Because we are waiving the interim construction benchmark pursuant to Section 1.925(b)(3)(</w:t>
      </w:r>
      <w:r w:rsidR="00DD6CF3">
        <w:rPr>
          <w:sz w:val="20"/>
          <w:szCs w:val="20"/>
        </w:rPr>
        <w:t>i</w:t>
      </w:r>
      <w:r w:rsidR="00DD6CF3">
        <w:rPr>
          <w:sz w:val="20"/>
          <w:szCs w:val="20"/>
        </w:rPr>
        <w:t xml:space="preserve">), we dismiss the requests for alternative relief as moot.  </w:t>
      </w:r>
      <w:r w:rsidR="00DD6CF3">
        <w:rPr>
          <w:i/>
          <w:sz w:val="20"/>
          <w:szCs w:val="20"/>
        </w:rPr>
        <w:t>See infra.</w:t>
      </w:r>
    </w:p>
  </w:footnote>
  <w:footnote w:id="4">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Waiver Request at 1.  </w:t>
      </w:r>
    </w:p>
  </w:footnote>
  <w:footnote w:id="5">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 xml:space="preserve">See </w:t>
      </w:r>
      <w:r w:rsidR="00405CDF">
        <w:rPr>
          <w:i/>
          <w:sz w:val="20"/>
          <w:szCs w:val="20"/>
        </w:rPr>
        <w:t>id.</w:t>
      </w:r>
      <w:r w:rsidRPr="009D0D28">
        <w:rPr>
          <w:sz w:val="20"/>
          <w:szCs w:val="20"/>
        </w:rPr>
        <w:t xml:space="preserve"> at 5.  </w:t>
      </w:r>
      <w:r>
        <w:rPr>
          <w:sz w:val="20"/>
          <w:szCs w:val="20"/>
        </w:rPr>
        <w:t xml:space="preserve">On our own motion, we will treat </w:t>
      </w:r>
      <w:r>
        <w:rPr>
          <w:sz w:val="20"/>
          <w:szCs w:val="20"/>
        </w:rPr>
        <w:t>Polar’s</w:t>
      </w:r>
      <w:r>
        <w:rPr>
          <w:sz w:val="20"/>
          <w:szCs w:val="20"/>
        </w:rPr>
        <w:t xml:space="preserve"> </w:t>
      </w:r>
      <w:r w:rsidR="002940A4">
        <w:rPr>
          <w:sz w:val="20"/>
          <w:szCs w:val="20"/>
        </w:rPr>
        <w:t>W</w:t>
      </w:r>
      <w:r>
        <w:rPr>
          <w:sz w:val="20"/>
          <w:szCs w:val="20"/>
        </w:rPr>
        <w:t xml:space="preserve">aiver </w:t>
      </w:r>
      <w:r w:rsidR="002940A4">
        <w:rPr>
          <w:sz w:val="20"/>
          <w:szCs w:val="20"/>
        </w:rPr>
        <w:t>R</w:t>
      </w:r>
      <w:r>
        <w:rPr>
          <w:sz w:val="20"/>
          <w:szCs w:val="20"/>
        </w:rPr>
        <w:t xml:space="preserve">equest as timely filed.  Typically, petitions for relief regarding wireless licenses, particularly in the construction context, must be filed prior to the applicable requirement deadline </w:t>
      </w:r>
      <w:r>
        <w:rPr>
          <w:sz w:val="20"/>
          <w:szCs w:val="20"/>
        </w:rPr>
        <w:t>in order to</w:t>
      </w:r>
      <w:r>
        <w:rPr>
          <w:sz w:val="20"/>
          <w:szCs w:val="20"/>
        </w:rPr>
        <w:t xml:space="preserve"> forestall the automatic operation of the rules, </w:t>
      </w:r>
      <w:r>
        <w:rPr>
          <w:i/>
          <w:sz w:val="20"/>
          <w:szCs w:val="20"/>
        </w:rPr>
        <w:t xml:space="preserve">e.g. </w:t>
      </w:r>
      <w:r>
        <w:rPr>
          <w:sz w:val="20"/>
          <w:szCs w:val="20"/>
        </w:rPr>
        <w:t>termination of the license, or in the instant case, automatic acceleration of the license term and end-of-term construction requirements</w:t>
      </w:r>
      <w:r w:rsidRPr="009D0D28">
        <w:rPr>
          <w:sz w:val="20"/>
          <w:szCs w:val="20"/>
        </w:rPr>
        <w:t xml:space="preserve">.  The Commission has emphasized </w:t>
      </w:r>
      <w:r w:rsidRPr="009D0D28" w:rsidR="007B21C6">
        <w:rPr>
          <w:sz w:val="20"/>
          <w:szCs w:val="20"/>
        </w:rPr>
        <w:t xml:space="preserve">repeatedly </w:t>
      </w:r>
      <w:r w:rsidRPr="009D0D28">
        <w:rPr>
          <w:sz w:val="20"/>
          <w:szCs w:val="20"/>
        </w:rPr>
        <w:t xml:space="preserve">that requiring licensees to seek </w:t>
      </w:r>
      <w:r w:rsidRPr="009D0D28" w:rsidR="007B21C6">
        <w:rPr>
          <w:sz w:val="20"/>
          <w:szCs w:val="20"/>
        </w:rPr>
        <w:t xml:space="preserve">timely </w:t>
      </w:r>
      <w:r w:rsidRPr="009D0D28">
        <w:rPr>
          <w:sz w:val="20"/>
          <w:szCs w:val="20"/>
        </w:rPr>
        <w:t>relief serves important public policy objectives</w:t>
      </w:r>
      <w:r w:rsidR="007B21C6">
        <w:rPr>
          <w:sz w:val="20"/>
          <w:szCs w:val="20"/>
        </w:rPr>
        <w:t>,</w:t>
      </w:r>
      <w:r w:rsidRPr="009D0D28">
        <w:rPr>
          <w:sz w:val="20"/>
          <w:szCs w:val="20"/>
        </w:rPr>
        <w:t xml:space="preserve"> and </w:t>
      </w:r>
      <w:r w:rsidR="007B21C6">
        <w:rPr>
          <w:sz w:val="20"/>
          <w:szCs w:val="20"/>
        </w:rPr>
        <w:t xml:space="preserve">it </w:t>
      </w:r>
      <w:r w:rsidRPr="009D0D28">
        <w:rPr>
          <w:sz w:val="20"/>
          <w:szCs w:val="20"/>
        </w:rPr>
        <w:t xml:space="preserve">has dismissed untimely requests for relief.  </w:t>
      </w:r>
      <w:r w:rsidRPr="009D0D28">
        <w:rPr>
          <w:i/>
          <w:sz w:val="20"/>
          <w:szCs w:val="20"/>
        </w:rPr>
        <w:t>See</w:t>
      </w:r>
      <w:r w:rsidRPr="009D0D28">
        <w:rPr>
          <w:sz w:val="20"/>
          <w:szCs w:val="20"/>
        </w:rPr>
        <w:t>,</w:t>
      </w:r>
      <w:r w:rsidRPr="009D0D28">
        <w:rPr>
          <w:i/>
          <w:sz w:val="20"/>
          <w:szCs w:val="20"/>
        </w:rPr>
        <w:t xml:space="preserve"> e.g.</w:t>
      </w:r>
      <w:r w:rsidRPr="009D0D28">
        <w:rPr>
          <w:sz w:val="20"/>
          <w:szCs w:val="20"/>
        </w:rPr>
        <w:t>,</w:t>
      </w:r>
      <w:r w:rsidRPr="009D0D28">
        <w:rPr>
          <w:i/>
          <w:sz w:val="20"/>
          <w:szCs w:val="20"/>
        </w:rPr>
        <w:t xml:space="preserve"> Vijay </w:t>
      </w:r>
      <w:r w:rsidRPr="009D0D28">
        <w:rPr>
          <w:i/>
          <w:sz w:val="20"/>
          <w:szCs w:val="20"/>
        </w:rPr>
        <w:t>Ravenkar</w:t>
      </w:r>
      <w:r w:rsidRPr="009D0D28">
        <w:rPr>
          <w:i/>
          <w:sz w:val="20"/>
          <w:szCs w:val="20"/>
        </w:rPr>
        <w:t>, The Port Authority of New York and New Jersey, Requests for Waiver to Permit Untimely Filing and to Extend the Construction Period for Station WQPK961</w:t>
      </w:r>
      <w:r w:rsidRPr="009D0D28">
        <w:rPr>
          <w:sz w:val="20"/>
          <w:szCs w:val="20"/>
        </w:rPr>
        <w:t xml:space="preserve">, ULS File No. 0006191959, Letter Order, 29 FCC Rcd 3729 (WTB MD 2014).  The Commission, however, </w:t>
      </w:r>
      <w:r w:rsidRPr="009D0D28" w:rsidR="007B21C6">
        <w:rPr>
          <w:sz w:val="20"/>
          <w:szCs w:val="20"/>
        </w:rPr>
        <w:t xml:space="preserve">may </w:t>
      </w:r>
      <w:r w:rsidRPr="009D0D28">
        <w:rPr>
          <w:sz w:val="20"/>
          <w:szCs w:val="20"/>
        </w:rPr>
        <w:t xml:space="preserve">entertain late-filed petitions where it is in the public interest to grant relief.  </w:t>
      </w:r>
      <w:r w:rsidRPr="009D0D28">
        <w:rPr>
          <w:i/>
          <w:sz w:val="20"/>
          <w:szCs w:val="20"/>
        </w:rPr>
        <w:t>Data-Max Wireless, LLC, Request for Waiver and Extension of Time of Tribal Land Bidding Credit Requirements</w:t>
      </w:r>
      <w:r w:rsidRPr="009D0D28">
        <w:rPr>
          <w:sz w:val="20"/>
          <w:szCs w:val="20"/>
        </w:rPr>
        <w:t xml:space="preserve">, Call Sign WQJQ674, File Number 0005662520, Letter Order, 29 FCC Rcd 5149, 5152-3 (WTB MD 2014); </w:t>
      </w:r>
      <w:r w:rsidRPr="009D0D28">
        <w:rPr>
          <w:i/>
          <w:sz w:val="20"/>
          <w:szCs w:val="20"/>
        </w:rPr>
        <w:t xml:space="preserve">Alex </w:t>
      </w:r>
      <w:r w:rsidRPr="009D0D28">
        <w:rPr>
          <w:i/>
          <w:sz w:val="20"/>
          <w:szCs w:val="20"/>
        </w:rPr>
        <w:t>Sene</w:t>
      </w:r>
      <w:r w:rsidRPr="009D0D28">
        <w:rPr>
          <w:i/>
          <w:sz w:val="20"/>
          <w:szCs w:val="20"/>
        </w:rPr>
        <w:t xml:space="preserve">, American Samoa Telecommunications Authority, Petition for Reconsideration, Request for Waiver, and Request for Extension of Time </w:t>
      </w:r>
      <w:r w:rsidRPr="009D0D28">
        <w:rPr>
          <w:sz w:val="20"/>
          <w:szCs w:val="20"/>
        </w:rPr>
        <w:t xml:space="preserve">(Call Signs WQNF697, WQNF698, WQNF699, WQNF700, WQNF703, and WQNF705), Letter Order, 32 FCC Rcd 6436, 6436-6437 (WTB MD 2017).  We conclude that the public interest benefits supporting a waiver of </w:t>
      </w:r>
      <w:r w:rsidRPr="009D0D28">
        <w:rPr>
          <w:sz w:val="20"/>
          <w:szCs w:val="20"/>
        </w:rPr>
        <w:t>Polar’s</w:t>
      </w:r>
      <w:r>
        <w:rPr>
          <w:sz w:val="20"/>
          <w:szCs w:val="20"/>
        </w:rPr>
        <w:t xml:space="preserve"> interim construction deadline </w:t>
      </w:r>
      <w:r w:rsidRPr="009D0D28">
        <w:rPr>
          <w:sz w:val="20"/>
          <w:szCs w:val="20"/>
        </w:rPr>
        <w:t xml:space="preserve">also support consideration of its late-filed petition.  </w:t>
      </w:r>
    </w:p>
  </w:footnote>
  <w:footnote w:id="6">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See Service Rules for 698-746, 747-762, and 777-792 MHz Bands</w:t>
      </w:r>
      <w:r w:rsidRPr="009D0D28">
        <w:rPr>
          <w:sz w:val="20"/>
          <w:szCs w:val="20"/>
        </w:rPr>
        <w:t>, Second Report and Order, 22 FCC Rcd 15289 (2007) (</w:t>
      </w:r>
      <w:r w:rsidRPr="009D0D28">
        <w:rPr>
          <w:i/>
          <w:sz w:val="20"/>
          <w:szCs w:val="20"/>
        </w:rPr>
        <w:t>700 MHz Second Report and Order</w:t>
      </w:r>
      <w:r w:rsidRPr="009D0D28">
        <w:rPr>
          <w:sz w:val="20"/>
          <w:szCs w:val="20"/>
        </w:rPr>
        <w:t>).</w:t>
      </w:r>
    </w:p>
  </w:footnote>
  <w:footnote w:id="7">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 xml:space="preserve">See </w:t>
      </w:r>
      <w:r w:rsidRPr="009D0D28">
        <w:rPr>
          <w:sz w:val="20"/>
          <w:szCs w:val="20"/>
        </w:rPr>
        <w:t xml:space="preserve">47 CFR § 27.14(g).  </w:t>
      </w:r>
    </w:p>
  </w:footnote>
  <w:footnote w:id="8">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 xml:space="preserve">See </w:t>
      </w:r>
      <w:r w:rsidR="00405CDF">
        <w:rPr>
          <w:i/>
          <w:sz w:val="20"/>
          <w:szCs w:val="20"/>
        </w:rPr>
        <w:t>id.</w:t>
      </w:r>
      <w:r w:rsidRPr="009D0D28">
        <w:rPr>
          <w:sz w:val="20"/>
          <w:szCs w:val="20"/>
        </w:rPr>
        <w:t>;</w:t>
      </w:r>
      <w:r w:rsidRPr="009D0D28">
        <w:rPr>
          <w:i/>
          <w:sz w:val="20"/>
          <w:szCs w:val="20"/>
        </w:rPr>
        <w:t xml:space="preserve"> 700 MHz Second Report and Order</w:t>
      </w:r>
      <w:r w:rsidRPr="009D0D28">
        <w:rPr>
          <w:sz w:val="20"/>
          <w:szCs w:val="20"/>
        </w:rPr>
        <w:t>, 22 FCC Rcd</w:t>
      </w:r>
      <w:r w:rsidRPr="009D0D28">
        <w:rPr>
          <w:i/>
          <w:sz w:val="20"/>
          <w:szCs w:val="20"/>
        </w:rPr>
        <w:t xml:space="preserve"> </w:t>
      </w:r>
      <w:r w:rsidRPr="009D0D28">
        <w:rPr>
          <w:sz w:val="20"/>
          <w:szCs w:val="20"/>
        </w:rPr>
        <w:t>at 15293-94, 15349, paras. 6, 157.</w:t>
      </w:r>
    </w:p>
  </w:footnote>
  <w:footnote w:id="9">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47 CFR § 27.14(g)(1).</w:t>
      </w:r>
    </w:p>
  </w:footnote>
  <w:footnote w:id="10">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47 CFR § 27.14(g)(2).</w:t>
      </w:r>
      <w:r w:rsidRPr="009D0D28">
        <w:rPr>
          <w:i/>
          <w:sz w:val="20"/>
          <w:szCs w:val="20"/>
        </w:rPr>
        <w:t xml:space="preserve">  See also 700 MHz Second Report and Order, </w:t>
      </w:r>
      <w:r w:rsidRPr="009D0D28">
        <w:rPr>
          <w:sz w:val="20"/>
          <w:szCs w:val="20"/>
        </w:rPr>
        <w:t>22 FCC Rcd at 15348, para. 153.</w:t>
      </w:r>
    </w:p>
  </w:footnote>
  <w:footnote w:id="11">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00421B0A">
        <w:rPr>
          <w:sz w:val="20"/>
          <w:szCs w:val="20"/>
        </w:rPr>
        <w:t xml:space="preserve">Call Signs </w:t>
      </w:r>
      <w:r w:rsidRPr="009D0D28">
        <w:rPr>
          <w:sz w:val="20"/>
          <w:szCs w:val="20"/>
        </w:rPr>
        <w:t xml:space="preserve">WQJS665 and WQJU904; </w:t>
      </w:r>
      <w:r w:rsidRPr="009D0D28">
        <w:rPr>
          <w:i/>
          <w:sz w:val="20"/>
          <w:szCs w:val="20"/>
        </w:rPr>
        <w:t xml:space="preserve">see also </w:t>
      </w:r>
      <w:r w:rsidRPr="009D0D28">
        <w:rPr>
          <w:sz w:val="20"/>
          <w:szCs w:val="20"/>
        </w:rPr>
        <w:t>ULS File Nos. 0003566656 (filed Sept. 25, 2008, amended Oct. 22, 2008) and 0003648298 (filed Nov. 13, 2008) (assignment application grants resulting, respectively, in the generation of call signs WQJS665 and WQJU904).</w:t>
      </w:r>
    </w:p>
  </w:footnote>
  <w:footnote w:id="12">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Specifically, </w:t>
      </w:r>
      <w:r w:rsidRPr="009D0D28">
        <w:rPr>
          <w:sz w:val="20"/>
          <w:szCs w:val="20"/>
        </w:rPr>
        <w:t>Polar’s</w:t>
      </w:r>
      <w:r w:rsidRPr="009D0D28">
        <w:rPr>
          <w:sz w:val="20"/>
          <w:szCs w:val="20"/>
        </w:rPr>
        <w:t xml:space="preserve"> combined license area covers the entirety of five counties (Griggs, Nelson, Pembina, Steele, and Walsh Counties) as well as a portion of </w:t>
      </w:r>
      <w:r w:rsidRPr="009D0D28">
        <w:rPr>
          <w:sz w:val="20"/>
          <w:szCs w:val="20"/>
        </w:rPr>
        <w:t>Traill</w:t>
      </w:r>
      <w:r w:rsidRPr="009D0D28">
        <w:rPr>
          <w:sz w:val="20"/>
          <w:szCs w:val="20"/>
        </w:rPr>
        <w:t xml:space="preserve"> County in the northeast corner of the state.  </w:t>
      </w:r>
    </w:p>
  </w:footnote>
  <w:footnote w:id="13">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 xml:space="preserve">See </w:t>
      </w:r>
      <w:bookmarkStart w:id="1" w:name="_Hlk498514001"/>
      <w:r w:rsidRPr="009D0D28">
        <w:rPr>
          <w:sz w:val="20"/>
          <w:szCs w:val="20"/>
        </w:rPr>
        <w:t xml:space="preserve">ULS File Nos. 0005851842 (WQJS665) and 0005851845 (WQJU904) (filed July 9, 2013).  </w:t>
      </w:r>
      <w:bookmarkEnd w:id="1"/>
      <w:r w:rsidRPr="009D0D28">
        <w:rPr>
          <w:sz w:val="20"/>
          <w:szCs w:val="20"/>
        </w:rPr>
        <w:t xml:space="preserve">For most 700 MHz A and B Block licenses, the interim construction deadline was originally June 13, 2013, but was later extended for all A and B Block licenses to December 13, 2016.  </w:t>
      </w:r>
      <w:r w:rsidRPr="009D0D28">
        <w:rPr>
          <w:i/>
          <w:sz w:val="20"/>
          <w:szCs w:val="20"/>
        </w:rPr>
        <w:t xml:space="preserve">See </w:t>
      </w:r>
      <w:r w:rsidRPr="009D0D28">
        <w:rPr>
          <w:i/>
          <w:iCs/>
          <w:sz w:val="20"/>
          <w:szCs w:val="20"/>
        </w:rPr>
        <w:t>Promoting Interoperability in the 700 MHz Commercial Spectrum</w:t>
      </w:r>
      <w:r w:rsidRPr="009D0D28">
        <w:rPr>
          <w:sz w:val="20"/>
          <w:szCs w:val="20"/>
        </w:rPr>
        <w:t>, Report and Order and Order of Proposed Modification</w:t>
      </w:r>
      <w:r w:rsidRPr="009D0D28">
        <w:rPr>
          <w:iCs/>
          <w:sz w:val="20"/>
          <w:szCs w:val="20"/>
        </w:rPr>
        <w:t>,</w:t>
      </w:r>
      <w:r w:rsidRPr="009D0D28">
        <w:rPr>
          <w:i/>
          <w:iCs/>
          <w:sz w:val="20"/>
          <w:szCs w:val="20"/>
        </w:rPr>
        <w:t xml:space="preserve"> </w:t>
      </w:r>
      <w:r w:rsidRPr="009D0D28">
        <w:rPr>
          <w:sz w:val="20"/>
          <w:szCs w:val="20"/>
        </w:rPr>
        <w:t>28 FCC Rcd 15122, 15151-52, para. 65 (2013) (</w:t>
      </w:r>
      <w:r w:rsidRPr="009D0D28">
        <w:rPr>
          <w:i/>
          <w:sz w:val="20"/>
          <w:szCs w:val="20"/>
        </w:rPr>
        <w:t>Interoperability Order</w:t>
      </w:r>
      <w:r w:rsidRPr="009D0D28">
        <w:rPr>
          <w:sz w:val="20"/>
          <w:szCs w:val="20"/>
        </w:rPr>
        <w:t>).</w:t>
      </w:r>
    </w:p>
  </w:footnote>
  <w:footnote w:id="14">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Polar Communications Mutual Aid Corporation, </w:t>
      </w:r>
      <w:r w:rsidR="00421B0A">
        <w:rPr>
          <w:sz w:val="20"/>
          <w:szCs w:val="20"/>
        </w:rPr>
        <w:t xml:space="preserve">Conditional Request for Rule Waiver, </w:t>
      </w:r>
      <w:r w:rsidRPr="009D0D28">
        <w:rPr>
          <w:sz w:val="20"/>
          <w:szCs w:val="20"/>
        </w:rPr>
        <w:t>ULS File Nos. 0005851842</w:t>
      </w:r>
      <w:r w:rsidR="00405CDF">
        <w:rPr>
          <w:sz w:val="20"/>
          <w:szCs w:val="20"/>
        </w:rPr>
        <w:t xml:space="preserve"> (WQJS665) and 0005851845 (WQJU904)</w:t>
      </w:r>
      <w:r w:rsidRPr="009D0D28">
        <w:rPr>
          <w:sz w:val="20"/>
          <w:szCs w:val="20"/>
        </w:rPr>
        <w:t xml:space="preserve"> (filed July 9, 2013).  </w:t>
      </w:r>
    </w:p>
  </w:footnote>
  <w:footnote w:id="15">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ULS File No</w:t>
      </w:r>
      <w:r w:rsidR="00405CDF">
        <w:rPr>
          <w:sz w:val="20"/>
          <w:szCs w:val="20"/>
        </w:rPr>
        <w:t>s</w:t>
      </w:r>
      <w:r w:rsidRPr="009D0D28">
        <w:rPr>
          <w:sz w:val="20"/>
          <w:szCs w:val="20"/>
        </w:rPr>
        <w:t xml:space="preserve">. 00058551842 (amended Nov. 30, 2016) (WQJS665) and 0005851845 (amended Nov. 30, 2016) (WQJU904).  Construction notifications filed by 700 MHz licensees on or after October 16, 2015, are required to contain electronics maps and other supporting documentation in specific formats.  </w:t>
      </w:r>
      <w:r w:rsidRPr="009D0D28">
        <w:rPr>
          <w:i/>
          <w:sz w:val="20"/>
          <w:szCs w:val="20"/>
        </w:rPr>
        <w:t xml:space="preserve">See Wireless Telecommunications Bureau Establishes Electronic Map Format </w:t>
      </w:r>
      <w:r w:rsidRPr="009D0D28">
        <w:rPr>
          <w:i/>
          <w:sz w:val="20"/>
          <w:szCs w:val="20"/>
        </w:rPr>
        <w:t>For</w:t>
      </w:r>
      <w:r w:rsidRPr="009D0D28">
        <w:rPr>
          <w:i/>
          <w:sz w:val="20"/>
          <w:szCs w:val="20"/>
        </w:rPr>
        <w:t xml:space="preserve"> Covered 700 MHZ Band Licensee Construction Notifications</w:t>
      </w:r>
      <w:r w:rsidRPr="009D0D28">
        <w:rPr>
          <w:sz w:val="20"/>
          <w:szCs w:val="20"/>
        </w:rPr>
        <w:t>, Public Notice, 30 FCC Rcd 11407 (WTB 2015).</w:t>
      </w:r>
    </w:p>
  </w:footnote>
  <w:footnote w:id="16">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 xml:space="preserve">See </w:t>
      </w:r>
      <w:r w:rsidRPr="009D0D28">
        <w:rPr>
          <w:sz w:val="20"/>
          <w:szCs w:val="20"/>
        </w:rPr>
        <w:t>ULS File No. 00058551842 (amended Nov. 30, 2016</w:t>
      </w:r>
      <w:bookmarkStart w:id="2" w:name="_Hlk498514067"/>
      <w:r w:rsidRPr="009D0D28">
        <w:rPr>
          <w:sz w:val="20"/>
          <w:szCs w:val="20"/>
        </w:rPr>
        <w:t xml:space="preserve">) (WQJS665) </w:t>
      </w:r>
      <w:bookmarkEnd w:id="2"/>
      <w:r w:rsidRPr="009D0D28">
        <w:rPr>
          <w:sz w:val="20"/>
          <w:szCs w:val="20"/>
        </w:rPr>
        <w:t xml:space="preserve">and 0005851845 (amended Nov. 30, 2016) (WQJU904).  </w:t>
      </w:r>
    </w:p>
  </w:footnote>
  <w:footnote w:id="17">
    <w:p w:rsidR="005A40B1" w:rsidRPr="00E237C6" w:rsidP="00E237C6">
      <w:pPr>
        <w:pStyle w:val="FootnoteText"/>
        <w:spacing w:after="120"/>
        <w:rPr>
          <w:i/>
          <w:sz w:val="20"/>
          <w:szCs w:val="20"/>
        </w:rPr>
      </w:pPr>
      <w:r w:rsidRPr="009D0D28">
        <w:rPr>
          <w:rStyle w:val="FootnoteReference"/>
          <w:sz w:val="20"/>
          <w:szCs w:val="20"/>
        </w:rPr>
        <w:footnoteRef/>
      </w:r>
      <w:r w:rsidRPr="009D0D28">
        <w:rPr>
          <w:sz w:val="20"/>
          <w:szCs w:val="20"/>
        </w:rPr>
        <w:t xml:space="preserve"> </w:t>
      </w:r>
      <w:r w:rsidRPr="009D0D28">
        <w:rPr>
          <w:i/>
          <w:sz w:val="20"/>
          <w:szCs w:val="20"/>
        </w:rPr>
        <w:t>Id.</w:t>
      </w:r>
    </w:p>
  </w:footnote>
  <w:footnote w:id="18">
    <w:p w:rsidR="00E237C6" w:rsidRPr="00E237C6" w:rsidP="00E237C6">
      <w:pPr>
        <w:pStyle w:val="FootnoteText"/>
        <w:spacing w:after="120"/>
        <w:rPr>
          <w:sz w:val="20"/>
          <w:szCs w:val="20"/>
        </w:rPr>
      </w:pPr>
      <w:r w:rsidRPr="00E237C6">
        <w:rPr>
          <w:rStyle w:val="FootnoteReference"/>
          <w:sz w:val="20"/>
          <w:szCs w:val="20"/>
        </w:rPr>
        <w:footnoteRef/>
      </w:r>
      <w:r w:rsidRPr="00E237C6">
        <w:rPr>
          <w:sz w:val="20"/>
          <w:szCs w:val="20"/>
        </w:rPr>
        <w:t xml:space="preserve"> Letter from Roger S. Noel, Mobility Division, Wireless Telecommunications Bureau, to David L. Dunning, Polar Communications Mutual Aid Corporation (dated Dec. 14, 2016).</w:t>
      </w:r>
    </w:p>
  </w:footnote>
  <w:footnote w:id="19">
    <w:p w:rsidR="00DD6CF3" w:rsidRPr="00536800" w:rsidP="00E237C6">
      <w:pPr>
        <w:pStyle w:val="FootnoteText"/>
        <w:spacing w:after="120"/>
        <w:rPr>
          <w:sz w:val="20"/>
          <w:szCs w:val="20"/>
        </w:rPr>
      </w:pPr>
      <w:r w:rsidRPr="00E237C6">
        <w:rPr>
          <w:rStyle w:val="FootnoteReference"/>
          <w:sz w:val="20"/>
          <w:szCs w:val="20"/>
        </w:rPr>
        <w:footnoteRef/>
      </w:r>
      <w:r w:rsidRPr="00E237C6">
        <w:rPr>
          <w:sz w:val="20"/>
          <w:szCs w:val="20"/>
        </w:rPr>
        <w:t xml:space="preserve"> Polar </w:t>
      </w:r>
      <w:r w:rsidRPr="00E237C6" w:rsidR="00536800">
        <w:rPr>
          <w:sz w:val="20"/>
          <w:szCs w:val="20"/>
        </w:rPr>
        <w:t xml:space="preserve">states that it </w:t>
      </w:r>
      <w:r w:rsidRPr="00E237C6">
        <w:rPr>
          <w:sz w:val="20"/>
          <w:szCs w:val="20"/>
        </w:rPr>
        <w:t>mistakenly placed into operation facilities located just outside of its B Block license areas in CMA582.  Polar explains that there was staff confusion regarding spectrum holdings with respect</w:t>
      </w:r>
      <w:r w:rsidRPr="00536800">
        <w:rPr>
          <w:sz w:val="20"/>
          <w:szCs w:val="20"/>
        </w:rPr>
        <w:t xml:space="preserve"> to its </w:t>
      </w:r>
      <w:r w:rsidRPr="00536800">
        <w:rPr>
          <w:sz w:val="20"/>
          <w:szCs w:val="20"/>
        </w:rPr>
        <w:t>Nekoma</w:t>
      </w:r>
      <w:r w:rsidRPr="00536800">
        <w:rPr>
          <w:sz w:val="20"/>
          <w:szCs w:val="20"/>
        </w:rPr>
        <w:t xml:space="preserve"> site.  Polar holds a C Block license in adjacent CMA 581 that includes the area w</w:t>
      </w:r>
      <w:r w:rsidR="00536800">
        <w:rPr>
          <w:sz w:val="20"/>
          <w:szCs w:val="20"/>
        </w:rPr>
        <w:t xml:space="preserve">here the </w:t>
      </w:r>
      <w:r w:rsidR="00536800">
        <w:rPr>
          <w:sz w:val="20"/>
          <w:szCs w:val="20"/>
        </w:rPr>
        <w:t>Nekoma</w:t>
      </w:r>
      <w:r w:rsidR="00536800">
        <w:rPr>
          <w:sz w:val="20"/>
          <w:szCs w:val="20"/>
        </w:rPr>
        <w:t xml:space="preserve"> site is located;</w:t>
      </w:r>
      <w:r w:rsidRPr="00536800">
        <w:rPr>
          <w:sz w:val="20"/>
          <w:szCs w:val="20"/>
        </w:rPr>
        <w:t xml:space="preserve"> Polar mistakenly put into operation service on its B Block frequencies at that location.  Similarly, it appears that there was misunderstanding by </w:t>
      </w:r>
      <w:r w:rsidRPr="00536800">
        <w:rPr>
          <w:sz w:val="20"/>
          <w:szCs w:val="20"/>
        </w:rPr>
        <w:t>Polar’s</w:t>
      </w:r>
      <w:r w:rsidRPr="00536800">
        <w:rPr>
          <w:sz w:val="20"/>
          <w:szCs w:val="20"/>
        </w:rPr>
        <w:t xml:space="preserve"> staff as to the use of the Hunter site to replace another tower in CMA 582 that had been decommissioned due to damage from a windstorm.</w:t>
      </w:r>
      <w:r w:rsidR="00536800">
        <w:rPr>
          <w:sz w:val="20"/>
          <w:szCs w:val="20"/>
        </w:rPr>
        <w:t xml:space="preserve">  </w:t>
      </w:r>
      <w:r w:rsidR="00536800">
        <w:rPr>
          <w:i/>
          <w:sz w:val="20"/>
          <w:szCs w:val="20"/>
        </w:rPr>
        <w:t xml:space="preserve">See </w:t>
      </w:r>
      <w:r w:rsidR="00536800">
        <w:rPr>
          <w:sz w:val="20"/>
          <w:szCs w:val="20"/>
        </w:rPr>
        <w:t>Waiver Request at 2, footnote 8.</w:t>
      </w:r>
    </w:p>
  </w:footnote>
  <w:footnote w:id="20">
    <w:p w:rsidR="005A40B1" w:rsidRPr="009D0D28" w:rsidP="00536800">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 xml:space="preserve">See </w:t>
      </w:r>
      <w:r w:rsidRPr="009D0D28">
        <w:rPr>
          <w:sz w:val="20"/>
          <w:szCs w:val="20"/>
        </w:rPr>
        <w:t>ULS File No. 000766672</w:t>
      </w:r>
      <w:r w:rsidR="00405CDF">
        <w:rPr>
          <w:sz w:val="20"/>
          <w:szCs w:val="20"/>
        </w:rPr>
        <w:t>7 (filed Feb. 27, 2017)</w:t>
      </w:r>
      <w:r w:rsidRPr="009D0D28">
        <w:rPr>
          <w:sz w:val="20"/>
          <w:szCs w:val="20"/>
        </w:rPr>
        <w:t xml:space="preserve">.  Polar later amended its construction notifications on March 14, 2017.  </w:t>
      </w:r>
      <w:r w:rsidRPr="009D0D28">
        <w:rPr>
          <w:i/>
          <w:sz w:val="20"/>
          <w:szCs w:val="20"/>
        </w:rPr>
        <w:t xml:space="preserve">See supra </w:t>
      </w:r>
      <w:r w:rsidRPr="00405CDF">
        <w:rPr>
          <w:sz w:val="20"/>
          <w:szCs w:val="20"/>
        </w:rPr>
        <w:t xml:space="preserve">note </w:t>
      </w:r>
      <w:r w:rsidRPr="00405CDF" w:rsidR="00536800">
        <w:rPr>
          <w:sz w:val="20"/>
          <w:szCs w:val="20"/>
        </w:rPr>
        <w:t>13</w:t>
      </w:r>
      <w:r w:rsidRPr="00405CDF">
        <w:rPr>
          <w:sz w:val="20"/>
          <w:szCs w:val="20"/>
        </w:rPr>
        <w:t>.</w:t>
      </w:r>
      <w:r w:rsidRPr="009D0D28">
        <w:rPr>
          <w:sz w:val="20"/>
          <w:szCs w:val="20"/>
        </w:rPr>
        <w:t xml:space="preserve">  </w:t>
      </w:r>
    </w:p>
  </w:footnote>
  <w:footnote w:id="21">
    <w:p w:rsidR="005A40B1" w:rsidRPr="009D0D28" w:rsidP="00536800">
      <w:pPr>
        <w:pStyle w:val="FootnoteText"/>
        <w:spacing w:after="120"/>
        <w:rPr>
          <w:sz w:val="20"/>
          <w:szCs w:val="20"/>
        </w:rPr>
      </w:pPr>
      <w:r w:rsidRPr="009D0D28">
        <w:rPr>
          <w:rStyle w:val="FootnoteReference"/>
          <w:sz w:val="20"/>
          <w:szCs w:val="20"/>
        </w:rPr>
        <w:footnoteRef/>
      </w:r>
      <w:r w:rsidRPr="009D0D28">
        <w:rPr>
          <w:sz w:val="20"/>
          <w:szCs w:val="20"/>
        </w:rPr>
        <w:t xml:space="preserve"> </w:t>
      </w:r>
      <w:r>
        <w:rPr>
          <w:sz w:val="20"/>
          <w:szCs w:val="20"/>
        </w:rPr>
        <w:t xml:space="preserve">Polar Communications Mutual Aid Corporation, FCC Form 603, </w:t>
      </w:r>
      <w:r w:rsidRPr="009D0D28">
        <w:rPr>
          <w:sz w:val="20"/>
          <w:szCs w:val="20"/>
        </w:rPr>
        <w:t>Description of Transaction and Public Interest Statement, ULS File No. 0007679650 (filed Mar. 1, 2017) at 2</w:t>
      </w:r>
      <w:r w:rsidRPr="00547E50">
        <w:rPr>
          <w:sz w:val="20"/>
          <w:szCs w:val="20"/>
        </w:rPr>
        <w:t>.</w:t>
      </w:r>
      <w:r w:rsidRPr="009D0D28">
        <w:rPr>
          <w:sz w:val="20"/>
          <w:szCs w:val="20"/>
        </w:rPr>
        <w:t xml:space="preserve">  </w:t>
      </w:r>
    </w:p>
  </w:footnote>
  <w:footnote w:id="22">
    <w:p w:rsidR="005A40B1" w:rsidRPr="009D0D28" w:rsidP="00536800">
      <w:pPr>
        <w:pStyle w:val="FootnoteText"/>
        <w:spacing w:after="120"/>
        <w:rPr>
          <w:sz w:val="20"/>
          <w:szCs w:val="20"/>
        </w:rPr>
      </w:pPr>
      <w:r w:rsidRPr="009D0D28">
        <w:rPr>
          <w:rStyle w:val="FootnoteReference"/>
          <w:sz w:val="20"/>
          <w:szCs w:val="20"/>
        </w:rPr>
        <w:footnoteRef/>
      </w:r>
      <w:r w:rsidRPr="009D0D28">
        <w:rPr>
          <w:sz w:val="20"/>
          <w:szCs w:val="20"/>
        </w:rPr>
        <w:t xml:space="preserve"> Waiver Request. </w:t>
      </w:r>
      <w:r>
        <w:rPr>
          <w:sz w:val="20"/>
          <w:szCs w:val="20"/>
        </w:rPr>
        <w:t xml:space="preserve">Polar also submitted a separate but jointly filed request for extension relief pursuant to Section 1.946(e).  </w:t>
      </w:r>
      <w:r w:rsidR="00DD6CF3">
        <w:rPr>
          <w:i/>
          <w:sz w:val="20"/>
          <w:szCs w:val="20"/>
        </w:rPr>
        <w:t xml:space="preserve">See supra </w:t>
      </w:r>
      <w:r w:rsidR="00DD6CF3">
        <w:rPr>
          <w:sz w:val="20"/>
          <w:szCs w:val="20"/>
        </w:rPr>
        <w:t xml:space="preserve">note 2.  </w:t>
      </w:r>
      <w:r>
        <w:rPr>
          <w:sz w:val="20"/>
          <w:szCs w:val="20"/>
        </w:rPr>
        <w:t>Because we are granting waiver relief pursuant to Section 1.925(b)(3)(</w:t>
      </w:r>
      <w:r>
        <w:rPr>
          <w:sz w:val="20"/>
          <w:szCs w:val="20"/>
        </w:rPr>
        <w:t>i</w:t>
      </w:r>
      <w:r>
        <w:rPr>
          <w:sz w:val="20"/>
          <w:szCs w:val="20"/>
        </w:rPr>
        <w:t xml:space="preserve">), we do not address </w:t>
      </w:r>
      <w:r>
        <w:rPr>
          <w:sz w:val="20"/>
          <w:szCs w:val="20"/>
        </w:rPr>
        <w:t>Polar’s</w:t>
      </w:r>
      <w:r>
        <w:rPr>
          <w:sz w:val="20"/>
          <w:szCs w:val="20"/>
        </w:rPr>
        <w:t xml:space="preserve"> request for extension of time to construct under Section 1.946(e).</w:t>
      </w:r>
    </w:p>
  </w:footnote>
  <w:footnote w:id="23">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Waiver Request at 1.</w:t>
      </w:r>
    </w:p>
  </w:footnote>
  <w:footnote w:id="24">
    <w:p w:rsidR="005A40B1" w:rsidRPr="00F32572" w:rsidP="009D0D28">
      <w:pPr>
        <w:pStyle w:val="FootnoteText"/>
        <w:spacing w:after="120"/>
        <w:rPr>
          <w:sz w:val="20"/>
          <w:szCs w:val="20"/>
        </w:rPr>
      </w:pPr>
      <w:r w:rsidRPr="00F32572">
        <w:rPr>
          <w:rStyle w:val="FootnoteReference"/>
          <w:sz w:val="20"/>
          <w:szCs w:val="20"/>
        </w:rPr>
        <w:footnoteRef/>
      </w:r>
      <w:r w:rsidRPr="00F32572">
        <w:rPr>
          <w:sz w:val="20"/>
          <w:szCs w:val="20"/>
        </w:rPr>
        <w:t xml:space="preserve"> </w:t>
      </w:r>
      <w:r w:rsidR="00405CDF">
        <w:rPr>
          <w:i/>
          <w:sz w:val="20"/>
          <w:szCs w:val="20"/>
        </w:rPr>
        <w:t>Id.</w:t>
      </w:r>
      <w:r w:rsidRPr="00F32572">
        <w:rPr>
          <w:sz w:val="20"/>
          <w:szCs w:val="20"/>
        </w:rPr>
        <w:t xml:space="preserve"> at 1.</w:t>
      </w:r>
    </w:p>
  </w:footnote>
  <w:footnote w:id="25">
    <w:p w:rsidR="005A40B1" w:rsidP="009D0D28">
      <w:pPr>
        <w:pStyle w:val="FootnoteText"/>
        <w:spacing w:after="120"/>
      </w:pPr>
      <w:r w:rsidRPr="00F32572">
        <w:rPr>
          <w:rStyle w:val="FootnoteReference"/>
          <w:sz w:val="20"/>
          <w:szCs w:val="20"/>
        </w:rPr>
        <w:footnoteRef/>
      </w:r>
      <w:r w:rsidRPr="00F32572">
        <w:rPr>
          <w:sz w:val="20"/>
          <w:szCs w:val="20"/>
        </w:rPr>
        <w:t xml:space="preserve"> Supplement at 1.</w:t>
      </w:r>
    </w:p>
  </w:footnote>
  <w:footnote w:id="26">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Waiver Request at 4-5.  </w:t>
      </w:r>
    </w:p>
  </w:footnote>
  <w:footnote w:id="27">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color w:val="000000" w:themeColor="text1"/>
          <w:sz w:val="20"/>
          <w:szCs w:val="20"/>
        </w:rPr>
        <w:t>See</w:t>
      </w:r>
      <w:r w:rsidRPr="009D0D28">
        <w:rPr>
          <w:color w:val="000000" w:themeColor="text1"/>
          <w:sz w:val="20"/>
          <w:szCs w:val="20"/>
        </w:rPr>
        <w:t xml:space="preserve"> </w:t>
      </w:r>
      <w:r w:rsidRPr="009D0D28">
        <w:rPr>
          <w:i/>
          <w:color w:val="000000" w:themeColor="text1"/>
          <w:sz w:val="20"/>
          <w:szCs w:val="20"/>
        </w:rPr>
        <w:t xml:space="preserve">WAIT Radio v. FCC, </w:t>
      </w:r>
      <w:r w:rsidRPr="009D0D28">
        <w:rPr>
          <w:color w:val="000000" w:themeColor="text1"/>
          <w:sz w:val="20"/>
          <w:szCs w:val="20"/>
        </w:rPr>
        <w:t xml:space="preserve">459 F.2d 1203, 1207 (D.C. Cir. 1972).  </w:t>
      </w:r>
    </w:p>
  </w:footnote>
  <w:footnote w:id="28">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47 CFR § 1.925(b)(3).</w:t>
      </w:r>
    </w:p>
  </w:footnote>
  <w:footnote w:id="29">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Northeast Cellular Telephone Co. v. FCC</w:t>
      </w:r>
      <w:r w:rsidRPr="009D0D28">
        <w:rPr>
          <w:sz w:val="20"/>
          <w:szCs w:val="20"/>
        </w:rPr>
        <w:t>,</w:t>
      </w:r>
      <w:r w:rsidRPr="009D0D28">
        <w:rPr>
          <w:i/>
          <w:sz w:val="20"/>
          <w:szCs w:val="20"/>
        </w:rPr>
        <w:t xml:space="preserve"> </w:t>
      </w:r>
      <w:r w:rsidRPr="009D0D28">
        <w:rPr>
          <w:sz w:val="20"/>
          <w:szCs w:val="20"/>
        </w:rPr>
        <w:t>897 F.2d 1164, 1166 (D.C. Cir. 1990).</w:t>
      </w:r>
    </w:p>
  </w:footnote>
  <w:footnote w:id="30">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WAIT Radio v. FCC</w:t>
      </w:r>
      <w:r w:rsidRPr="009D0D28">
        <w:rPr>
          <w:sz w:val="20"/>
          <w:szCs w:val="20"/>
        </w:rPr>
        <w:t xml:space="preserve">, 418 F.2d 1153, 1159 (D.C. Cir. 1969); </w:t>
      </w:r>
      <w:r w:rsidRPr="009D0D28">
        <w:rPr>
          <w:i/>
          <w:sz w:val="20"/>
          <w:szCs w:val="20"/>
        </w:rPr>
        <w:t>Northeast Cellular</w:t>
      </w:r>
      <w:r w:rsidRPr="009D0D28">
        <w:rPr>
          <w:sz w:val="20"/>
          <w:szCs w:val="20"/>
        </w:rPr>
        <w:t>, 897 F.2d at 1166.</w:t>
      </w:r>
    </w:p>
  </w:footnote>
  <w:footnote w:id="31">
    <w:p w:rsidR="005A40B1" w:rsidRPr="00E463A4" w:rsidP="009D0D28">
      <w:pPr>
        <w:pStyle w:val="FootnoteText"/>
        <w:spacing w:after="120"/>
      </w:pPr>
      <w:r w:rsidRPr="009D0D28">
        <w:rPr>
          <w:rStyle w:val="FootnoteReference"/>
          <w:sz w:val="20"/>
          <w:szCs w:val="20"/>
        </w:rPr>
        <w:footnoteRef/>
      </w:r>
      <w:r w:rsidRPr="009D0D28">
        <w:rPr>
          <w:sz w:val="20"/>
          <w:szCs w:val="20"/>
        </w:rPr>
        <w:t xml:space="preserve"> </w:t>
      </w:r>
      <w:r w:rsidRPr="009D0D28">
        <w:rPr>
          <w:i/>
          <w:sz w:val="20"/>
          <w:szCs w:val="20"/>
        </w:rPr>
        <w:t>700 MHz Second Report and Order</w:t>
      </w:r>
      <w:r w:rsidRPr="009D0D28">
        <w:rPr>
          <w:sz w:val="20"/>
          <w:szCs w:val="20"/>
        </w:rPr>
        <w:t>,</w:t>
      </w:r>
      <w:r w:rsidRPr="009D0D28">
        <w:rPr>
          <w:i/>
          <w:sz w:val="20"/>
          <w:szCs w:val="20"/>
        </w:rPr>
        <w:t xml:space="preserve"> </w:t>
      </w:r>
      <w:r w:rsidRPr="009D0D28">
        <w:rPr>
          <w:sz w:val="20"/>
          <w:szCs w:val="20"/>
        </w:rPr>
        <w:t>22 FCC Rcd at 15348, para. 153.</w:t>
      </w:r>
    </w:p>
  </w:footnote>
  <w:footnote w:id="32">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700 MHz Second Report and Order</w:t>
      </w:r>
      <w:r w:rsidRPr="009D0D28">
        <w:rPr>
          <w:sz w:val="20"/>
          <w:szCs w:val="20"/>
        </w:rPr>
        <w:t>, 22 FCC Rcd at 15349, para. 155.</w:t>
      </w:r>
    </w:p>
  </w:footnote>
  <w:footnote w:id="33">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Waiver Request at 3.</w:t>
      </w:r>
    </w:p>
  </w:footnote>
  <w:footnote w:id="34">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t>
      </w:r>
      <w:r w:rsidRPr="009D0D28">
        <w:rPr>
          <w:i/>
          <w:sz w:val="20"/>
          <w:szCs w:val="20"/>
        </w:rPr>
        <w:t xml:space="preserve">See Facilitating the Provision of Spectrum-Based Services to Rural Areas and Promoting Opportunities for Rural Telephone Companies </w:t>
      </w:r>
      <w:r w:rsidRPr="009D0D28">
        <w:rPr>
          <w:i/>
          <w:sz w:val="20"/>
          <w:szCs w:val="20"/>
        </w:rPr>
        <w:t>To</w:t>
      </w:r>
      <w:r w:rsidRPr="009D0D28">
        <w:rPr>
          <w:i/>
          <w:sz w:val="20"/>
          <w:szCs w:val="20"/>
        </w:rPr>
        <w:t xml:space="preserve"> Provide Spectrum-Based Services</w:t>
      </w:r>
      <w:r w:rsidRPr="009D0D28">
        <w:rPr>
          <w:sz w:val="20"/>
          <w:szCs w:val="20"/>
        </w:rPr>
        <w:t xml:space="preserve">, Report and Order and Further Notice of Proposed Rule Making, 19 FCC Rcd 19078, 19087, para. 11 (WTB 2004).  </w:t>
      </w:r>
      <w:r w:rsidRPr="009D0D28">
        <w:rPr>
          <w:i/>
          <w:sz w:val="20"/>
          <w:szCs w:val="20"/>
        </w:rPr>
        <w:t xml:space="preserve">See also </w:t>
      </w:r>
      <w:r w:rsidRPr="009D0D28">
        <w:rPr>
          <w:sz w:val="20"/>
          <w:szCs w:val="20"/>
        </w:rPr>
        <w:t xml:space="preserve">Waiver Request at 3; 2010 State and Local Census Guide; U.S. Census Bureau, 2010 Census of Population and Housing, Population and Housing Unit Counts, North Dakota: 2010 (June 2012), at 7, </w:t>
      </w:r>
      <w:r w:rsidR="00421B0A">
        <w:rPr>
          <w:sz w:val="20"/>
          <w:szCs w:val="20"/>
        </w:rPr>
        <w:t>&lt;</w:t>
      </w:r>
      <w:r w:rsidRPr="009D0D28">
        <w:rPr>
          <w:sz w:val="20"/>
          <w:szCs w:val="20"/>
        </w:rPr>
        <w:t>https://www.census.gov/prod/cen2010/cph-2-36.pdf</w:t>
      </w:r>
      <w:r w:rsidR="00421B0A">
        <w:rPr>
          <w:sz w:val="20"/>
          <w:szCs w:val="20"/>
        </w:rPr>
        <w:t>&gt;</w:t>
      </w:r>
      <w:r w:rsidRPr="009D0D28">
        <w:rPr>
          <w:sz w:val="20"/>
          <w:szCs w:val="20"/>
        </w:rPr>
        <w:t>.</w:t>
      </w:r>
    </w:p>
  </w:footnote>
  <w:footnote w:id="35">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Section 309(j) directs the Commission to, among other things, ensure “the deve</w:t>
      </w:r>
      <w:r>
        <w:rPr>
          <w:sz w:val="20"/>
          <w:szCs w:val="20"/>
        </w:rPr>
        <w:t xml:space="preserve">lopment and rapid deployment of </w:t>
      </w:r>
      <w:r w:rsidRPr="009D0D28">
        <w:rPr>
          <w:sz w:val="20"/>
          <w:szCs w:val="20"/>
        </w:rPr>
        <w:t>new technologies, products, and services for the benefit of the public, including those residing in rural areas.” 47 U.S.C. § 309(j)(3).</w:t>
      </w:r>
    </w:p>
  </w:footnote>
  <w:footnote w:id="36">
    <w:p w:rsidR="005A40B1" w:rsidRPr="009D0D28" w:rsidP="009D0D28">
      <w:pPr>
        <w:pStyle w:val="FootnoteText"/>
        <w:spacing w:after="120"/>
        <w:rPr>
          <w:sz w:val="20"/>
          <w:szCs w:val="20"/>
        </w:rPr>
      </w:pPr>
      <w:r w:rsidRPr="009D0D28">
        <w:rPr>
          <w:rStyle w:val="FootnoteReference"/>
          <w:sz w:val="20"/>
          <w:szCs w:val="20"/>
        </w:rPr>
        <w:footnoteRef/>
      </w:r>
      <w:r w:rsidRPr="009D0D28">
        <w:rPr>
          <w:sz w:val="20"/>
          <w:szCs w:val="20"/>
        </w:rPr>
        <w:t xml:space="preserve"> Waiver Request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5594" w:rsidP="000A5594">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2.55pt;mso-wrap-edited:f;position:absolute;visibility:visible;z-index:251658240" o:oleicon="f" o:allowincell="f" filled="t" fillcolor="#3cc">
          <v:imagedata r:id="rId1" o:title="" gain="69719f"/>
          <w10:wrap type="topAndBottom"/>
        </v:shape>
        <o:OLEObject Type="Embed" ProgID="Word.Picture.8" ShapeID="_x0000_s2049" DrawAspect="Content" ObjectID="_1590404036" r:id="rId2"/>
      </w:pict>
    </w:r>
    <w:r>
      <w:rPr>
        <w:rFonts w:ascii="CG Times (W1)" w:hAnsi="CG Times (W1)"/>
        <w:sz w:val="28"/>
      </w:rPr>
      <w:t>Federal Communications Commission</w:t>
    </w:r>
  </w:p>
  <w:p w:rsidR="000A5594" w:rsidP="000A5594">
    <w:pPr>
      <w:jc w:val="center"/>
    </w:pPr>
    <w:r>
      <w:rPr>
        <w:rFonts w:ascii="CG Times (W1)" w:hAnsi="CG Times (W1)"/>
        <w:sz w:val="28"/>
      </w:rPr>
      <w:t>Washington, D.C. 20554</w:t>
    </w:r>
  </w:p>
  <w:p w:rsidR="000A5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B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43605"/>
    <w:pPr>
      <w:numPr>
        <w:numId w:val="1"/>
      </w:numPr>
      <w:tabs>
        <w:tab w:val="num" w:pos="1440"/>
      </w:tabs>
      <w:spacing w:after="120" w:line="259" w:lineRule="auto"/>
    </w:p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basedOn w:val="Normal"/>
    <w:link w:val="FootnoteTextChar"/>
    <w:uiPriority w:val="99"/>
    <w:unhideWhenUsed/>
    <w:qFormat/>
    <w:rsid w:val="00174B9E"/>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3 Char Char1 Char,f Char,fn Char"/>
    <w:basedOn w:val="DefaultParagraphFont"/>
    <w:link w:val="FootnoteText"/>
    <w:uiPriority w:val="99"/>
    <w:rsid w:val="00174B9E"/>
    <w:rPr>
      <w:rFonts w:eastAsia="Times New Roman"/>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unhideWhenUsed/>
    <w:qFormat/>
    <w:rsid w:val="00174B9E"/>
    <w:rPr>
      <w:vertAlign w:val="superscript"/>
    </w:rPr>
  </w:style>
  <w:style w:type="paragraph" w:styleId="Header">
    <w:name w:val="header"/>
    <w:basedOn w:val="Normal"/>
    <w:link w:val="HeaderChar"/>
    <w:unhideWhenUsed/>
    <w:rsid w:val="004510C8"/>
    <w:pPr>
      <w:tabs>
        <w:tab w:val="center" w:pos="4680"/>
        <w:tab w:val="right" w:pos="9360"/>
      </w:tabs>
    </w:pPr>
  </w:style>
  <w:style w:type="character" w:customStyle="1" w:styleId="HeaderChar">
    <w:name w:val="Header Char"/>
    <w:basedOn w:val="DefaultParagraphFont"/>
    <w:link w:val="Header"/>
    <w:uiPriority w:val="99"/>
    <w:rsid w:val="004510C8"/>
    <w:rPr>
      <w:rFonts w:eastAsia="Times New Roman"/>
      <w:sz w:val="20"/>
      <w:szCs w:val="20"/>
    </w:rPr>
  </w:style>
  <w:style w:type="paragraph" w:styleId="Footer">
    <w:name w:val="footer"/>
    <w:basedOn w:val="Normal"/>
    <w:link w:val="FooterChar"/>
    <w:uiPriority w:val="99"/>
    <w:unhideWhenUsed/>
    <w:rsid w:val="004510C8"/>
    <w:pPr>
      <w:tabs>
        <w:tab w:val="center" w:pos="4680"/>
        <w:tab w:val="right" w:pos="9360"/>
      </w:tabs>
    </w:pPr>
  </w:style>
  <w:style w:type="character" w:customStyle="1" w:styleId="FooterChar">
    <w:name w:val="Footer Char"/>
    <w:basedOn w:val="DefaultParagraphFont"/>
    <w:link w:val="Footer"/>
    <w:uiPriority w:val="99"/>
    <w:rsid w:val="004510C8"/>
    <w:rPr>
      <w:rFonts w:eastAsia="Times New Roman"/>
      <w:sz w:val="20"/>
      <w:szCs w:val="20"/>
    </w:rPr>
  </w:style>
  <w:style w:type="character" w:styleId="CommentReference">
    <w:name w:val="annotation reference"/>
    <w:basedOn w:val="DefaultParagraphFont"/>
    <w:uiPriority w:val="99"/>
    <w:semiHidden/>
    <w:unhideWhenUsed/>
    <w:rsid w:val="00A91A19"/>
    <w:rPr>
      <w:sz w:val="16"/>
      <w:szCs w:val="16"/>
    </w:rPr>
  </w:style>
  <w:style w:type="paragraph" w:styleId="CommentText">
    <w:name w:val="annotation text"/>
    <w:basedOn w:val="Normal"/>
    <w:link w:val="CommentTextChar"/>
    <w:uiPriority w:val="99"/>
    <w:semiHidden/>
    <w:unhideWhenUsed/>
    <w:rsid w:val="00A91A19"/>
  </w:style>
  <w:style w:type="character" w:customStyle="1" w:styleId="CommentTextChar">
    <w:name w:val="Comment Text Char"/>
    <w:basedOn w:val="DefaultParagraphFont"/>
    <w:link w:val="CommentText"/>
    <w:uiPriority w:val="99"/>
    <w:semiHidden/>
    <w:rsid w:val="00A91A1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91A19"/>
    <w:rPr>
      <w:b/>
      <w:bCs/>
    </w:rPr>
  </w:style>
  <w:style w:type="character" w:customStyle="1" w:styleId="CommentSubjectChar">
    <w:name w:val="Comment Subject Char"/>
    <w:basedOn w:val="CommentTextChar"/>
    <w:link w:val="CommentSubject"/>
    <w:uiPriority w:val="99"/>
    <w:semiHidden/>
    <w:rsid w:val="00A91A19"/>
    <w:rPr>
      <w:rFonts w:eastAsia="Times New Roman"/>
      <w:b/>
      <w:bCs/>
      <w:sz w:val="20"/>
      <w:szCs w:val="20"/>
    </w:rPr>
  </w:style>
  <w:style w:type="paragraph" w:styleId="BalloonText">
    <w:name w:val="Balloon Text"/>
    <w:basedOn w:val="Normal"/>
    <w:link w:val="BalloonTextChar"/>
    <w:uiPriority w:val="99"/>
    <w:semiHidden/>
    <w:unhideWhenUsed/>
    <w:rsid w:val="00A9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A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