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8271DC">
      <w:pPr>
        <w:ind w:left="3600" w:firstLine="720"/>
        <w:rPr>
          <w:b/>
        </w:rPr>
      </w:pPr>
      <w:bookmarkStart w:id="0" w:name="_GoBack"/>
      <w:bookmarkEnd w:id="0"/>
      <w:r>
        <w:rPr>
          <w:b/>
        </w:rPr>
        <w:t>Before the</w:t>
      </w:r>
    </w:p>
    <w:p w:rsidR="008271DC">
      <w:pPr>
        <w:jc w:val="center"/>
        <w:rPr>
          <w:b/>
          <w:szCs w:val="22"/>
        </w:rPr>
      </w:pPr>
      <w:r>
        <w:rPr>
          <w:b/>
          <w:szCs w:val="22"/>
        </w:rPr>
        <w:t>Federal Communications Commission</w:t>
      </w:r>
    </w:p>
    <w:p w:rsidR="008271DC">
      <w:pPr>
        <w:jc w:val="center"/>
        <w:rPr>
          <w:b/>
          <w:szCs w:val="22"/>
        </w:rPr>
      </w:pPr>
      <w:r>
        <w:rPr>
          <w:b/>
          <w:szCs w:val="22"/>
        </w:rPr>
        <w:t>Washington, D.C.  20554</w:t>
      </w:r>
    </w:p>
    <w:p w:rsidR="008271DC">
      <w:pPr>
        <w:jc w:val="center"/>
        <w:rPr>
          <w:szCs w:val="22"/>
        </w:rPr>
      </w:pPr>
    </w:p>
    <w:p w:rsidR="008271DC">
      <w:pPr>
        <w:rPr>
          <w:szCs w:val="22"/>
        </w:rPr>
      </w:pPr>
    </w:p>
    <w:tbl>
      <w:tblPr>
        <w:tblW w:w="9648" w:type="dxa"/>
        <w:tblLayout w:type="fixed"/>
        <w:tblLook w:val="0000"/>
      </w:tblPr>
      <w:tblGrid>
        <w:gridCol w:w="4698"/>
        <w:gridCol w:w="720"/>
        <w:gridCol w:w="4230"/>
      </w:tblGrid>
      <w:tr w:rsidTr="00386317">
        <w:tblPrEx>
          <w:tblW w:w="9648" w:type="dxa"/>
          <w:tblLayout w:type="fixed"/>
          <w:tblLook w:val="0000"/>
        </w:tblPrEx>
        <w:tc>
          <w:tcPr>
            <w:tcW w:w="4698" w:type="dxa"/>
          </w:tcPr>
          <w:p w:rsidR="00474557" w:rsidP="00386317">
            <w:pPr>
              <w:ind w:right="-18"/>
              <w:rPr>
                <w:szCs w:val="22"/>
              </w:rPr>
            </w:pPr>
            <w:r>
              <w:rPr>
                <w:szCs w:val="22"/>
              </w:rPr>
              <w:t xml:space="preserve">In re Applications </w:t>
            </w:r>
            <w:r>
              <w:rPr>
                <w:szCs w:val="22"/>
              </w:rPr>
              <w:t xml:space="preserve">of  </w:t>
            </w:r>
          </w:p>
          <w:p w:rsidR="00611BAB" w:rsidP="00386317">
            <w:pPr>
              <w:ind w:right="-18"/>
              <w:rPr>
                <w:szCs w:val="22"/>
              </w:rPr>
            </w:pPr>
          </w:p>
          <w:p w:rsidR="005F5B60" w:rsidP="005F5B60">
            <w:pPr>
              <w:ind w:right="-18"/>
              <w:rPr>
                <w:szCs w:val="22"/>
              </w:rPr>
            </w:pPr>
            <w:r>
              <w:rPr>
                <w:szCs w:val="22"/>
              </w:rPr>
              <w:t>South Texas Broadcasting</w:t>
            </w:r>
            <w:r w:rsidR="00C07B92">
              <w:rPr>
                <w:szCs w:val="22"/>
              </w:rPr>
              <w:t>,</w:t>
            </w:r>
            <w:r>
              <w:rPr>
                <w:szCs w:val="22"/>
              </w:rPr>
              <w:t xml:space="preserve"> Inc. </w:t>
            </w:r>
          </w:p>
          <w:p w:rsidR="00F51C4B" w:rsidP="005F5B60">
            <w:pPr>
              <w:ind w:right="-18"/>
              <w:rPr>
                <w:szCs w:val="22"/>
              </w:rPr>
            </w:pPr>
            <w:r>
              <w:rPr>
                <w:szCs w:val="22"/>
              </w:rPr>
              <w:t>(Subsidiary of</w:t>
            </w:r>
            <w:r w:rsidR="00EA0D47">
              <w:rPr>
                <w:szCs w:val="22"/>
              </w:rPr>
              <w:t xml:space="preserve"> </w:t>
            </w:r>
            <w:r>
              <w:rPr>
                <w:szCs w:val="22"/>
              </w:rPr>
              <w:t xml:space="preserve">Salem Media Group, Inc.) </w:t>
            </w:r>
            <w:r w:rsidR="009C315D">
              <w:rPr>
                <w:szCs w:val="22"/>
              </w:rPr>
              <w:t>(</w:t>
            </w:r>
            <w:r>
              <w:rPr>
                <w:szCs w:val="22"/>
              </w:rPr>
              <w:t>Assignor</w:t>
            </w:r>
            <w:r w:rsidR="001C02DA">
              <w:rPr>
                <w:szCs w:val="22"/>
              </w:rPr>
              <w:t>)</w:t>
            </w:r>
          </w:p>
          <w:p w:rsidR="00F51C4B" w:rsidP="00386317">
            <w:pPr>
              <w:tabs>
                <w:tab w:val="left" w:pos="0"/>
              </w:tabs>
              <w:suppressAutoHyphens/>
              <w:ind w:left="5040" w:hanging="5040"/>
              <w:rPr>
                <w:szCs w:val="22"/>
              </w:rPr>
            </w:pPr>
          </w:p>
          <w:p w:rsidR="00F51C4B" w:rsidP="00386317">
            <w:pPr>
              <w:tabs>
                <w:tab w:val="left" w:pos="0"/>
              </w:tabs>
              <w:suppressAutoHyphens/>
              <w:ind w:left="5040" w:hanging="5040"/>
              <w:rPr>
                <w:szCs w:val="22"/>
              </w:rPr>
            </w:pPr>
            <w:r>
              <w:rPr>
                <w:szCs w:val="22"/>
              </w:rPr>
              <w:t xml:space="preserve">and </w:t>
            </w:r>
          </w:p>
          <w:p w:rsidR="00C07B92" w:rsidP="00386317">
            <w:pPr>
              <w:tabs>
                <w:tab w:val="left" w:pos="0"/>
              </w:tabs>
              <w:suppressAutoHyphens/>
              <w:ind w:left="5040" w:hanging="5040"/>
              <w:rPr>
                <w:szCs w:val="22"/>
              </w:rPr>
            </w:pPr>
          </w:p>
          <w:p w:rsidR="00B93E25" w:rsidP="00386317">
            <w:pPr>
              <w:tabs>
                <w:tab w:val="left" w:pos="0"/>
              </w:tabs>
              <w:suppressAutoHyphens/>
              <w:ind w:left="5040" w:hanging="5040"/>
              <w:rPr>
                <w:szCs w:val="22"/>
              </w:rPr>
            </w:pPr>
            <w:r>
              <w:rPr>
                <w:szCs w:val="22"/>
              </w:rPr>
              <w:t xml:space="preserve">Caron Broadcasting, Inc. </w:t>
            </w:r>
          </w:p>
          <w:p w:rsidR="005F5B60" w:rsidP="00386317">
            <w:pPr>
              <w:tabs>
                <w:tab w:val="left" w:pos="0"/>
              </w:tabs>
              <w:suppressAutoHyphens/>
              <w:ind w:left="5040" w:hanging="5040"/>
              <w:rPr>
                <w:szCs w:val="22"/>
              </w:rPr>
            </w:pPr>
            <w:r>
              <w:rPr>
                <w:szCs w:val="22"/>
              </w:rPr>
              <w:t>(Subsidiary of Salem Media Group, Inc.)</w:t>
            </w:r>
          </w:p>
          <w:p w:rsidR="00B93E25" w:rsidP="00386317">
            <w:pPr>
              <w:tabs>
                <w:tab w:val="left" w:pos="0"/>
              </w:tabs>
              <w:suppressAutoHyphens/>
              <w:ind w:left="5040" w:hanging="5040"/>
              <w:rPr>
                <w:szCs w:val="22"/>
              </w:rPr>
            </w:pPr>
            <w:r>
              <w:rPr>
                <w:szCs w:val="22"/>
              </w:rPr>
              <w:t>(Assignee)</w:t>
            </w:r>
          </w:p>
          <w:p w:rsidR="00B93E25" w:rsidP="00386317">
            <w:pPr>
              <w:tabs>
                <w:tab w:val="left" w:pos="0"/>
              </w:tabs>
              <w:suppressAutoHyphens/>
              <w:ind w:left="5040" w:hanging="5040"/>
              <w:rPr>
                <w:szCs w:val="22"/>
              </w:rPr>
            </w:pPr>
            <w:r>
              <w:rPr>
                <w:szCs w:val="22"/>
              </w:rPr>
              <w:t xml:space="preserve"> </w:t>
            </w:r>
          </w:p>
          <w:p w:rsidR="001C1CD7" w:rsidP="00386317">
            <w:pPr>
              <w:tabs>
                <w:tab w:val="left" w:pos="0"/>
              </w:tabs>
              <w:suppressAutoHyphens/>
              <w:ind w:left="5040" w:hanging="5040"/>
              <w:rPr>
                <w:szCs w:val="22"/>
              </w:rPr>
            </w:pPr>
            <w:r>
              <w:rPr>
                <w:szCs w:val="22"/>
              </w:rPr>
              <w:t xml:space="preserve">For </w:t>
            </w:r>
            <w:r w:rsidRPr="009168C0">
              <w:rPr>
                <w:i/>
                <w:szCs w:val="22"/>
              </w:rPr>
              <w:t>Pro Forma</w:t>
            </w:r>
            <w:r>
              <w:rPr>
                <w:szCs w:val="22"/>
              </w:rPr>
              <w:t xml:space="preserve"> Assignment of</w:t>
            </w:r>
            <w:r w:rsidR="007273FC">
              <w:rPr>
                <w:szCs w:val="22"/>
              </w:rPr>
              <w:t xml:space="preserve"> </w:t>
            </w:r>
            <w:r>
              <w:rPr>
                <w:szCs w:val="22"/>
              </w:rPr>
              <w:t>Broadcast</w:t>
            </w:r>
          </w:p>
          <w:p w:rsidR="00F255BD" w:rsidP="00386317">
            <w:pPr>
              <w:tabs>
                <w:tab w:val="left" w:pos="0"/>
              </w:tabs>
              <w:suppressAutoHyphens/>
              <w:ind w:left="5040" w:hanging="5040"/>
              <w:rPr>
                <w:szCs w:val="22"/>
              </w:rPr>
            </w:pPr>
            <w:r>
              <w:rPr>
                <w:szCs w:val="22"/>
              </w:rPr>
              <w:t>Station</w:t>
            </w:r>
            <w:r>
              <w:rPr>
                <w:szCs w:val="22"/>
              </w:rPr>
              <w:t xml:space="preserve"> Licenses</w:t>
            </w:r>
          </w:p>
          <w:p w:rsidR="00B93E25" w:rsidP="00966E77">
            <w:pPr>
              <w:ind w:right="-18"/>
              <w:rPr>
                <w:szCs w:val="22"/>
              </w:rPr>
            </w:pPr>
          </w:p>
        </w:tc>
        <w:tc>
          <w:tcPr>
            <w:tcW w:w="720" w:type="dxa"/>
          </w:tcPr>
          <w:p w:rsidR="00474557" w:rsidP="00386317">
            <w:pPr>
              <w:rPr>
                <w:b/>
                <w:szCs w:val="22"/>
              </w:rPr>
            </w:pPr>
            <w:r>
              <w:rPr>
                <w:b/>
                <w:szCs w:val="22"/>
              </w:rPr>
              <w:t>)</w:t>
            </w:r>
          </w:p>
          <w:p w:rsidR="00474557" w:rsidP="00386317">
            <w:pPr>
              <w:rPr>
                <w:b/>
                <w:szCs w:val="22"/>
              </w:rPr>
            </w:pPr>
            <w:r>
              <w:rPr>
                <w:b/>
                <w:szCs w:val="22"/>
              </w:rPr>
              <w:t>)</w:t>
            </w:r>
          </w:p>
          <w:p w:rsidR="00474557" w:rsidP="00386317">
            <w:pPr>
              <w:rPr>
                <w:b/>
                <w:szCs w:val="22"/>
              </w:rPr>
            </w:pPr>
            <w:r>
              <w:rPr>
                <w:b/>
                <w:szCs w:val="22"/>
              </w:rPr>
              <w:t>)</w:t>
            </w:r>
          </w:p>
          <w:p w:rsidR="00474557" w:rsidP="00386317">
            <w:pPr>
              <w:rPr>
                <w:b/>
                <w:szCs w:val="22"/>
              </w:rPr>
            </w:pPr>
            <w:r>
              <w:rPr>
                <w:b/>
                <w:szCs w:val="22"/>
              </w:rPr>
              <w:t>)</w:t>
            </w:r>
          </w:p>
          <w:p w:rsidR="00474557" w:rsidP="00386317">
            <w:pPr>
              <w:rPr>
                <w:b/>
                <w:szCs w:val="22"/>
              </w:rPr>
            </w:pPr>
            <w:r>
              <w:rPr>
                <w:b/>
                <w:szCs w:val="22"/>
              </w:rPr>
              <w:t>)</w:t>
            </w:r>
          </w:p>
          <w:p w:rsidR="00474557" w:rsidP="00386317">
            <w:pPr>
              <w:rPr>
                <w:b/>
                <w:szCs w:val="22"/>
              </w:rPr>
            </w:pPr>
            <w:r>
              <w:rPr>
                <w:b/>
                <w:szCs w:val="22"/>
              </w:rPr>
              <w:t>)</w:t>
            </w:r>
          </w:p>
          <w:p w:rsidR="00966E77" w:rsidP="00386317">
            <w:pPr>
              <w:rPr>
                <w:b/>
                <w:szCs w:val="22"/>
              </w:rPr>
            </w:pPr>
            <w:r>
              <w:rPr>
                <w:b/>
                <w:szCs w:val="22"/>
              </w:rPr>
              <w:t>)</w:t>
            </w:r>
          </w:p>
          <w:p w:rsidR="00474557" w:rsidP="00386317">
            <w:pPr>
              <w:rPr>
                <w:b/>
                <w:szCs w:val="22"/>
              </w:rPr>
            </w:pPr>
            <w:r>
              <w:rPr>
                <w:b/>
                <w:szCs w:val="22"/>
              </w:rPr>
              <w:t>)</w:t>
            </w:r>
          </w:p>
          <w:p w:rsidR="00966E77" w:rsidP="00386317">
            <w:pPr>
              <w:rPr>
                <w:b/>
                <w:szCs w:val="22"/>
              </w:rPr>
            </w:pPr>
            <w:r>
              <w:rPr>
                <w:b/>
                <w:szCs w:val="22"/>
              </w:rPr>
              <w:t>)</w:t>
            </w:r>
          </w:p>
          <w:p w:rsidR="00EA0D47" w:rsidP="00386317">
            <w:pPr>
              <w:rPr>
                <w:b/>
                <w:szCs w:val="22"/>
              </w:rPr>
            </w:pPr>
            <w:r>
              <w:rPr>
                <w:b/>
                <w:szCs w:val="22"/>
              </w:rPr>
              <w:t>)</w:t>
            </w:r>
          </w:p>
          <w:p w:rsidR="00EA0D47" w:rsidP="00386317">
            <w:pPr>
              <w:rPr>
                <w:b/>
                <w:szCs w:val="22"/>
              </w:rPr>
            </w:pPr>
            <w:r>
              <w:rPr>
                <w:b/>
                <w:szCs w:val="22"/>
              </w:rPr>
              <w:t>)</w:t>
            </w:r>
          </w:p>
          <w:p w:rsidR="001C02DA" w:rsidP="00386317">
            <w:pPr>
              <w:rPr>
                <w:b/>
                <w:szCs w:val="22"/>
              </w:rPr>
            </w:pPr>
            <w:r>
              <w:rPr>
                <w:b/>
                <w:szCs w:val="22"/>
              </w:rPr>
              <w:t>)</w:t>
            </w:r>
          </w:p>
          <w:p w:rsidR="001C02DA" w:rsidP="00386317">
            <w:pPr>
              <w:rPr>
                <w:b/>
                <w:szCs w:val="22"/>
              </w:rPr>
            </w:pPr>
            <w:r>
              <w:rPr>
                <w:b/>
                <w:szCs w:val="22"/>
              </w:rPr>
              <w:t>)</w:t>
            </w:r>
          </w:p>
          <w:p w:rsidR="00F255BD" w:rsidP="001C1CD7">
            <w:pPr>
              <w:rPr>
                <w:b/>
                <w:szCs w:val="22"/>
              </w:rPr>
            </w:pPr>
          </w:p>
        </w:tc>
        <w:tc>
          <w:tcPr>
            <w:tcW w:w="4230" w:type="dxa"/>
          </w:tcPr>
          <w:p w:rsidR="00474557" w:rsidP="00386317">
            <w:pPr>
              <w:rPr>
                <w:szCs w:val="22"/>
              </w:rPr>
            </w:pPr>
          </w:p>
          <w:p w:rsidR="009A7DC2" w:rsidP="009A7DC2">
            <w:pPr>
              <w:rPr>
                <w:szCs w:val="22"/>
              </w:rPr>
            </w:pPr>
          </w:p>
          <w:p w:rsidR="00C07B92" w:rsidP="00C07B92">
            <w:pPr>
              <w:rPr>
                <w:szCs w:val="22"/>
              </w:rPr>
            </w:pPr>
            <w:r w:rsidRPr="008A68BD">
              <w:rPr>
                <w:szCs w:val="22"/>
              </w:rPr>
              <w:t xml:space="preserve">NAL/Acct. No. </w:t>
            </w:r>
            <w:r w:rsidRPr="008A68BD">
              <w:rPr>
                <w:bCs/>
                <w:szCs w:val="22"/>
              </w:rPr>
              <w:t>MB-</w:t>
            </w:r>
            <w:r>
              <w:rPr>
                <w:bCs/>
                <w:szCs w:val="22"/>
              </w:rPr>
              <w:t>2018414100</w:t>
            </w:r>
            <w:r w:rsidR="008C368E">
              <w:rPr>
                <w:bCs/>
                <w:szCs w:val="22"/>
              </w:rPr>
              <w:t>13</w:t>
            </w:r>
          </w:p>
          <w:p w:rsidR="00474557" w:rsidP="009A7DC2">
            <w:pPr>
              <w:rPr>
                <w:szCs w:val="22"/>
              </w:rPr>
            </w:pPr>
          </w:p>
          <w:p w:rsidR="001C02DA" w:rsidP="00363F8B">
            <w:pPr>
              <w:rPr>
                <w:szCs w:val="22"/>
              </w:rPr>
            </w:pPr>
          </w:p>
          <w:p w:rsidR="005F5B60" w:rsidP="00363F8B">
            <w:pPr>
              <w:rPr>
                <w:szCs w:val="22"/>
              </w:rPr>
            </w:pPr>
          </w:p>
          <w:p w:rsidR="00F51C4B" w:rsidP="00363F8B">
            <w:pPr>
              <w:rPr>
                <w:szCs w:val="22"/>
              </w:rPr>
            </w:pPr>
            <w:r>
              <w:rPr>
                <w:szCs w:val="22"/>
              </w:rPr>
              <w:t>FRN: 000</w:t>
            </w:r>
            <w:r w:rsidR="005F5B60">
              <w:rPr>
                <w:szCs w:val="22"/>
              </w:rPr>
              <w:t>1649474</w:t>
            </w:r>
          </w:p>
          <w:p w:rsidR="00F51C4B" w:rsidP="00363F8B">
            <w:pPr>
              <w:rPr>
                <w:szCs w:val="22"/>
              </w:rPr>
            </w:pPr>
            <w:r>
              <w:rPr>
                <w:szCs w:val="22"/>
              </w:rPr>
              <w:t>File No</w:t>
            </w:r>
            <w:r w:rsidR="001468B1">
              <w:rPr>
                <w:szCs w:val="22"/>
              </w:rPr>
              <w:t>s</w:t>
            </w:r>
            <w:r>
              <w:rPr>
                <w:szCs w:val="22"/>
              </w:rPr>
              <w:t>. B</w:t>
            </w:r>
            <w:r w:rsidR="00DF08F7">
              <w:rPr>
                <w:szCs w:val="22"/>
              </w:rPr>
              <w:t>AL</w:t>
            </w:r>
            <w:r w:rsidR="005F5B60">
              <w:rPr>
                <w:szCs w:val="22"/>
              </w:rPr>
              <w:t>H</w:t>
            </w:r>
            <w:r w:rsidR="00DF08F7">
              <w:rPr>
                <w:szCs w:val="22"/>
              </w:rPr>
              <w:t>-</w:t>
            </w:r>
            <w:r w:rsidR="00363F8B">
              <w:rPr>
                <w:szCs w:val="22"/>
              </w:rPr>
              <w:t>201</w:t>
            </w:r>
            <w:r w:rsidR="005F5B60">
              <w:rPr>
                <w:szCs w:val="22"/>
              </w:rPr>
              <w:t>71211ADP</w:t>
            </w:r>
            <w:r w:rsidR="00EA0D47">
              <w:rPr>
                <w:szCs w:val="22"/>
              </w:rPr>
              <w:t xml:space="preserve">, </w:t>
            </w:r>
            <w:r w:rsidRPr="00EA0D47" w:rsidR="00EA0D47">
              <w:rPr>
                <w:i/>
                <w:szCs w:val="22"/>
              </w:rPr>
              <w:t>et. al</w:t>
            </w:r>
            <w:r w:rsidR="00EA0D47">
              <w:rPr>
                <w:szCs w:val="22"/>
              </w:rPr>
              <w:t xml:space="preserve">. </w:t>
            </w:r>
          </w:p>
          <w:p w:rsidR="00F51C4B" w:rsidP="00363F8B">
            <w:pPr>
              <w:rPr>
                <w:szCs w:val="22"/>
              </w:rPr>
            </w:pPr>
          </w:p>
          <w:p w:rsidR="00F51C4B" w:rsidP="00363F8B">
            <w:pPr>
              <w:rPr>
                <w:szCs w:val="22"/>
              </w:rPr>
            </w:pPr>
          </w:p>
          <w:p w:rsidR="00F51C4B" w:rsidP="00363F8B">
            <w:pPr>
              <w:rPr>
                <w:szCs w:val="22"/>
              </w:rPr>
            </w:pPr>
          </w:p>
          <w:p w:rsidR="00F51C4B" w:rsidP="00363F8B">
            <w:pPr>
              <w:rPr>
                <w:szCs w:val="22"/>
              </w:rPr>
            </w:pPr>
          </w:p>
          <w:p w:rsidR="001C02DA" w:rsidP="00363F8B">
            <w:pPr>
              <w:rPr>
                <w:szCs w:val="22"/>
              </w:rPr>
            </w:pPr>
          </w:p>
          <w:p w:rsidR="001C02DA" w:rsidP="00363F8B">
            <w:pPr>
              <w:rPr>
                <w:szCs w:val="22"/>
              </w:rPr>
            </w:pPr>
          </w:p>
          <w:p w:rsidR="00474557" w:rsidRPr="00D433F1" w:rsidP="00363F8B">
            <w:pPr>
              <w:rPr>
                <w:i/>
                <w:szCs w:val="22"/>
              </w:rPr>
            </w:pPr>
          </w:p>
        </w:tc>
      </w:tr>
    </w:tbl>
    <w:p w:rsidR="008271DC">
      <w:pPr>
        <w:tabs>
          <w:tab w:val="left" w:pos="4680"/>
        </w:tabs>
        <w:rPr>
          <w:szCs w:val="22"/>
        </w:rPr>
      </w:pPr>
      <w:r>
        <w:rPr>
          <w:szCs w:val="22"/>
        </w:rPr>
        <w:tab/>
      </w:r>
      <w:r>
        <w:rPr>
          <w:szCs w:val="22"/>
        </w:rPr>
        <w:tab/>
      </w:r>
    </w:p>
    <w:p w:rsidR="008271DC" w:rsidP="008C6920">
      <w:pPr>
        <w:pStyle w:val="Heading1"/>
        <w:numPr>
          <w:ilvl w:val="0"/>
          <w:numId w:val="0"/>
        </w:numPr>
        <w:ind w:left="720"/>
        <w:jc w:val="center"/>
        <w:rPr>
          <w:szCs w:val="22"/>
        </w:rPr>
      </w:pPr>
      <w:r>
        <w:rPr>
          <w:szCs w:val="22"/>
        </w:rPr>
        <w:t>ORDER</w:t>
      </w:r>
    </w:p>
    <w:p w:rsidR="008271DC">
      <w:pPr>
        <w:tabs>
          <w:tab w:val="left" w:pos="4680"/>
        </w:tabs>
        <w:jc w:val="center"/>
        <w:rPr>
          <w:szCs w:val="22"/>
        </w:rPr>
      </w:pPr>
    </w:p>
    <w:p w:rsidR="008271DC">
      <w:pPr>
        <w:tabs>
          <w:tab w:val="left" w:pos="770"/>
          <w:tab w:val="left" w:pos="1430"/>
          <w:tab w:val="left" w:pos="4680"/>
        </w:tabs>
        <w:rPr>
          <w:b/>
          <w:szCs w:val="22"/>
        </w:rPr>
      </w:pPr>
      <w:r>
        <w:rPr>
          <w:b/>
          <w:szCs w:val="22"/>
        </w:rPr>
        <w:t xml:space="preserve">Adopted:  </w:t>
      </w:r>
      <w:r w:rsidR="00A32DD8">
        <w:rPr>
          <w:b/>
          <w:szCs w:val="22"/>
        </w:rPr>
        <w:t>June</w:t>
      </w:r>
      <w:r w:rsidR="00B73C96">
        <w:rPr>
          <w:b/>
          <w:szCs w:val="22"/>
        </w:rPr>
        <w:t xml:space="preserve"> 26</w:t>
      </w:r>
      <w:r w:rsidR="005A5B3C">
        <w:rPr>
          <w:b/>
          <w:szCs w:val="22"/>
        </w:rPr>
        <w:t>, 201</w:t>
      </w:r>
      <w:r w:rsidR="00EA0D47">
        <w:rPr>
          <w:b/>
          <w:szCs w:val="22"/>
        </w:rPr>
        <w:t>8</w:t>
      </w:r>
      <w:r>
        <w:rPr>
          <w:szCs w:val="22"/>
        </w:rPr>
        <w:tab/>
      </w:r>
      <w:r>
        <w:rPr>
          <w:szCs w:val="22"/>
        </w:rPr>
        <w:tab/>
      </w:r>
      <w:r>
        <w:rPr>
          <w:szCs w:val="22"/>
        </w:rPr>
        <w:tab/>
      </w:r>
      <w:r>
        <w:rPr>
          <w:b/>
          <w:szCs w:val="22"/>
        </w:rPr>
        <w:t xml:space="preserve">Released:   </w:t>
      </w:r>
      <w:r w:rsidR="008116DD">
        <w:rPr>
          <w:b/>
          <w:szCs w:val="22"/>
        </w:rPr>
        <w:t xml:space="preserve"> </w:t>
      </w:r>
      <w:r w:rsidR="00A32DD8">
        <w:rPr>
          <w:b/>
          <w:szCs w:val="22"/>
        </w:rPr>
        <w:t>June</w:t>
      </w:r>
      <w:r w:rsidR="00B73C96">
        <w:rPr>
          <w:b/>
          <w:szCs w:val="22"/>
        </w:rPr>
        <w:t xml:space="preserve"> 27</w:t>
      </w:r>
      <w:r w:rsidR="005A5B3C">
        <w:rPr>
          <w:b/>
          <w:szCs w:val="22"/>
        </w:rPr>
        <w:t>, 201</w:t>
      </w:r>
      <w:r w:rsidR="00EA0D47">
        <w:rPr>
          <w:b/>
          <w:szCs w:val="22"/>
        </w:rPr>
        <w:t>8</w:t>
      </w:r>
    </w:p>
    <w:p w:rsidR="008271DC">
      <w:pPr>
        <w:pStyle w:val="Header"/>
        <w:tabs>
          <w:tab w:val="left" w:pos="4680"/>
        </w:tabs>
        <w:rPr>
          <w:szCs w:val="22"/>
        </w:rPr>
      </w:pPr>
    </w:p>
    <w:p w:rsidR="005D7909">
      <w:pPr>
        <w:tabs>
          <w:tab w:val="left" w:pos="720"/>
          <w:tab w:val="left" w:pos="1430"/>
          <w:tab w:val="left" w:pos="4680"/>
        </w:tabs>
        <w:spacing w:line="480" w:lineRule="auto"/>
        <w:rPr>
          <w:szCs w:val="22"/>
        </w:rPr>
      </w:pPr>
      <w:r>
        <w:rPr>
          <w:szCs w:val="22"/>
        </w:rPr>
        <w:t>By the Chief, Media Bureau:</w:t>
      </w:r>
    </w:p>
    <w:p w:rsidR="00EB7D81" w:rsidRPr="0026172D" w:rsidP="0026172D">
      <w:pPr>
        <w:numPr>
          <w:ilvl w:val="0"/>
          <w:numId w:val="3"/>
        </w:numPr>
        <w:spacing w:after="240"/>
        <w:rPr>
          <w:szCs w:val="22"/>
        </w:rPr>
      </w:pPr>
      <w:r>
        <w:rPr>
          <w:szCs w:val="22"/>
        </w:rPr>
        <w:t>In this Order, w</w:t>
      </w:r>
      <w:r w:rsidRPr="00EB7D81" w:rsidR="00C67D10">
        <w:rPr>
          <w:szCs w:val="22"/>
        </w:rPr>
        <w:t xml:space="preserve">e </w:t>
      </w:r>
      <w:r w:rsidRPr="00EB7D81" w:rsidR="008271DC">
        <w:rPr>
          <w:szCs w:val="22"/>
        </w:rPr>
        <w:t xml:space="preserve">adopt the attached Consent Decree entered into by the </w:t>
      </w:r>
      <w:r>
        <w:rPr>
          <w:szCs w:val="22"/>
        </w:rPr>
        <w:t xml:space="preserve">Media </w:t>
      </w:r>
      <w:r w:rsidRPr="00EB7D81" w:rsidR="008271DC">
        <w:rPr>
          <w:szCs w:val="22"/>
        </w:rPr>
        <w:t>Bureau</w:t>
      </w:r>
      <w:r w:rsidR="00DF08F7">
        <w:rPr>
          <w:szCs w:val="22"/>
        </w:rPr>
        <w:t xml:space="preserve"> (</w:t>
      </w:r>
      <w:r>
        <w:rPr>
          <w:szCs w:val="22"/>
        </w:rPr>
        <w:t>Bureau)</w:t>
      </w:r>
      <w:r w:rsidR="00C0073D">
        <w:rPr>
          <w:szCs w:val="22"/>
        </w:rPr>
        <w:t>,</w:t>
      </w:r>
      <w:r w:rsidR="00D433F1">
        <w:rPr>
          <w:szCs w:val="22"/>
        </w:rPr>
        <w:t xml:space="preserve"> </w:t>
      </w:r>
      <w:r w:rsidR="006D7D77">
        <w:rPr>
          <w:szCs w:val="22"/>
        </w:rPr>
        <w:t xml:space="preserve">Caron Broadcasting, Inc. </w:t>
      </w:r>
      <w:r w:rsidR="00763573">
        <w:rPr>
          <w:szCs w:val="22"/>
        </w:rPr>
        <w:t>(</w:t>
      </w:r>
      <w:r w:rsidR="006D7D77">
        <w:rPr>
          <w:szCs w:val="22"/>
        </w:rPr>
        <w:t xml:space="preserve">Caron </w:t>
      </w:r>
      <w:r w:rsidR="00763573">
        <w:rPr>
          <w:szCs w:val="22"/>
        </w:rPr>
        <w:t>or Licensee)</w:t>
      </w:r>
      <w:r w:rsidR="00C0073D">
        <w:rPr>
          <w:szCs w:val="22"/>
        </w:rPr>
        <w:t>,</w:t>
      </w:r>
      <w:r w:rsidR="00763573">
        <w:rPr>
          <w:szCs w:val="22"/>
        </w:rPr>
        <w:t xml:space="preserve"> and </w:t>
      </w:r>
      <w:r w:rsidR="006D7D77">
        <w:rPr>
          <w:szCs w:val="22"/>
        </w:rPr>
        <w:t>Caron</w:t>
      </w:r>
      <w:r w:rsidR="00C0073D">
        <w:rPr>
          <w:szCs w:val="22"/>
        </w:rPr>
        <w:t xml:space="preserve">’s ultimate </w:t>
      </w:r>
      <w:r w:rsidR="00763573">
        <w:rPr>
          <w:szCs w:val="22"/>
        </w:rPr>
        <w:t>parent corporation</w:t>
      </w:r>
      <w:r w:rsidR="00C0073D">
        <w:rPr>
          <w:szCs w:val="22"/>
        </w:rPr>
        <w:t>,</w:t>
      </w:r>
      <w:r w:rsidR="00763573">
        <w:rPr>
          <w:szCs w:val="22"/>
        </w:rPr>
        <w:t xml:space="preserve"> </w:t>
      </w:r>
      <w:r w:rsidR="006D7D77">
        <w:rPr>
          <w:szCs w:val="22"/>
        </w:rPr>
        <w:t xml:space="preserve">Salem Media </w:t>
      </w:r>
      <w:r w:rsidR="00763573">
        <w:rPr>
          <w:color w:val="212121"/>
          <w:szCs w:val="22"/>
        </w:rPr>
        <w:t>Group, Inc. (</w:t>
      </w:r>
      <w:r w:rsidR="006D7D77">
        <w:rPr>
          <w:color w:val="212121"/>
          <w:szCs w:val="22"/>
        </w:rPr>
        <w:t>Salem</w:t>
      </w:r>
      <w:r w:rsidR="00763573">
        <w:rPr>
          <w:color w:val="212121"/>
          <w:szCs w:val="22"/>
        </w:rPr>
        <w:t xml:space="preserve">).  </w:t>
      </w:r>
      <w:r w:rsidRPr="0026172D" w:rsidR="008271DC">
        <w:rPr>
          <w:szCs w:val="22"/>
        </w:rPr>
        <w:t xml:space="preserve">The Consent Decree resolves issues arising </w:t>
      </w:r>
      <w:r w:rsidR="004A3982">
        <w:rPr>
          <w:szCs w:val="22"/>
        </w:rPr>
        <w:t xml:space="preserve">from </w:t>
      </w:r>
      <w:r w:rsidRPr="0026172D" w:rsidR="008271DC">
        <w:rPr>
          <w:szCs w:val="22"/>
        </w:rPr>
        <w:t xml:space="preserve">the </w:t>
      </w:r>
      <w:r w:rsidR="007A7DE4">
        <w:rPr>
          <w:szCs w:val="22"/>
        </w:rPr>
        <w:t>c</w:t>
      </w:r>
      <w:r w:rsidRPr="0026172D" w:rsidR="008271DC">
        <w:rPr>
          <w:szCs w:val="22"/>
        </w:rPr>
        <w:t xml:space="preserve">aptioned </w:t>
      </w:r>
      <w:r w:rsidR="00CB59CD">
        <w:rPr>
          <w:szCs w:val="22"/>
        </w:rPr>
        <w:t>application</w:t>
      </w:r>
      <w:r w:rsidR="00895E63">
        <w:rPr>
          <w:szCs w:val="22"/>
        </w:rPr>
        <w:t>s</w:t>
      </w:r>
      <w:r w:rsidR="00763573">
        <w:rPr>
          <w:szCs w:val="22"/>
        </w:rPr>
        <w:t xml:space="preserve"> </w:t>
      </w:r>
      <w:r w:rsidR="00CB59CD">
        <w:rPr>
          <w:szCs w:val="22"/>
        </w:rPr>
        <w:t xml:space="preserve">for </w:t>
      </w:r>
      <w:r w:rsidR="006001BF">
        <w:rPr>
          <w:szCs w:val="22"/>
        </w:rPr>
        <w:t xml:space="preserve">Commission </w:t>
      </w:r>
      <w:r w:rsidR="00CB59CD">
        <w:rPr>
          <w:szCs w:val="22"/>
        </w:rPr>
        <w:t xml:space="preserve">consent to </w:t>
      </w:r>
      <w:r w:rsidR="004A3982">
        <w:rPr>
          <w:szCs w:val="22"/>
        </w:rPr>
        <w:t xml:space="preserve">the </w:t>
      </w:r>
      <w:r w:rsidRPr="00A70463" w:rsidR="00763573">
        <w:rPr>
          <w:i/>
          <w:szCs w:val="22"/>
        </w:rPr>
        <w:t>pro forma</w:t>
      </w:r>
      <w:r w:rsidR="00763573">
        <w:rPr>
          <w:szCs w:val="22"/>
        </w:rPr>
        <w:t xml:space="preserve"> </w:t>
      </w:r>
      <w:r w:rsidR="004A3982">
        <w:rPr>
          <w:szCs w:val="22"/>
        </w:rPr>
        <w:t>assignment</w:t>
      </w:r>
      <w:r w:rsidR="006813B4">
        <w:rPr>
          <w:szCs w:val="22"/>
        </w:rPr>
        <w:t xml:space="preserve"> of licenses</w:t>
      </w:r>
      <w:r w:rsidR="009D25A3">
        <w:rPr>
          <w:szCs w:val="22"/>
        </w:rPr>
        <w:t xml:space="preserve"> (Applications) </w:t>
      </w:r>
      <w:r w:rsidR="006D7D77">
        <w:rPr>
          <w:szCs w:val="22"/>
        </w:rPr>
        <w:t>from South Texas Broadcasting, Inc. (South Texas) to Caron</w:t>
      </w:r>
      <w:r w:rsidR="00706851">
        <w:rPr>
          <w:szCs w:val="22"/>
        </w:rPr>
        <w:t>,</w:t>
      </w:r>
      <w:r w:rsidR="006D7D77">
        <w:rPr>
          <w:szCs w:val="22"/>
        </w:rPr>
        <w:t xml:space="preserve"> which </w:t>
      </w:r>
      <w:r w:rsidR="00706851">
        <w:rPr>
          <w:szCs w:val="22"/>
        </w:rPr>
        <w:t xml:space="preserve">transaction the Licensee consummated on December 31, 2017, prior to </w:t>
      </w:r>
      <w:r w:rsidR="006D7D77">
        <w:rPr>
          <w:szCs w:val="22"/>
        </w:rPr>
        <w:t xml:space="preserve">the </w:t>
      </w:r>
      <w:r w:rsidR="007A7DE4">
        <w:rPr>
          <w:szCs w:val="22"/>
        </w:rPr>
        <w:t>Bureau</w:t>
      </w:r>
      <w:r w:rsidR="00706851">
        <w:rPr>
          <w:szCs w:val="22"/>
        </w:rPr>
        <w:t>’s grant of the Applications on</w:t>
      </w:r>
      <w:r w:rsidR="007A7DE4">
        <w:rPr>
          <w:szCs w:val="22"/>
        </w:rPr>
        <w:t xml:space="preserve"> February 28, 2018</w:t>
      </w:r>
      <w:r w:rsidR="00763573">
        <w:rPr>
          <w:szCs w:val="22"/>
        </w:rPr>
        <w:t>.</w:t>
      </w:r>
      <w:r>
        <w:rPr>
          <w:rStyle w:val="FootnoteReference"/>
          <w:szCs w:val="22"/>
        </w:rPr>
        <w:footnoteReference w:id="3"/>
      </w:r>
      <w:r w:rsidR="00763573">
        <w:rPr>
          <w:szCs w:val="22"/>
        </w:rPr>
        <w:t xml:space="preserve">  </w:t>
      </w:r>
    </w:p>
    <w:p w:rsidR="004B0D1D" w:rsidRPr="00BF5547" w:rsidP="00BF5547">
      <w:pPr>
        <w:numPr>
          <w:ilvl w:val="0"/>
          <w:numId w:val="3"/>
        </w:numPr>
        <w:spacing w:after="240"/>
        <w:rPr>
          <w:szCs w:val="22"/>
        </w:rPr>
      </w:pPr>
      <w:r>
        <w:rPr>
          <w:szCs w:val="22"/>
        </w:rPr>
        <w:t>The Consent Decree resolves the Bureau’s investigation of Licensee’s compliance with S</w:t>
      </w:r>
      <w:r w:rsidRPr="0026172D">
        <w:rPr>
          <w:szCs w:val="22"/>
        </w:rPr>
        <w:t xml:space="preserve">ection </w:t>
      </w:r>
      <w:r>
        <w:rPr>
          <w:szCs w:val="22"/>
        </w:rPr>
        <w:t>310 of the Communications Act of 1934, as amended (the Act)</w:t>
      </w:r>
      <w:r>
        <w:rPr>
          <w:rStyle w:val="FootnoteReference"/>
          <w:szCs w:val="22"/>
        </w:rPr>
        <w:footnoteReference w:id="4"/>
      </w:r>
      <w:r>
        <w:rPr>
          <w:szCs w:val="22"/>
        </w:rPr>
        <w:t xml:space="preserve"> and Section 73.3540 of the Commission’s Rules (Rules).</w:t>
      </w:r>
      <w:r w:rsidRPr="00BB606B">
        <w:rPr>
          <w:rStyle w:val="FootnoteReference"/>
          <w:szCs w:val="22"/>
        </w:rPr>
        <w:t xml:space="preserve"> </w:t>
      </w:r>
      <w:r>
        <w:rPr>
          <w:rStyle w:val="FootnoteReference"/>
          <w:szCs w:val="22"/>
        </w:rPr>
        <w:footnoteReference w:id="5"/>
      </w:r>
      <w:r>
        <w:rPr>
          <w:szCs w:val="22"/>
        </w:rPr>
        <w:t xml:space="preserve">  In particular, </w:t>
      </w:r>
      <w:r w:rsidR="00B46BE5">
        <w:rPr>
          <w:szCs w:val="22"/>
        </w:rPr>
        <w:t xml:space="preserve">pursuant to the terms of the Consent Decree, </w:t>
      </w:r>
      <w:r w:rsidR="007A7DE4">
        <w:rPr>
          <w:szCs w:val="22"/>
        </w:rPr>
        <w:t>Licensee</w:t>
      </w:r>
      <w:r w:rsidRPr="00BF5547" w:rsidR="00763573">
        <w:rPr>
          <w:szCs w:val="22"/>
        </w:rPr>
        <w:t xml:space="preserve"> </w:t>
      </w:r>
      <w:r w:rsidR="00B46BE5">
        <w:rPr>
          <w:szCs w:val="22"/>
        </w:rPr>
        <w:t xml:space="preserve">stipulates that it </w:t>
      </w:r>
      <w:r w:rsidRPr="00BF5547" w:rsidR="00525DA0">
        <w:rPr>
          <w:szCs w:val="22"/>
        </w:rPr>
        <w:t xml:space="preserve">violated </w:t>
      </w:r>
      <w:r w:rsidRPr="00BF5547" w:rsidR="005B09F6">
        <w:rPr>
          <w:szCs w:val="22"/>
        </w:rPr>
        <w:t>Section 31</w:t>
      </w:r>
      <w:r w:rsidRPr="00BF5547" w:rsidR="006D4D0B">
        <w:rPr>
          <w:szCs w:val="22"/>
        </w:rPr>
        <w:t>0</w:t>
      </w:r>
      <w:r w:rsidRPr="00BF5547" w:rsidR="007B0F2F">
        <w:rPr>
          <w:szCs w:val="22"/>
        </w:rPr>
        <w:t>(d)</w:t>
      </w:r>
      <w:r w:rsidRPr="00BF5547" w:rsidR="009E4009">
        <w:rPr>
          <w:szCs w:val="22"/>
        </w:rPr>
        <w:t xml:space="preserve"> </w:t>
      </w:r>
      <w:r w:rsidRPr="00BF5547" w:rsidR="005B09F6">
        <w:rPr>
          <w:szCs w:val="22"/>
        </w:rPr>
        <w:t xml:space="preserve">of the Act and Section 73.3540 of the </w:t>
      </w:r>
      <w:r w:rsidRPr="00BF5547" w:rsidR="00525DA0">
        <w:rPr>
          <w:szCs w:val="22"/>
        </w:rPr>
        <w:t>Rules</w:t>
      </w:r>
      <w:r w:rsidRPr="00BF5547" w:rsidR="008C1A76">
        <w:rPr>
          <w:szCs w:val="22"/>
        </w:rPr>
        <w:t xml:space="preserve">.  The Consent Decree also </w:t>
      </w:r>
      <w:r w:rsidRPr="00BF5547" w:rsidR="009A7DC2">
        <w:rPr>
          <w:szCs w:val="22"/>
        </w:rPr>
        <w:t>requires</w:t>
      </w:r>
      <w:r w:rsidRPr="00BF5547" w:rsidR="005A5CF3">
        <w:rPr>
          <w:szCs w:val="22"/>
        </w:rPr>
        <w:t>, among other things,</w:t>
      </w:r>
      <w:r w:rsidRPr="00BF5547" w:rsidR="009A7DC2">
        <w:rPr>
          <w:szCs w:val="22"/>
        </w:rPr>
        <w:t xml:space="preserve"> </w:t>
      </w:r>
      <w:r w:rsidRPr="00BF5547" w:rsidR="00350B90">
        <w:rPr>
          <w:szCs w:val="22"/>
        </w:rPr>
        <w:t xml:space="preserve">that </w:t>
      </w:r>
      <w:r w:rsidRPr="00BF5547" w:rsidR="00763573">
        <w:rPr>
          <w:szCs w:val="22"/>
        </w:rPr>
        <w:t>Licensee</w:t>
      </w:r>
      <w:r w:rsidRPr="00BF5547" w:rsidR="00363F8B">
        <w:rPr>
          <w:szCs w:val="22"/>
        </w:rPr>
        <w:t xml:space="preserve"> </w:t>
      </w:r>
      <w:r w:rsidRPr="00BF5547" w:rsidR="009E4009">
        <w:rPr>
          <w:szCs w:val="22"/>
        </w:rPr>
        <w:t xml:space="preserve">make </w:t>
      </w:r>
      <w:r w:rsidR="007A7DE4">
        <w:rPr>
          <w:szCs w:val="22"/>
        </w:rPr>
        <w:t xml:space="preserve">a ten </w:t>
      </w:r>
      <w:r w:rsidRPr="00BF5547" w:rsidR="00363F8B">
        <w:rPr>
          <w:szCs w:val="22"/>
        </w:rPr>
        <w:t xml:space="preserve">thousand </w:t>
      </w:r>
      <w:r w:rsidRPr="00BF5547" w:rsidR="005B09F6">
        <w:rPr>
          <w:szCs w:val="22"/>
        </w:rPr>
        <w:t>dollar ($</w:t>
      </w:r>
      <w:r w:rsidRPr="00BF5547" w:rsidR="00711915">
        <w:rPr>
          <w:szCs w:val="22"/>
        </w:rPr>
        <w:t>1</w:t>
      </w:r>
      <w:r w:rsidR="007A7DE4">
        <w:rPr>
          <w:szCs w:val="22"/>
        </w:rPr>
        <w:t>0</w:t>
      </w:r>
      <w:r w:rsidRPr="00BF5547" w:rsidR="005B09F6">
        <w:rPr>
          <w:szCs w:val="22"/>
        </w:rPr>
        <w:t>,000) civil penalty payment to the United States Treasury</w:t>
      </w:r>
      <w:r w:rsidR="00B46BE5">
        <w:rPr>
          <w:szCs w:val="22"/>
        </w:rPr>
        <w:t xml:space="preserve"> and undertake a three-year compliance plan to prevent future similar violations</w:t>
      </w:r>
      <w:r w:rsidRPr="00BF5547" w:rsidR="00C575D8">
        <w:rPr>
          <w:szCs w:val="22"/>
        </w:rPr>
        <w:t>.</w:t>
      </w:r>
      <w:r w:rsidRPr="00BF5547" w:rsidR="005B09F6">
        <w:rPr>
          <w:szCs w:val="22"/>
        </w:rPr>
        <w:t xml:space="preserve">  A copy </w:t>
      </w:r>
      <w:r w:rsidRPr="00BF5547" w:rsidR="005A5CF3">
        <w:rPr>
          <w:szCs w:val="22"/>
        </w:rPr>
        <w:t>of the Consent Decree is attached hereto and incorporated by reference.</w:t>
      </w:r>
      <w:r w:rsidRPr="00BF5547" w:rsidR="008C1A76">
        <w:rPr>
          <w:szCs w:val="22"/>
        </w:rPr>
        <w:t xml:space="preserve">  </w:t>
      </w:r>
      <w:r w:rsidRPr="00BF5547">
        <w:rPr>
          <w:szCs w:val="22"/>
        </w:rPr>
        <w:t xml:space="preserve"> </w:t>
      </w:r>
    </w:p>
    <w:p w:rsidR="005A5CF3" w:rsidP="008D3F61">
      <w:pPr>
        <w:numPr>
          <w:ilvl w:val="0"/>
          <w:numId w:val="3"/>
        </w:numPr>
        <w:tabs>
          <w:tab w:val="left" w:pos="720"/>
          <w:tab w:val="left" w:pos="1430"/>
          <w:tab w:val="left" w:pos="4680"/>
        </w:tabs>
        <w:rPr>
          <w:szCs w:val="22"/>
        </w:rPr>
      </w:pPr>
      <w:r>
        <w:rPr>
          <w:szCs w:val="22"/>
        </w:rPr>
        <w:t xml:space="preserve">After reviewing the terms of the Consent Decree, we find that the public interest will be served by its approval and by terminating </w:t>
      </w:r>
      <w:r>
        <w:rPr>
          <w:szCs w:val="22"/>
        </w:rPr>
        <w:t>all pending proceedings relating to the Bureau’s investigation of potential violations of the Rules and the Act in connection with the Application</w:t>
      </w:r>
      <w:r w:rsidR="00711915">
        <w:rPr>
          <w:szCs w:val="22"/>
        </w:rPr>
        <w:t>s</w:t>
      </w:r>
      <w:r>
        <w:rPr>
          <w:szCs w:val="22"/>
        </w:rPr>
        <w:t xml:space="preserve">. </w:t>
      </w:r>
      <w:r w:rsidR="008D3F61">
        <w:rPr>
          <w:szCs w:val="22"/>
        </w:rPr>
        <w:t xml:space="preserve"> </w:t>
      </w:r>
    </w:p>
    <w:p w:rsidR="005A5CF3" w:rsidP="005A5CF3">
      <w:pPr>
        <w:tabs>
          <w:tab w:val="left" w:pos="720"/>
          <w:tab w:val="left" w:pos="1430"/>
          <w:tab w:val="left" w:pos="4680"/>
        </w:tabs>
        <w:ind w:left="720"/>
        <w:rPr>
          <w:szCs w:val="22"/>
        </w:rPr>
      </w:pPr>
    </w:p>
    <w:p w:rsidR="00B14F3D" w:rsidRPr="009366AC" w:rsidP="000F0E00">
      <w:pPr>
        <w:widowControl/>
        <w:numPr>
          <w:ilvl w:val="0"/>
          <w:numId w:val="3"/>
        </w:numPr>
        <w:tabs>
          <w:tab w:val="left" w:pos="720"/>
          <w:tab w:val="left" w:pos="1430"/>
          <w:tab w:val="left" w:pos="4680"/>
        </w:tabs>
        <w:rPr>
          <w:szCs w:val="22"/>
        </w:rPr>
      </w:pPr>
      <w:r w:rsidRPr="009366AC">
        <w:rPr>
          <w:szCs w:val="22"/>
        </w:rPr>
        <w:t>Based on the record before us, w</w:t>
      </w:r>
      <w:r w:rsidRPr="009366AC" w:rsidR="008D3F61">
        <w:rPr>
          <w:szCs w:val="22"/>
        </w:rPr>
        <w:t>e conclude that nothing in th</w:t>
      </w:r>
      <w:r w:rsidRPr="009366AC">
        <w:rPr>
          <w:szCs w:val="22"/>
        </w:rPr>
        <w:t>at r</w:t>
      </w:r>
      <w:r w:rsidRPr="009366AC" w:rsidR="008D3F61">
        <w:rPr>
          <w:szCs w:val="22"/>
        </w:rPr>
        <w:t xml:space="preserve">ecord creates a substantial </w:t>
      </w:r>
      <w:r w:rsidRPr="009366AC">
        <w:rPr>
          <w:szCs w:val="22"/>
        </w:rPr>
        <w:t>and</w:t>
      </w:r>
      <w:r w:rsidRPr="009366AC" w:rsidR="008D3F61">
        <w:rPr>
          <w:szCs w:val="22"/>
        </w:rPr>
        <w:t xml:space="preserve"> material question of fact as to whether </w:t>
      </w:r>
      <w:r w:rsidR="007A7DE4">
        <w:rPr>
          <w:szCs w:val="22"/>
        </w:rPr>
        <w:t xml:space="preserve">Licensee </w:t>
      </w:r>
      <w:r w:rsidRPr="009366AC" w:rsidR="005A5CF3">
        <w:rPr>
          <w:szCs w:val="22"/>
        </w:rPr>
        <w:t>possess</w:t>
      </w:r>
      <w:r w:rsidRPr="009366AC">
        <w:rPr>
          <w:szCs w:val="22"/>
        </w:rPr>
        <w:t>es</w:t>
      </w:r>
      <w:r w:rsidRPr="009366AC" w:rsidR="005A5CF3">
        <w:rPr>
          <w:szCs w:val="22"/>
        </w:rPr>
        <w:t xml:space="preserve"> the basic </w:t>
      </w:r>
      <w:r w:rsidRPr="009366AC" w:rsidR="008D3F61">
        <w:rPr>
          <w:szCs w:val="22"/>
        </w:rPr>
        <w:t>qualifications</w:t>
      </w:r>
      <w:r w:rsidRPr="009366AC">
        <w:rPr>
          <w:szCs w:val="22"/>
        </w:rPr>
        <w:t xml:space="preserve"> </w:t>
      </w:r>
      <w:r w:rsidRPr="009366AC" w:rsidR="008D3F61">
        <w:rPr>
          <w:szCs w:val="22"/>
        </w:rPr>
        <w:t>to be a Commission licensee.</w:t>
      </w:r>
    </w:p>
    <w:p w:rsidR="006357AE" w:rsidRPr="008D3F61" w:rsidP="009B5F4A">
      <w:pPr>
        <w:tabs>
          <w:tab w:val="left" w:pos="720"/>
          <w:tab w:val="left" w:pos="1430"/>
          <w:tab w:val="left" w:pos="4680"/>
        </w:tabs>
        <w:ind w:left="720"/>
        <w:rPr>
          <w:szCs w:val="22"/>
        </w:rPr>
      </w:pPr>
      <w:r>
        <w:rPr>
          <w:szCs w:val="22"/>
        </w:rPr>
        <w:t xml:space="preserve"> </w:t>
      </w:r>
    </w:p>
    <w:p w:rsidR="000B194F" w:rsidP="00FE7328">
      <w:pPr>
        <w:pStyle w:val="ParaNum"/>
        <w:numPr>
          <w:ilvl w:val="0"/>
          <w:numId w:val="3"/>
        </w:numPr>
        <w:tabs>
          <w:tab w:val="left" w:pos="720"/>
        </w:tabs>
        <w:spacing w:after="0"/>
      </w:pPr>
      <w:r>
        <w:t>ACCORDINGLY, IT IS ORDERED that, pursuant to Section 4</w:t>
      </w:r>
      <w:r w:rsidR="008D3F61">
        <w:t>(</w:t>
      </w:r>
      <w:r w:rsidR="00D722D6">
        <w:t>i</w:t>
      </w:r>
      <w:r w:rsidR="008D3F61">
        <w:t>)</w:t>
      </w:r>
      <w:r>
        <w:t xml:space="preserve"> </w:t>
      </w:r>
      <w:r w:rsidR="005A5CF3">
        <w:t>o</w:t>
      </w:r>
      <w:r>
        <w:t>f the Act,</w:t>
      </w:r>
      <w:r>
        <w:rPr>
          <w:rStyle w:val="FootnoteReference"/>
          <w:szCs w:val="22"/>
        </w:rPr>
        <w:footnoteReference w:id="6"/>
      </w:r>
      <w:r>
        <w:t xml:space="preserve"> and by the authority delegated by Sections 0.61 and 0.283 of the Rules,</w:t>
      </w:r>
      <w:r>
        <w:rPr>
          <w:rStyle w:val="FootnoteReference"/>
          <w:szCs w:val="22"/>
        </w:rPr>
        <w:footnoteReference w:id="7"/>
      </w:r>
      <w:r>
        <w:t xml:space="preserve"> the Consent Decree attached hereto IS ADOPTED</w:t>
      </w:r>
      <w:r w:rsidR="00AE0D1C">
        <w:t xml:space="preserve"> without change, addition, or modification</w:t>
      </w:r>
      <w:r>
        <w:t>.</w:t>
      </w:r>
    </w:p>
    <w:p w:rsidR="00FE7328" w:rsidP="00FE7328">
      <w:pPr>
        <w:pStyle w:val="ParaNum"/>
        <w:numPr>
          <w:ilvl w:val="0"/>
          <w:numId w:val="0"/>
        </w:numPr>
        <w:tabs>
          <w:tab w:val="left" w:pos="720"/>
        </w:tabs>
        <w:spacing w:after="0"/>
        <w:ind w:left="720"/>
      </w:pPr>
    </w:p>
    <w:p w:rsidR="00375CF9" w:rsidP="00375CF9">
      <w:pPr>
        <w:pStyle w:val="ParaNum"/>
        <w:numPr>
          <w:ilvl w:val="0"/>
          <w:numId w:val="3"/>
        </w:numPr>
        <w:tabs>
          <w:tab w:val="left" w:pos="720"/>
        </w:tabs>
      </w:pPr>
      <w:r>
        <w:t>IT IS FURTHER ORDERED that the investigation by the Bureau of the matters noted above IS TERMINATED.</w:t>
      </w:r>
    </w:p>
    <w:p w:rsidR="008271DC" w:rsidRPr="00375CF9" w:rsidP="00507F3A">
      <w:pPr>
        <w:pStyle w:val="ParaNum"/>
        <w:numPr>
          <w:ilvl w:val="0"/>
          <w:numId w:val="3"/>
        </w:numPr>
        <w:tabs>
          <w:tab w:val="left" w:pos="720"/>
        </w:tabs>
      </w:pPr>
      <w:r w:rsidRPr="00375CF9">
        <w:rPr>
          <w:color w:val="010101"/>
          <w:szCs w:val="22"/>
        </w:rPr>
        <w:t xml:space="preserve">IT IS FURTHER ORDERED that copies of this Order </w:t>
      </w:r>
      <w:r w:rsidRPr="00375CF9" w:rsidR="00375CF9">
        <w:rPr>
          <w:szCs w:val="22"/>
        </w:rPr>
        <w:t xml:space="preserve">shall be sent, by First Class and Certified Mail, Return Receipt Requested, to </w:t>
      </w:r>
      <w:r w:rsidR="00507F3A">
        <w:rPr>
          <w:szCs w:val="22"/>
        </w:rPr>
        <w:t>Caron Broadcasting, Inc.</w:t>
      </w:r>
      <w:r w:rsidR="002B5AF8">
        <w:rPr>
          <w:szCs w:val="22"/>
        </w:rPr>
        <w:t xml:space="preserve">, </w:t>
      </w:r>
      <w:r w:rsidR="00507F3A">
        <w:rPr>
          <w:szCs w:val="22"/>
        </w:rPr>
        <w:t>4880 Santa Rosa Road</w:t>
      </w:r>
      <w:r w:rsidR="00755BF6">
        <w:rPr>
          <w:szCs w:val="22"/>
        </w:rPr>
        <w:t xml:space="preserve">, </w:t>
      </w:r>
      <w:r w:rsidR="00170DD4">
        <w:rPr>
          <w:szCs w:val="22"/>
        </w:rPr>
        <w:t>Camarillo</w:t>
      </w:r>
      <w:r w:rsidRPr="00507F3A" w:rsidR="00755BF6">
        <w:rPr>
          <w:szCs w:val="22"/>
        </w:rPr>
        <w:t xml:space="preserve">, </w:t>
      </w:r>
      <w:r w:rsidR="00170DD4">
        <w:rPr>
          <w:szCs w:val="22"/>
        </w:rPr>
        <w:t>CA</w:t>
      </w:r>
      <w:r w:rsidRPr="00507F3A" w:rsidR="00755BF6">
        <w:rPr>
          <w:szCs w:val="22"/>
        </w:rPr>
        <w:t xml:space="preserve"> </w:t>
      </w:r>
      <w:r w:rsidR="00170DD4">
        <w:rPr>
          <w:szCs w:val="22"/>
        </w:rPr>
        <w:t>93012</w:t>
      </w:r>
      <w:r w:rsidRPr="00507F3A" w:rsidR="006B551C">
        <w:rPr>
          <w:szCs w:val="22"/>
        </w:rPr>
        <w:t>,</w:t>
      </w:r>
      <w:r w:rsidRPr="00507F3A" w:rsidR="00755BF6">
        <w:rPr>
          <w:szCs w:val="22"/>
        </w:rPr>
        <w:t xml:space="preserve"> </w:t>
      </w:r>
      <w:r w:rsidRPr="00507F3A" w:rsidR="0052227E">
        <w:rPr>
          <w:szCs w:val="22"/>
        </w:rPr>
        <w:t>and to</w:t>
      </w:r>
      <w:r w:rsidRPr="00507F3A" w:rsidR="00DF08F7">
        <w:rPr>
          <w:szCs w:val="22"/>
        </w:rPr>
        <w:t xml:space="preserve"> </w:t>
      </w:r>
      <w:r w:rsidRPr="00507F3A" w:rsidR="00755BF6">
        <w:rPr>
          <w:szCs w:val="22"/>
        </w:rPr>
        <w:t>its counsel</w:t>
      </w:r>
      <w:r w:rsidRPr="00507F3A" w:rsidR="006B551C">
        <w:rPr>
          <w:szCs w:val="22"/>
        </w:rPr>
        <w:t>,</w:t>
      </w:r>
      <w:r w:rsidR="00706851">
        <w:rPr>
          <w:szCs w:val="22"/>
        </w:rPr>
        <w:t xml:space="preserve"> Kathleen Kirby, Esq., Wiley Rein LLP, 1776 K Street, N.W., Washington, DC 20006, and</w:t>
      </w:r>
      <w:r w:rsidRPr="00507F3A" w:rsidR="00755BF6">
        <w:rPr>
          <w:szCs w:val="22"/>
        </w:rPr>
        <w:t xml:space="preserve"> </w:t>
      </w:r>
      <w:r w:rsidR="00170DD4">
        <w:rPr>
          <w:szCs w:val="22"/>
        </w:rPr>
        <w:t>Frank R. Jazzo</w:t>
      </w:r>
      <w:r w:rsidRPr="00507F3A" w:rsidR="00711915">
        <w:rPr>
          <w:szCs w:val="22"/>
        </w:rPr>
        <w:t xml:space="preserve">, Esq., </w:t>
      </w:r>
      <w:r w:rsidR="00170DD4">
        <w:rPr>
          <w:szCs w:val="22"/>
        </w:rPr>
        <w:t>Fletcher, Heald &amp; Hildreth, P.L.C., 13</w:t>
      </w:r>
      <w:r w:rsidRPr="00507F3A" w:rsidR="00755BF6">
        <w:rPr>
          <w:szCs w:val="22"/>
        </w:rPr>
        <w:t xml:space="preserve">00 </w:t>
      </w:r>
      <w:r w:rsidR="00170DD4">
        <w:rPr>
          <w:szCs w:val="22"/>
        </w:rPr>
        <w:t>N. 17</w:t>
      </w:r>
      <w:r w:rsidRPr="00170DD4" w:rsidR="00170DD4">
        <w:rPr>
          <w:szCs w:val="22"/>
          <w:vertAlign w:val="superscript"/>
        </w:rPr>
        <w:t>th</w:t>
      </w:r>
      <w:r w:rsidR="00170DD4">
        <w:rPr>
          <w:szCs w:val="22"/>
        </w:rPr>
        <w:t xml:space="preserve"> Street</w:t>
      </w:r>
      <w:r w:rsidRPr="00507F3A" w:rsidR="00755BF6">
        <w:rPr>
          <w:szCs w:val="22"/>
        </w:rPr>
        <w:t xml:space="preserve">, </w:t>
      </w:r>
      <w:r w:rsidR="00170DD4">
        <w:rPr>
          <w:szCs w:val="22"/>
        </w:rPr>
        <w:t>11</w:t>
      </w:r>
      <w:r w:rsidRPr="00170DD4" w:rsidR="00170DD4">
        <w:rPr>
          <w:szCs w:val="22"/>
          <w:vertAlign w:val="superscript"/>
        </w:rPr>
        <w:t>th</w:t>
      </w:r>
      <w:r w:rsidR="00170DD4">
        <w:rPr>
          <w:szCs w:val="22"/>
        </w:rPr>
        <w:t xml:space="preserve"> Floor</w:t>
      </w:r>
      <w:r w:rsidRPr="00507F3A" w:rsidR="00755BF6">
        <w:rPr>
          <w:szCs w:val="22"/>
        </w:rPr>
        <w:t>,</w:t>
      </w:r>
      <w:r w:rsidRPr="00507F3A" w:rsidR="008A5306">
        <w:rPr>
          <w:szCs w:val="22"/>
        </w:rPr>
        <w:t xml:space="preserve"> </w:t>
      </w:r>
      <w:r w:rsidR="00170DD4">
        <w:rPr>
          <w:szCs w:val="22"/>
        </w:rPr>
        <w:t>Arlington</w:t>
      </w:r>
      <w:r w:rsidRPr="00507F3A" w:rsidR="00755BF6">
        <w:rPr>
          <w:szCs w:val="22"/>
        </w:rPr>
        <w:t xml:space="preserve">, </w:t>
      </w:r>
      <w:r w:rsidR="00170DD4">
        <w:rPr>
          <w:szCs w:val="22"/>
        </w:rPr>
        <w:t xml:space="preserve">VA </w:t>
      </w:r>
      <w:r w:rsidRPr="00507F3A" w:rsidR="00755BF6">
        <w:rPr>
          <w:szCs w:val="22"/>
        </w:rPr>
        <w:t>2</w:t>
      </w:r>
      <w:r w:rsidR="00170DD4">
        <w:rPr>
          <w:szCs w:val="22"/>
        </w:rPr>
        <w:t>2209-3801</w:t>
      </w:r>
      <w:r w:rsidRPr="00507F3A" w:rsidR="000B194F">
        <w:rPr>
          <w:szCs w:val="22"/>
        </w:rPr>
        <w:t>.</w:t>
      </w:r>
      <w:r w:rsidRPr="005C58C1">
        <w:tab/>
      </w:r>
    </w:p>
    <w:p w:rsidR="008271DC">
      <w:pPr>
        <w:tabs>
          <w:tab w:val="left" w:pos="720"/>
          <w:tab w:val="left" w:pos="1430"/>
          <w:tab w:val="left" w:pos="4680"/>
        </w:tabs>
        <w:rPr>
          <w:szCs w:val="22"/>
        </w:rPr>
      </w:pPr>
      <w:r w:rsidRPr="005C58C1">
        <w:rPr>
          <w:szCs w:val="22"/>
        </w:rPr>
        <w:tab/>
      </w:r>
    </w:p>
    <w:p w:rsidR="00121B21" w:rsidRPr="005C58C1">
      <w:pPr>
        <w:tabs>
          <w:tab w:val="left" w:pos="720"/>
          <w:tab w:val="left" w:pos="1430"/>
          <w:tab w:val="left" w:pos="4680"/>
        </w:tabs>
        <w:rPr>
          <w:szCs w:val="22"/>
        </w:rPr>
      </w:pPr>
    </w:p>
    <w:p w:rsidR="008271DC" w:rsidRPr="005C58C1">
      <w:pPr>
        <w:tabs>
          <w:tab w:val="left" w:pos="720"/>
          <w:tab w:val="left" w:pos="4320"/>
        </w:tabs>
        <w:jc w:val="both"/>
        <w:rPr>
          <w:szCs w:val="22"/>
        </w:rPr>
      </w:pPr>
      <w:r w:rsidRPr="005C58C1">
        <w:rPr>
          <w:szCs w:val="22"/>
        </w:rPr>
        <w:tab/>
      </w:r>
      <w:r w:rsidRPr="005C58C1">
        <w:rPr>
          <w:szCs w:val="22"/>
        </w:rPr>
        <w:tab/>
        <w:t>FEDERAL COMMUNICATIONS COMMISSION</w:t>
      </w:r>
    </w:p>
    <w:p w:rsidR="008271DC" w:rsidRPr="005C58C1">
      <w:pPr>
        <w:tabs>
          <w:tab w:val="left" w:pos="720"/>
          <w:tab w:val="left" w:pos="4680"/>
        </w:tabs>
        <w:jc w:val="both"/>
        <w:rPr>
          <w:szCs w:val="22"/>
        </w:rPr>
      </w:pPr>
    </w:p>
    <w:p w:rsidR="008271DC">
      <w:pPr>
        <w:tabs>
          <w:tab w:val="left" w:pos="720"/>
          <w:tab w:val="left" w:pos="4680"/>
        </w:tabs>
        <w:jc w:val="both"/>
        <w:rPr>
          <w:szCs w:val="22"/>
        </w:rPr>
      </w:pPr>
    </w:p>
    <w:p w:rsidR="008C6920" w:rsidRPr="005C58C1">
      <w:pPr>
        <w:tabs>
          <w:tab w:val="left" w:pos="720"/>
          <w:tab w:val="left" w:pos="4680"/>
        </w:tabs>
        <w:jc w:val="both"/>
        <w:rPr>
          <w:szCs w:val="22"/>
        </w:rPr>
      </w:pPr>
    </w:p>
    <w:p w:rsidR="008271DC" w:rsidRPr="005C58C1">
      <w:pPr>
        <w:tabs>
          <w:tab w:val="left" w:pos="720"/>
          <w:tab w:val="left" w:pos="4320"/>
        </w:tabs>
        <w:rPr>
          <w:szCs w:val="22"/>
        </w:rPr>
      </w:pPr>
      <w:r w:rsidRPr="005C58C1">
        <w:rPr>
          <w:szCs w:val="22"/>
        </w:rPr>
        <w:tab/>
      </w:r>
      <w:r w:rsidRPr="005C58C1">
        <w:rPr>
          <w:szCs w:val="22"/>
        </w:rPr>
        <w:tab/>
      </w:r>
      <w:r w:rsidR="00EA0D47">
        <w:rPr>
          <w:szCs w:val="22"/>
        </w:rPr>
        <w:t>Michelle M. Carey</w:t>
      </w:r>
    </w:p>
    <w:p w:rsidR="008D3F61">
      <w:pPr>
        <w:rPr>
          <w:szCs w:val="22"/>
        </w:rPr>
      </w:pPr>
      <w:r w:rsidRPr="005C58C1">
        <w:rPr>
          <w:szCs w:val="22"/>
        </w:rPr>
        <w:tab/>
      </w:r>
      <w:r w:rsidRPr="005C58C1">
        <w:rPr>
          <w:szCs w:val="22"/>
        </w:rPr>
        <w:tab/>
      </w:r>
      <w:r w:rsidR="00D853CA">
        <w:rPr>
          <w:szCs w:val="22"/>
        </w:rPr>
        <w:tab/>
      </w:r>
      <w:r w:rsidR="00D853CA">
        <w:rPr>
          <w:szCs w:val="22"/>
        </w:rPr>
        <w:tab/>
      </w:r>
      <w:r w:rsidR="00D853CA">
        <w:rPr>
          <w:szCs w:val="22"/>
        </w:rPr>
        <w:tab/>
      </w:r>
      <w:r w:rsidR="00D853CA">
        <w:rPr>
          <w:szCs w:val="22"/>
        </w:rPr>
        <w:tab/>
      </w:r>
      <w:r w:rsidRPr="005C58C1">
        <w:rPr>
          <w:szCs w:val="22"/>
        </w:rPr>
        <w:t>Chief, Media Bureau</w:t>
      </w:r>
    </w:p>
    <w:p w:rsidR="000F0E00">
      <w:pPr>
        <w:widowControl/>
        <w:rPr>
          <w:szCs w:val="22"/>
        </w:rPr>
      </w:pPr>
      <w:r>
        <w:rPr>
          <w:szCs w:val="22"/>
        </w:rPr>
        <w:br w:type="page"/>
      </w:r>
    </w:p>
    <w:p w:rsidR="000F0E00" w:rsidRPr="0079584C" w:rsidP="000F0E00">
      <w:pPr>
        <w:widowControl/>
        <w:spacing w:after="120"/>
        <w:jc w:val="center"/>
        <w:rPr>
          <w:szCs w:val="22"/>
        </w:rPr>
      </w:pPr>
      <w:r>
        <w:rPr>
          <w:b/>
          <w:szCs w:val="22"/>
          <w:u w:val="single"/>
        </w:rPr>
        <w:t>C</w:t>
      </w:r>
      <w:r w:rsidRPr="00466273">
        <w:rPr>
          <w:b/>
          <w:szCs w:val="22"/>
          <w:u w:val="single"/>
        </w:rPr>
        <w:t>ONSENT DECREE</w:t>
      </w:r>
    </w:p>
    <w:p w:rsidR="000F0E00" w:rsidRPr="00466273" w:rsidP="000F0E00">
      <w:pPr>
        <w:jc w:val="both"/>
        <w:rPr>
          <w:b/>
          <w:szCs w:val="22"/>
        </w:rPr>
      </w:pPr>
    </w:p>
    <w:p w:rsidR="000F0E00" w:rsidRPr="00466273" w:rsidP="000F0E00">
      <w:pPr>
        <w:spacing w:after="120"/>
        <w:jc w:val="both"/>
        <w:rPr>
          <w:szCs w:val="22"/>
        </w:rPr>
      </w:pPr>
      <w:r w:rsidRPr="00466273">
        <w:rPr>
          <w:b/>
          <w:szCs w:val="22"/>
        </w:rPr>
        <w:t>I.</w:t>
      </w:r>
      <w:r w:rsidRPr="00466273">
        <w:rPr>
          <w:b/>
          <w:szCs w:val="22"/>
        </w:rPr>
        <w:tab/>
        <w:t>Introduction</w:t>
      </w:r>
    </w:p>
    <w:p w:rsidR="000F0E00" w:rsidRPr="00FB27C6" w:rsidP="00865FF8">
      <w:pPr>
        <w:pStyle w:val="ParaNum"/>
        <w:tabs>
          <w:tab w:val="num" w:pos="1080"/>
          <w:tab w:val="clear" w:pos="1440"/>
        </w:tabs>
      </w:pPr>
      <w:r w:rsidRPr="00A04E6C">
        <w:t>This Consent Decree is entered into by and between the Media Bureau of the Federal Communications Commission</w:t>
      </w:r>
      <w:r w:rsidR="00910A2E">
        <w:t xml:space="preserve">, </w:t>
      </w:r>
      <w:r w:rsidR="00507F3A">
        <w:t>Caron Broadcasting</w:t>
      </w:r>
      <w:r>
        <w:t xml:space="preserve">, </w:t>
      </w:r>
      <w:r w:rsidR="00507F3A">
        <w:t>Inc.</w:t>
      </w:r>
      <w:r w:rsidR="008A50E0">
        <w:t>,</w:t>
      </w:r>
      <w:r w:rsidR="00507F3A">
        <w:t xml:space="preserve"> </w:t>
      </w:r>
      <w:r w:rsidRPr="00623A4E">
        <w:rPr>
          <w:color w:val="212121"/>
          <w:szCs w:val="22"/>
        </w:rPr>
        <w:t xml:space="preserve">and </w:t>
      </w:r>
      <w:r w:rsidR="00432371">
        <w:rPr>
          <w:color w:val="212121"/>
          <w:szCs w:val="22"/>
        </w:rPr>
        <w:t xml:space="preserve">its </w:t>
      </w:r>
      <w:r>
        <w:rPr>
          <w:color w:val="212121"/>
          <w:szCs w:val="22"/>
        </w:rPr>
        <w:t xml:space="preserve">ultimate parent corporation </w:t>
      </w:r>
      <w:r w:rsidR="00507F3A">
        <w:rPr>
          <w:color w:val="212121"/>
          <w:szCs w:val="22"/>
        </w:rPr>
        <w:t>Salem Media Group, Inc.</w:t>
      </w:r>
      <w:r w:rsidR="008A50E0">
        <w:rPr>
          <w:color w:val="212121"/>
          <w:szCs w:val="22"/>
        </w:rPr>
        <w:t>,</w:t>
      </w:r>
      <w:r>
        <w:rPr>
          <w:color w:val="212121"/>
          <w:szCs w:val="22"/>
        </w:rPr>
        <w:t xml:space="preserve"> and its </w:t>
      </w:r>
      <w:r w:rsidRPr="00623A4E">
        <w:rPr>
          <w:color w:val="212121"/>
          <w:szCs w:val="22"/>
        </w:rPr>
        <w:t xml:space="preserve">subsidiaries, divisions and affiliates, </w:t>
      </w:r>
      <w:r>
        <w:rPr>
          <w:color w:val="212121"/>
          <w:szCs w:val="22"/>
        </w:rPr>
        <w:t xml:space="preserve">for </w:t>
      </w:r>
      <w:r>
        <w:t xml:space="preserve">the purpose of terminating the Media Bureau’s investigation concerning compliance with Section 73.3540 of the FCC’s rules, 47 CFR </w:t>
      </w:r>
      <w:r w:rsidR="008A50E0">
        <w:t xml:space="preserve">              </w:t>
      </w:r>
      <w:r>
        <w:t>§</w:t>
      </w:r>
      <w:r w:rsidR="00865FF8">
        <w:t xml:space="preserve"> </w:t>
      </w:r>
      <w:r>
        <w:t xml:space="preserve">73.3540 and Section 310(d) of the </w:t>
      </w:r>
      <w:r w:rsidRPr="00865FF8">
        <w:rPr>
          <w:szCs w:val="22"/>
        </w:rPr>
        <w:t>Communications Act of 1934, as amended, 47 U.S.C. § 310(d).</w:t>
      </w:r>
    </w:p>
    <w:p w:rsidR="000F0E00" w:rsidP="000F0E00">
      <w:pPr>
        <w:spacing w:after="120"/>
        <w:jc w:val="both"/>
        <w:rPr>
          <w:szCs w:val="22"/>
        </w:rPr>
      </w:pPr>
      <w:r w:rsidRPr="00A04E6C">
        <w:rPr>
          <w:b/>
          <w:szCs w:val="22"/>
        </w:rPr>
        <w:t>II.</w:t>
      </w:r>
      <w:r w:rsidRPr="00A04E6C">
        <w:rPr>
          <w:b/>
          <w:szCs w:val="22"/>
        </w:rPr>
        <w:tab/>
        <w:t>Definitions</w:t>
      </w:r>
    </w:p>
    <w:p w:rsidR="000F0E00" w:rsidRPr="00B97530" w:rsidP="000F0E00">
      <w:pPr>
        <w:pStyle w:val="ParaNum"/>
        <w:tabs>
          <w:tab w:val="num" w:pos="1080"/>
          <w:tab w:val="clear" w:pos="1440"/>
        </w:tabs>
      </w:pPr>
      <w:r w:rsidRPr="00A04E6C">
        <w:t>For purposes of this Consent Decree, the following definitions shall apply:</w:t>
      </w:r>
    </w:p>
    <w:p w:rsidR="000F0E00" w:rsidRPr="00466273" w:rsidP="000F0E00">
      <w:pPr>
        <w:widowControl/>
        <w:numPr>
          <w:ilvl w:val="0"/>
          <w:numId w:val="14"/>
        </w:numPr>
        <w:spacing w:after="120"/>
        <w:rPr>
          <w:szCs w:val="22"/>
        </w:rPr>
      </w:pPr>
      <w:r w:rsidRPr="00466273">
        <w:rPr>
          <w:szCs w:val="22"/>
        </w:rPr>
        <w:t xml:space="preserve">“Act” means the Communications Act of 1934, as amended, 47 U.S.C. §151 </w:t>
      </w:r>
      <w:r w:rsidRPr="00466273">
        <w:rPr>
          <w:i/>
          <w:szCs w:val="22"/>
        </w:rPr>
        <w:t>et</w:t>
      </w:r>
      <w:r>
        <w:rPr>
          <w:i/>
          <w:szCs w:val="22"/>
        </w:rPr>
        <w:t>.</w:t>
      </w:r>
      <w:r w:rsidRPr="00466273">
        <w:rPr>
          <w:i/>
          <w:szCs w:val="22"/>
        </w:rPr>
        <w:t xml:space="preserve"> seq.</w:t>
      </w:r>
      <w:r w:rsidRPr="00466273">
        <w:rPr>
          <w:szCs w:val="22"/>
        </w:rPr>
        <w:t>;</w:t>
      </w:r>
    </w:p>
    <w:p w:rsidR="000F0E00" w:rsidP="000F0E00">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sidRPr="00527E5A">
        <w:rPr>
          <w:szCs w:val="22"/>
        </w:rPr>
        <w:t>“Adopting Order” means the order of the Bureau adopting this Consent Decree;</w:t>
      </w:r>
    </w:p>
    <w:p w:rsidR="000F0E00" w:rsidRPr="00285B7F" w:rsidP="000F0E00">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Pr>
          <w:szCs w:val="22"/>
        </w:rPr>
        <w:t xml:space="preserve">“Applications” means the FCC Form 316 applications for consent to </w:t>
      </w:r>
      <w:r w:rsidRPr="005D46DE">
        <w:rPr>
          <w:i/>
          <w:szCs w:val="22"/>
        </w:rPr>
        <w:t>pro forma</w:t>
      </w:r>
      <w:r>
        <w:rPr>
          <w:szCs w:val="22"/>
        </w:rPr>
        <w:t xml:space="preserve"> assignment of licenses associated with the lead File No. BAL</w:t>
      </w:r>
      <w:r w:rsidR="00D50377">
        <w:rPr>
          <w:szCs w:val="22"/>
        </w:rPr>
        <w:t>H</w:t>
      </w:r>
      <w:r>
        <w:rPr>
          <w:szCs w:val="22"/>
        </w:rPr>
        <w:t>-201</w:t>
      </w:r>
      <w:r w:rsidR="00D50377">
        <w:rPr>
          <w:szCs w:val="22"/>
        </w:rPr>
        <w:t>71211ADP</w:t>
      </w:r>
      <w:r w:rsidR="00CB08CC">
        <w:rPr>
          <w:szCs w:val="22"/>
        </w:rPr>
        <w:t>,</w:t>
      </w:r>
      <w:r w:rsidR="00D50377">
        <w:rPr>
          <w:szCs w:val="22"/>
        </w:rPr>
        <w:t xml:space="preserve"> </w:t>
      </w:r>
      <w:r w:rsidRPr="00285B7F">
        <w:rPr>
          <w:i/>
          <w:szCs w:val="22"/>
        </w:rPr>
        <w:t>et</w:t>
      </w:r>
      <w:r>
        <w:rPr>
          <w:i/>
          <w:szCs w:val="22"/>
        </w:rPr>
        <w:t>.</w:t>
      </w:r>
      <w:r w:rsidRPr="00285B7F">
        <w:rPr>
          <w:i/>
          <w:szCs w:val="22"/>
        </w:rPr>
        <w:t xml:space="preserve"> al</w:t>
      </w:r>
      <w:r>
        <w:rPr>
          <w:szCs w:val="22"/>
        </w:rPr>
        <w:t>.</w:t>
      </w:r>
      <w:r w:rsidRPr="00285B7F">
        <w:rPr>
          <w:szCs w:val="22"/>
        </w:rPr>
        <w:t xml:space="preserve">;   </w:t>
      </w:r>
    </w:p>
    <w:p w:rsidR="000F0E00" w:rsidP="00DF0229">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sidRPr="00D50377">
        <w:rPr>
          <w:szCs w:val="22"/>
        </w:rPr>
        <w:t xml:space="preserve"> </w:t>
      </w:r>
      <w:r w:rsidRPr="00D50377">
        <w:rPr>
          <w:szCs w:val="22"/>
        </w:rPr>
        <w:t>“Bureau” means the Media Bureau of the Federal Communications Commission;</w:t>
      </w:r>
    </w:p>
    <w:p w:rsidR="00D50377" w:rsidRPr="002A7451" w:rsidP="00D50377">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Pr>
          <w:szCs w:val="22"/>
        </w:rPr>
        <w:t xml:space="preserve">“Caron” means </w:t>
      </w:r>
      <w:r>
        <w:t>Caron Broadcasting, Inc.</w:t>
      </w:r>
      <w:r>
        <w:rPr>
          <w:bCs/>
          <w:szCs w:val="22"/>
        </w:rPr>
        <w:t>;</w:t>
      </w:r>
    </w:p>
    <w:p w:rsidR="000F0E00" w:rsidRPr="00D50377" w:rsidP="00D50377">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Pr>
          <w:szCs w:val="22"/>
        </w:rPr>
        <w:t>“</w:t>
      </w:r>
      <w:r w:rsidRPr="00D50377">
        <w:rPr>
          <w:szCs w:val="22"/>
        </w:rPr>
        <w:t>Civil Penalty” means the payment Licensee has agreed to pay to the United States Treasury;</w:t>
      </w:r>
    </w:p>
    <w:p w:rsidR="000F0E00" w:rsidRPr="00466273" w:rsidP="000F0E00">
      <w:pPr>
        <w:widowControl/>
        <w:numPr>
          <w:ilvl w:val="0"/>
          <w:numId w:val="14"/>
        </w:numPr>
        <w:spacing w:after="120"/>
        <w:rPr>
          <w:szCs w:val="22"/>
        </w:rPr>
      </w:pPr>
      <w:r w:rsidRPr="00466273">
        <w:rPr>
          <w:szCs w:val="22"/>
        </w:rPr>
        <w:t>“Commission” or “FCC” means the Federal Communications Commission</w:t>
      </w:r>
      <w:r>
        <w:rPr>
          <w:szCs w:val="22"/>
        </w:rPr>
        <w:t xml:space="preserve"> and all of its bureaus and offices</w:t>
      </w:r>
      <w:r w:rsidRPr="00466273">
        <w:rPr>
          <w:szCs w:val="22"/>
        </w:rPr>
        <w:t>;</w:t>
      </w:r>
    </w:p>
    <w:p w:rsidR="000F0E00" w:rsidP="000F0E00">
      <w:pPr>
        <w:widowControl/>
        <w:numPr>
          <w:ilvl w:val="0"/>
          <w:numId w:val="14"/>
        </w:numPr>
        <w:spacing w:after="120"/>
        <w:rPr>
          <w:szCs w:val="22"/>
        </w:rPr>
      </w:pPr>
      <w:r w:rsidRPr="00466273">
        <w:rPr>
          <w:szCs w:val="22"/>
        </w:rPr>
        <w:t xml:space="preserve">“Compliance Plan” means the compliance plan provided in Appendix </w:t>
      </w:r>
      <w:r>
        <w:rPr>
          <w:szCs w:val="22"/>
        </w:rPr>
        <w:t xml:space="preserve">A, </w:t>
      </w:r>
      <w:r w:rsidRPr="00466273">
        <w:rPr>
          <w:szCs w:val="22"/>
        </w:rPr>
        <w:t>hereto;</w:t>
      </w:r>
    </w:p>
    <w:p w:rsidR="000F0E00" w:rsidRPr="00527E5A" w:rsidP="000F0E00">
      <w:pPr>
        <w:widowControl/>
        <w:numPr>
          <w:ilvl w:val="0"/>
          <w:numId w:val="14"/>
        </w:numPr>
        <w:spacing w:after="120"/>
        <w:rPr>
          <w:szCs w:val="22"/>
        </w:rPr>
      </w:pPr>
      <w:r w:rsidRPr="00527E5A">
        <w:rPr>
          <w:szCs w:val="22"/>
        </w:rPr>
        <w:t xml:space="preserve">“Effective Date” means the date on which the Bureau releases the </w:t>
      </w:r>
      <w:r>
        <w:rPr>
          <w:szCs w:val="22"/>
        </w:rPr>
        <w:t xml:space="preserve">Adopting </w:t>
      </w:r>
      <w:r w:rsidRPr="00527E5A">
        <w:rPr>
          <w:szCs w:val="22"/>
        </w:rPr>
        <w:t>Order;</w:t>
      </w:r>
    </w:p>
    <w:p w:rsidR="000F0E00" w:rsidP="000F0E00">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sidRPr="00466273">
        <w:rPr>
          <w:szCs w:val="22"/>
        </w:rPr>
        <w:t xml:space="preserve">“Investigation” means the Bureau’s investigation of </w:t>
      </w:r>
      <w:r>
        <w:rPr>
          <w:szCs w:val="22"/>
        </w:rPr>
        <w:t>information contained in the Applications</w:t>
      </w:r>
      <w:r w:rsidRPr="00466273">
        <w:rPr>
          <w:szCs w:val="22"/>
        </w:rPr>
        <w:t xml:space="preserve">, as detailed herein;   </w:t>
      </w:r>
    </w:p>
    <w:p w:rsidR="000F0E00" w:rsidP="000F0E00">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Pr>
          <w:szCs w:val="22"/>
        </w:rPr>
        <w:t>“Implementation Date” means the date on which the Compliance Plan commences and will occur within 60 days of the Effective Date of the Consent Decree;</w:t>
      </w:r>
    </w:p>
    <w:p w:rsidR="000F0E00" w:rsidRPr="00633BAC" w:rsidP="000F0E00">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Pr>
          <w:szCs w:val="22"/>
        </w:rPr>
        <w:t xml:space="preserve">“Licenses” refers to the </w:t>
      </w:r>
      <w:r w:rsidR="00D50377">
        <w:rPr>
          <w:szCs w:val="22"/>
        </w:rPr>
        <w:t>18</w:t>
      </w:r>
      <w:r>
        <w:rPr>
          <w:szCs w:val="22"/>
        </w:rPr>
        <w:t xml:space="preserve"> license authorizations set forth in Appendix B</w:t>
      </w:r>
      <w:r w:rsidR="00044A8C">
        <w:rPr>
          <w:szCs w:val="22"/>
        </w:rPr>
        <w:t>,</w:t>
      </w:r>
      <w:r>
        <w:rPr>
          <w:szCs w:val="22"/>
        </w:rPr>
        <w:t xml:space="preserve"> hereto;  </w:t>
      </w:r>
    </w:p>
    <w:p w:rsidR="000F0E00" w:rsidRPr="00466273" w:rsidP="000F0E00">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Pr>
          <w:szCs w:val="22"/>
        </w:rPr>
        <w:t xml:space="preserve"> </w:t>
      </w:r>
      <w:r w:rsidRPr="00466273">
        <w:rPr>
          <w:szCs w:val="22"/>
        </w:rPr>
        <w:t xml:space="preserve">“Licensee” </w:t>
      </w:r>
      <w:r>
        <w:rPr>
          <w:szCs w:val="22"/>
        </w:rPr>
        <w:t xml:space="preserve">means </w:t>
      </w:r>
      <w:r w:rsidR="00D50377">
        <w:rPr>
          <w:szCs w:val="22"/>
        </w:rPr>
        <w:t>Caron</w:t>
      </w:r>
      <w:r w:rsidR="000C66D9">
        <w:rPr>
          <w:szCs w:val="22"/>
        </w:rPr>
        <w:t>,</w:t>
      </w:r>
      <w:r w:rsidR="00D50377">
        <w:rPr>
          <w:szCs w:val="22"/>
        </w:rPr>
        <w:t xml:space="preserve"> </w:t>
      </w:r>
      <w:r>
        <w:rPr>
          <w:szCs w:val="22"/>
        </w:rPr>
        <w:t>and its ultimate parent corporation</w:t>
      </w:r>
      <w:r w:rsidR="00A00A66">
        <w:rPr>
          <w:szCs w:val="22"/>
        </w:rPr>
        <w:t>,</w:t>
      </w:r>
      <w:r>
        <w:rPr>
          <w:szCs w:val="22"/>
        </w:rPr>
        <w:t xml:space="preserve"> </w:t>
      </w:r>
      <w:r w:rsidR="000C66D9">
        <w:rPr>
          <w:szCs w:val="22"/>
        </w:rPr>
        <w:t xml:space="preserve">Salem, </w:t>
      </w:r>
      <w:r w:rsidRPr="00623A4E">
        <w:rPr>
          <w:color w:val="212121"/>
          <w:szCs w:val="22"/>
        </w:rPr>
        <w:t>and its subsidiaries, divisions and affiliates</w:t>
      </w:r>
      <w:r>
        <w:rPr>
          <w:color w:val="212121"/>
          <w:szCs w:val="22"/>
        </w:rPr>
        <w:t>, as detailed in this Order</w:t>
      </w:r>
      <w:r w:rsidRPr="00466273">
        <w:rPr>
          <w:szCs w:val="22"/>
        </w:rPr>
        <w:t>;</w:t>
      </w:r>
    </w:p>
    <w:p w:rsidR="000F0E00" w:rsidP="000F0E00">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sidRPr="00466273">
        <w:rPr>
          <w:szCs w:val="22"/>
        </w:rPr>
        <w:t xml:space="preserve">“Parties” means </w:t>
      </w:r>
      <w:r w:rsidR="008E7B1D">
        <w:rPr>
          <w:szCs w:val="22"/>
        </w:rPr>
        <w:t>Caron</w:t>
      </w:r>
      <w:r>
        <w:rPr>
          <w:szCs w:val="22"/>
        </w:rPr>
        <w:t xml:space="preserve">, </w:t>
      </w:r>
      <w:r w:rsidR="008E7B1D">
        <w:rPr>
          <w:szCs w:val="22"/>
        </w:rPr>
        <w:t xml:space="preserve">Salem, </w:t>
      </w:r>
      <w:r>
        <w:rPr>
          <w:color w:val="212121"/>
          <w:szCs w:val="22"/>
        </w:rPr>
        <w:t xml:space="preserve">and </w:t>
      </w:r>
      <w:r w:rsidRPr="00466273">
        <w:rPr>
          <w:szCs w:val="22"/>
        </w:rPr>
        <w:t>the Bureau;</w:t>
      </w:r>
    </w:p>
    <w:p w:rsidR="00D50377" w:rsidP="000F0E00">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sidRPr="000A4E96">
        <w:rPr>
          <w:szCs w:val="22"/>
        </w:rPr>
        <w:t xml:space="preserve">“Rules” means the FCC’s rules, found in Title 47 of the Code of Federal Regulations; </w:t>
      </w:r>
    </w:p>
    <w:p w:rsidR="00D50377" w:rsidRPr="000C66D9" w:rsidP="00D50377">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Pr>
          <w:szCs w:val="22"/>
        </w:rPr>
        <w:t xml:space="preserve">“Salem” means Salem Media Group, Inc. </w:t>
      </w:r>
      <w:r w:rsidRPr="00623A4E">
        <w:rPr>
          <w:color w:val="212121"/>
          <w:szCs w:val="22"/>
        </w:rPr>
        <w:t>and its subsidiaries, divisions and affiliates</w:t>
      </w:r>
      <w:r>
        <w:rPr>
          <w:color w:val="212121"/>
          <w:szCs w:val="22"/>
        </w:rPr>
        <w:t>, as detailed in this Adopting Order;</w:t>
      </w:r>
    </w:p>
    <w:p w:rsidR="000C66D9" w:rsidRPr="00A70463" w:rsidP="00D50377">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Pr>
          <w:color w:val="212121"/>
          <w:szCs w:val="22"/>
        </w:rPr>
        <w:t>“South Texas</w:t>
      </w:r>
      <w:r w:rsidR="00D51BEC">
        <w:rPr>
          <w:color w:val="212121"/>
          <w:szCs w:val="22"/>
        </w:rPr>
        <w:t>”</w:t>
      </w:r>
      <w:r>
        <w:rPr>
          <w:color w:val="212121"/>
          <w:szCs w:val="22"/>
        </w:rPr>
        <w:t xml:space="preserve"> means South Texas Broadcasting, Inc.; </w:t>
      </w:r>
    </w:p>
    <w:p w:rsidR="000F0E00" w:rsidRPr="00466273" w:rsidP="00D503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rPr>
          <w:szCs w:val="22"/>
        </w:rPr>
      </w:pPr>
    </w:p>
    <w:p w:rsidR="000F0E00" w:rsidRPr="00466273" w:rsidP="000F0E00">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Pr>
          <w:szCs w:val="22"/>
        </w:rPr>
        <w:t>“</w:t>
      </w:r>
      <w:r w:rsidRPr="00466273">
        <w:rPr>
          <w:szCs w:val="22"/>
        </w:rPr>
        <w:t xml:space="preserve">Violations” means the </w:t>
      </w:r>
      <w:r>
        <w:rPr>
          <w:szCs w:val="22"/>
        </w:rPr>
        <w:t xml:space="preserve">unauthorized </w:t>
      </w:r>
      <w:r w:rsidRPr="000A4E96">
        <w:rPr>
          <w:i/>
          <w:szCs w:val="22"/>
        </w:rPr>
        <w:t>pro forma</w:t>
      </w:r>
      <w:r>
        <w:rPr>
          <w:szCs w:val="22"/>
        </w:rPr>
        <w:t xml:space="preserve"> assignment of the Licenses in violation of Section 73.3540 of the Rules and Section 310(d) of the Act.</w:t>
      </w:r>
    </w:p>
    <w:p w:rsidR="000F0E00" w:rsidP="000F0E00">
      <w:pPr>
        <w:spacing w:after="120"/>
        <w:jc w:val="both"/>
        <w:rPr>
          <w:szCs w:val="22"/>
        </w:rPr>
      </w:pPr>
      <w:r w:rsidRPr="00A04E6C">
        <w:rPr>
          <w:b/>
          <w:szCs w:val="22"/>
        </w:rPr>
        <w:t>II</w:t>
      </w:r>
      <w:r>
        <w:rPr>
          <w:b/>
          <w:szCs w:val="22"/>
        </w:rPr>
        <w:t>I</w:t>
      </w:r>
      <w:r w:rsidRPr="00A04E6C">
        <w:rPr>
          <w:b/>
          <w:szCs w:val="22"/>
        </w:rPr>
        <w:t>.</w:t>
      </w:r>
      <w:r w:rsidRPr="00A04E6C">
        <w:rPr>
          <w:b/>
          <w:szCs w:val="22"/>
        </w:rPr>
        <w:tab/>
      </w:r>
      <w:r>
        <w:rPr>
          <w:b/>
          <w:szCs w:val="22"/>
        </w:rPr>
        <w:t>Background</w:t>
      </w:r>
    </w:p>
    <w:p w:rsidR="000F0E00" w:rsidP="000F0E00">
      <w:pPr>
        <w:pStyle w:val="ListParagraph"/>
        <w:numPr>
          <w:ilvl w:val="0"/>
          <w:numId w:val="17"/>
        </w:numPr>
        <w:autoSpaceDE w:val="0"/>
        <w:autoSpaceDN w:val="0"/>
        <w:adjustRightInd w:val="0"/>
        <w:spacing w:after="120"/>
        <w:jc w:val="both"/>
        <w:rPr>
          <w:color w:val="000000"/>
          <w:szCs w:val="22"/>
        </w:rPr>
      </w:pPr>
      <w:r w:rsidRPr="00774239">
        <w:rPr>
          <w:color w:val="000000"/>
          <w:szCs w:val="22"/>
        </w:rPr>
        <w:t>Section 310(d) of the Ac</w:t>
      </w:r>
      <w:bookmarkStart w:id="1" w:name="co_tablefootnote_14_1"/>
      <w:bookmarkEnd w:id="1"/>
      <w:r w:rsidRPr="00774239">
        <w:rPr>
          <w:color w:val="000000"/>
        </w:rPr>
        <w:t xml:space="preserve">t, </w:t>
      </w:r>
      <w:r w:rsidRPr="00774239">
        <w:rPr>
          <w:color w:val="000000"/>
          <w:szCs w:val="22"/>
        </w:rPr>
        <w:t>provides in pertinent part:</w:t>
      </w:r>
    </w:p>
    <w:p w:rsidR="000F0E00" w:rsidRPr="00774239" w:rsidP="000F0E00">
      <w:pPr>
        <w:pStyle w:val="ListParagraph"/>
        <w:autoSpaceDE w:val="0"/>
        <w:autoSpaceDN w:val="0"/>
        <w:adjustRightInd w:val="0"/>
        <w:spacing w:after="120"/>
        <w:jc w:val="both"/>
        <w:rPr>
          <w:color w:val="000000"/>
          <w:szCs w:val="22"/>
        </w:rPr>
      </w:pPr>
    </w:p>
    <w:p w:rsidR="000F0E00" w:rsidP="000F0E00">
      <w:pPr>
        <w:pStyle w:val="ListParagraph"/>
        <w:autoSpaceDE w:val="0"/>
        <w:autoSpaceDN w:val="0"/>
        <w:adjustRightInd w:val="0"/>
        <w:spacing w:after="120"/>
        <w:ind w:left="1440" w:right="720"/>
        <w:rPr>
          <w:color w:val="000000"/>
          <w:szCs w:val="22"/>
        </w:rPr>
      </w:pPr>
      <w:r w:rsidRPr="00C71149">
        <w:rPr>
          <w:color w:val="000000"/>
          <w:szCs w:val="22"/>
        </w:rPr>
        <w:t>No construction permit or station license, or any rights thereunder, shall be transferred, assigned, or disposed of in any manner, voluntarily or involuntarily, directly or indirectly, or by transfer of control of any corporation holding such permit or license, to any person except upon application to the Commission and upon finding by the Commission that the public interest, convenience, and necessity will be served thereby.</w:t>
      </w:r>
      <w:r>
        <w:rPr>
          <w:rStyle w:val="FootnoteReference"/>
          <w:szCs w:val="22"/>
        </w:rPr>
        <w:footnoteReference w:id="8"/>
      </w:r>
    </w:p>
    <w:p w:rsidR="000F0E00" w:rsidRPr="00172FC1" w:rsidP="000F0E00">
      <w:pPr>
        <w:pStyle w:val="ParaNum"/>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2"/>
        </w:rPr>
      </w:pPr>
      <w:bookmarkStart w:id="2" w:name="_Hlk510702401"/>
      <w:r w:rsidRPr="00EC488B">
        <w:rPr>
          <w:bCs/>
          <w:szCs w:val="22"/>
        </w:rPr>
        <w:t xml:space="preserve">On December </w:t>
      </w:r>
      <w:r w:rsidR="0086390C">
        <w:rPr>
          <w:bCs/>
          <w:szCs w:val="22"/>
        </w:rPr>
        <w:t>11</w:t>
      </w:r>
      <w:r w:rsidRPr="00EC488B">
        <w:rPr>
          <w:bCs/>
          <w:szCs w:val="22"/>
        </w:rPr>
        <w:t>, 2017</w:t>
      </w:r>
      <w:r>
        <w:rPr>
          <w:bCs/>
          <w:szCs w:val="22"/>
        </w:rPr>
        <w:t xml:space="preserve">, </w:t>
      </w:r>
      <w:r w:rsidR="0086390C">
        <w:rPr>
          <w:bCs/>
          <w:szCs w:val="22"/>
        </w:rPr>
        <w:t xml:space="preserve">South Texas filed the Applications for consent to </w:t>
      </w:r>
      <w:r w:rsidRPr="00172FC1">
        <w:rPr>
          <w:bCs/>
          <w:i/>
          <w:szCs w:val="22"/>
        </w:rPr>
        <w:t xml:space="preserve">pro forma </w:t>
      </w:r>
      <w:r>
        <w:rPr>
          <w:bCs/>
          <w:szCs w:val="22"/>
        </w:rPr>
        <w:t>assignment</w:t>
      </w:r>
      <w:r w:rsidR="0086390C">
        <w:rPr>
          <w:bCs/>
          <w:szCs w:val="22"/>
        </w:rPr>
        <w:t xml:space="preserve"> </w:t>
      </w:r>
      <w:r w:rsidR="000C5C87">
        <w:rPr>
          <w:bCs/>
          <w:szCs w:val="22"/>
        </w:rPr>
        <w:t xml:space="preserve">of </w:t>
      </w:r>
      <w:r>
        <w:rPr>
          <w:bCs/>
          <w:szCs w:val="22"/>
        </w:rPr>
        <w:t>the Licenses</w:t>
      </w:r>
      <w:r w:rsidR="0086390C">
        <w:rPr>
          <w:bCs/>
          <w:szCs w:val="22"/>
        </w:rPr>
        <w:t xml:space="preserve"> to Caron</w:t>
      </w:r>
      <w:r>
        <w:rPr>
          <w:bCs/>
          <w:szCs w:val="22"/>
        </w:rPr>
        <w:t>.</w:t>
      </w:r>
      <w:r w:rsidR="0086390C">
        <w:rPr>
          <w:bCs/>
          <w:szCs w:val="22"/>
        </w:rPr>
        <w:t xml:space="preserve">  </w:t>
      </w:r>
      <w:r>
        <w:rPr>
          <w:bCs/>
          <w:szCs w:val="22"/>
        </w:rPr>
        <w:t xml:space="preserve">The </w:t>
      </w:r>
      <w:r w:rsidRPr="00AA48E7" w:rsidR="00AA48E7">
        <w:rPr>
          <w:bCs/>
          <w:i/>
          <w:szCs w:val="22"/>
        </w:rPr>
        <w:t>pro forma</w:t>
      </w:r>
      <w:r w:rsidR="00AA48E7">
        <w:rPr>
          <w:bCs/>
          <w:szCs w:val="22"/>
        </w:rPr>
        <w:t xml:space="preserve"> assignments </w:t>
      </w:r>
      <w:r>
        <w:rPr>
          <w:bCs/>
          <w:szCs w:val="22"/>
        </w:rPr>
        <w:t>were part of a</w:t>
      </w:r>
      <w:r w:rsidR="00706851">
        <w:rPr>
          <w:bCs/>
          <w:szCs w:val="22"/>
        </w:rPr>
        <w:t xml:space="preserve"> larger</w:t>
      </w:r>
      <w:r>
        <w:rPr>
          <w:bCs/>
          <w:szCs w:val="22"/>
        </w:rPr>
        <w:t xml:space="preserve"> internal corporate restructuring of certain subsidiaries of </w:t>
      </w:r>
      <w:r w:rsidR="00B21877">
        <w:rPr>
          <w:bCs/>
          <w:szCs w:val="22"/>
        </w:rPr>
        <w:t xml:space="preserve">Salem </w:t>
      </w:r>
      <w:r>
        <w:rPr>
          <w:bCs/>
          <w:szCs w:val="22"/>
        </w:rPr>
        <w:t xml:space="preserve">that held the Licenses.  </w:t>
      </w:r>
      <w:r w:rsidR="00AA48E7">
        <w:rPr>
          <w:bCs/>
          <w:szCs w:val="22"/>
        </w:rPr>
        <w:t>In particular, Salem proposed to merge South Texas</w:t>
      </w:r>
      <w:r w:rsidR="00432371">
        <w:rPr>
          <w:bCs/>
          <w:szCs w:val="22"/>
        </w:rPr>
        <w:t>, which would cease to exist after said merger,</w:t>
      </w:r>
      <w:r w:rsidR="00AA48E7">
        <w:rPr>
          <w:bCs/>
          <w:szCs w:val="22"/>
        </w:rPr>
        <w:t xml:space="preserve"> </w:t>
      </w:r>
      <w:r w:rsidR="009E0A6E">
        <w:rPr>
          <w:bCs/>
          <w:szCs w:val="22"/>
        </w:rPr>
        <w:t>and other FCC licensees (other Salem licensees)</w:t>
      </w:r>
      <w:r>
        <w:rPr>
          <w:rStyle w:val="FootnoteReference"/>
          <w:bCs/>
          <w:szCs w:val="22"/>
        </w:rPr>
        <w:footnoteReference w:id="9"/>
      </w:r>
      <w:r w:rsidR="009E0A6E">
        <w:rPr>
          <w:bCs/>
          <w:szCs w:val="22"/>
        </w:rPr>
        <w:t xml:space="preserve"> into Caron, and then merge another subsidiary, Salem Communications Holding Corporation, into Caron.</w:t>
      </w:r>
      <w:r>
        <w:rPr>
          <w:rStyle w:val="FootnoteReference"/>
          <w:bCs/>
          <w:szCs w:val="22"/>
        </w:rPr>
        <w:footnoteReference w:id="10"/>
      </w:r>
      <w:r w:rsidR="009E0A6E">
        <w:rPr>
          <w:bCs/>
          <w:szCs w:val="22"/>
        </w:rPr>
        <w:t xml:space="preserve">  On December 22, 2017, the Bureau granted the applications for the other Salem licensees, but did not grant the Applications held by South Texas</w:t>
      </w:r>
      <w:r>
        <w:rPr>
          <w:bCs/>
          <w:szCs w:val="22"/>
        </w:rPr>
        <w:t>.</w:t>
      </w:r>
      <w:r>
        <w:rPr>
          <w:rStyle w:val="FootnoteReference"/>
          <w:bCs/>
          <w:szCs w:val="22"/>
        </w:rPr>
        <w:footnoteReference w:id="11"/>
      </w:r>
      <w:r w:rsidR="00121249">
        <w:rPr>
          <w:bCs/>
          <w:szCs w:val="22"/>
        </w:rPr>
        <w:t xml:space="preserve">  On December 31, 2017, Salem consummated the </w:t>
      </w:r>
      <w:r w:rsidRPr="00121249" w:rsidR="00121249">
        <w:rPr>
          <w:bCs/>
          <w:i/>
          <w:szCs w:val="22"/>
        </w:rPr>
        <w:t>pro forma</w:t>
      </w:r>
      <w:r w:rsidR="00121249">
        <w:rPr>
          <w:bCs/>
          <w:szCs w:val="22"/>
        </w:rPr>
        <w:t xml:space="preserve"> assignment</w:t>
      </w:r>
      <w:r w:rsidR="00E51B07">
        <w:rPr>
          <w:bCs/>
          <w:szCs w:val="22"/>
        </w:rPr>
        <w:t xml:space="preserve">s for the other Salem licensees as well as </w:t>
      </w:r>
      <w:r w:rsidR="00121249">
        <w:rPr>
          <w:bCs/>
          <w:szCs w:val="22"/>
        </w:rPr>
        <w:t xml:space="preserve">the South Texas </w:t>
      </w:r>
      <w:r w:rsidR="00E51B07">
        <w:rPr>
          <w:bCs/>
          <w:szCs w:val="22"/>
        </w:rPr>
        <w:t>licenses</w:t>
      </w:r>
      <w:r w:rsidR="00121249">
        <w:rPr>
          <w:bCs/>
          <w:szCs w:val="22"/>
        </w:rPr>
        <w:t>.  On February 28, 2018, the Bureau granted the Applications</w:t>
      </w:r>
      <w:r w:rsidR="001E7D85">
        <w:rPr>
          <w:bCs/>
          <w:szCs w:val="22"/>
        </w:rPr>
        <w:t xml:space="preserve"> with a condition regarding a pending Bureau investigation regarding Licensee’s compliance with the Commission’s political broadcasting rules at Station WFSH-FM, Athens, Georgia</w:t>
      </w:r>
      <w:r w:rsidR="00121249">
        <w:rPr>
          <w:bCs/>
          <w:szCs w:val="22"/>
        </w:rPr>
        <w:t xml:space="preserve">.  On February 28, 2018, </w:t>
      </w:r>
      <w:r w:rsidR="00432371">
        <w:rPr>
          <w:bCs/>
          <w:szCs w:val="22"/>
        </w:rPr>
        <w:t xml:space="preserve">the Bureau was </w:t>
      </w:r>
      <w:r w:rsidR="00121249">
        <w:rPr>
          <w:bCs/>
          <w:szCs w:val="22"/>
        </w:rPr>
        <w:t xml:space="preserve">informed </w:t>
      </w:r>
      <w:r w:rsidR="00432371">
        <w:rPr>
          <w:bCs/>
          <w:szCs w:val="22"/>
        </w:rPr>
        <w:t>that South Texas and Caron had</w:t>
      </w:r>
      <w:r w:rsidR="00121249">
        <w:rPr>
          <w:bCs/>
          <w:szCs w:val="22"/>
        </w:rPr>
        <w:t xml:space="preserve"> consummated the </w:t>
      </w:r>
      <w:r w:rsidRPr="00121249" w:rsidR="00121249">
        <w:rPr>
          <w:bCs/>
          <w:i/>
          <w:szCs w:val="22"/>
        </w:rPr>
        <w:t>pro forma</w:t>
      </w:r>
      <w:r w:rsidR="00121249">
        <w:rPr>
          <w:bCs/>
          <w:szCs w:val="22"/>
        </w:rPr>
        <w:t xml:space="preserve"> assignments on December 31, 2017.</w:t>
      </w:r>
      <w:r>
        <w:rPr>
          <w:rStyle w:val="FootnoteReference"/>
          <w:bCs/>
          <w:szCs w:val="22"/>
        </w:rPr>
        <w:footnoteReference w:id="12"/>
      </w:r>
      <w:r w:rsidR="00121249">
        <w:rPr>
          <w:bCs/>
          <w:szCs w:val="22"/>
        </w:rPr>
        <w:t xml:space="preserve">      </w:t>
      </w:r>
      <w:r>
        <w:rPr>
          <w:bCs/>
          <w:szCs w:val="22"/>
        </w:rPr>
        <w:t xml:space="preserve">         </w:t>
      </w:r>
    </w:p>
    <w:p w:rsidR="000F0E00" w:rsidP="000F0E00">
      <w:pPr>
        <w:pStyle w:val="ParaNum"/>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2"/>
        </w:rPr>
      </w:pPr>
      <w:bookmarkEnd w:id="2"/>
      <w:r w:rsidRPr="00AA11DC">
        <w:rPr>
          <w:szCs w:val="22"/>
        </w:rPr>
        <w:t xml:space="preserve"> The Parties acknowledge that any proceedings that might result from the Violations would be time-consuming and require a substantial expenditure of public and private resources.  In order to conserve such resources, resolve the matter, and promote compliance with the Rules, the Parties are entering into this Consent Decree, in consideration of the mutual commitments made herein.</w:t>
      </w:r>
    </w:p>
    <w:p w:rsidR="000F0E00" w:rsidRPr="00774239" w:rsidP="000F0E00">
      <w:pPr>
        <w:pStyle w:val="ParaNum"/>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b/>
          <w:bCs/>
          <w:szCs w:val="22"/>
        </w:rPr>
      </w:pPr>
    </w:p>
    <w:p w:rsidR="000F0E00" w:rsidRPr="00AA11DC" w:rsidP="000F0E00">
      <w:pPr>
        <w:pStyle w:val="ParaNum"/>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2"/>
        </w:rPr>
      </w:pPr>
      <w:r w:rsidRPr="00AA11DC">
        <w:rPr>
          <w:b/>
          <w:bCs/>
          <w:szCs w:val="22"/>
        </w:rPr>
        <w:t>IV.</w:t>
      </w:r>
      <w:r w:rsidRPr="00AA11DC">
        <w:rPr>
          <w:b/>
          <w:bCs/>
          <w:szCs w:val="22"/>
        </w:rPr>
        <w:tab/>
        <w:t>Terms of Agreement</w:t>
      </w:r>
    </w:p>
    <w:p w:rsidR="000F0E00" w:rsidRPr="00774239" w:rsidP="000F0E00">
      <w:pPr>
        <w:pStyle w:val="ParaNum"/>
        <w:numPr>
          <w:ilvl w:val="0"/>
          <w:numId w:val="17"/>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rPr>
          <w:b/>
          <w:bCs/>
          <w:szCs w:val="22"/>
        </w:rPr>
      </w:pPr>
      <w:r w:rsidRPr="00CF5E9B">
        <w:rPr>
          <w:b/>
          <w:szCs w:val="22"/>
          <w:u w:val="single"/>
        </w:rPr>
        <w:t>Adopting Order</w:t>
      </w:r>
      <w:r w:rsidRPr="00CF5E9B">
        <w:rPr>
          <w:szCs w:val="22"/>
        </w:rPr>
        <w:t xml:space="preserve">.  </w:t>
      </w:r>
      <w:r w:rsidRPr="00774239">
        <w:rPr>
          <w:szCs w:val="22"/>
        </w:rPr>
        <w:t>The provisions of this Consent Decree shall be incorporated by the Bureau in an Adopting Order.</w:t>
      </w:r>
    </w:p>
    <w:p w:rsidR="000F0E00" w:rsidRPr="00ED6BDC" w:rsidP="000F0E00">
      <w:pPr>
        <w:pStyle w:val="ParaNum"/>
        <w:numPr>
          <w:ilvl w:val="0"/>
          <w:numId w:val="17"/>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rPr>
          <w:b/>
          <w:bCs/>
          <w:szCs w:val="22"/>
        </w:rPr>
      </w:pPr>
      <w:r w:rsidRPr="000A29A3">
        <w:rPr>
          <w:b/>
          <w:szCs w:val="22"/>
          <w:u w:val="single"/>
        </w:rPr>
        <w:t>Jurisdiction</w:t>
      </w:r>
      <w:r w:rsidRPr="000A29A3">
        <w:rPr>
          <w:szCs w:val="22"/>
        </w:rPr>
        <w:t>.  Licensee agrees that the Bureau has jurisdiction over it and the matters contained in this Consent Decree and the authority to enter into and adopt this Consent Decree.</w:t>
      </w:r>
    </w:p>
    <w:p w:rsidR="000F0E00" w:rsidRPr="00ED6BDC" w:rsidP="000F0E00">
      <w:pPr>
        <w:pStyle w:val="ParaNum"/>
        <w:numPr>
          <w:ilvl w:val="0"/>
          <w:numId w:val="17"/>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rPr>
          <w:b/>
          <w:bCs/>
          <w:szCs w:val="22"/>
        </w:rPr>
      </w:pPr>
      <w:r w:rsidRPr="000A29A3">
        <w:rPr>
          <w:b/>
          <w:szCs w:val="22"/>
          <w:u w:val="single"/>
        </w:rPr>
        <w:t>Effective Date; Violations</w:t>
      </w:r>
      <w:r w:rsidRPr="00D30811">
        <w:rPr>
          <w:szCs w:val="22"/>
        </w:rPr>
        <w:t>.</w:t>
      </w:r>
      <w:r w:rsidRPr="000A29A3">
        <w:rPr>
          <w:b/>
          <w:szCs w:val="22"/>
        </w:rPr>
        <w:t xml:space="preserve"> </w:t>
      </w:r>
      <w:r w:rsidRPr="000A29A3">
        <w:rPr>
          <w:szCs w:val="22"/>
        </w:rPr>
        <w:t xml:space="preserve"> The Parties agree that this Consent Decree shall become effective on the Effective Date as defined herein.  Upon the Effective Date, the Adopting Order and this Consent Decree shall have the same force and effect as any other order of the Commission.  Licensee agrees that </w:t>
      </w:r>
      <w:r>
        <w:rPr>
          <w:szCs w:val="22"/>
        </w:rPr>
        <w:t>it</w:t>
      </w:r>
      <w:r w:rsidRPr="000A29A3">
        <w:rPr>
          <w:szCs w:val="22"/>
        </w:rPr>
        <w:t xml:space="preserve"> is required to comply with each individual condition of this Consent Decree.  Each specific condition is a separate condition of the Consent Decree as approved</w:t>
      </w:r>
      <w:r w:rsidRPr="00EC4625">
        <w:rPr>
          <w:szCs w:val="22"/>
        </w:rPr>
        <w:t xml:space="preserve">.  </w:t>
      </w:r>
      <w:r w:rsidRPr="000A29A3">
        <w:rPr>
          <w:szCs w:val="22"/>
        </w:rPr>
        <w:t xml:space="preserve">Any violation of the Adopting </w:t>
      </w:r>
      <w:r w:rsidRPr="000A29A3">
        <w:rPr>
          <w:szCs w:val="22"/>
        </w:rPr>
        <w:t>Order or the terms of this Consent Decree shall constitute a separate violation of a Commission order, entitling the Commission to exercise any rights and remedies attendant to enforcement of a Commission order.</w:t>
      </w:r>
    </w:p>
    <w:p w:rsidR="000F0E00" w:rsidRPr="00ED6BDC" w:rsidP="000F0E00">
      <w:pPr>
        <w:pStyle w:val="ParaNum"/>
        <w:numPr>
          <w:ilvl w:val="0"/>
          <w:numId w:val="17"/>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rPr>
          <w:b/>
          <w:bCs/>
          <w:szCs w:val="22"/>
        </w:rPr>
      </w:pPr>
      <w:r w:rsidRPr="000A29A3">
        <w:rPr>
          <w:b/>
          <w:szCs w:val="22"/>
          <w:u w:val="single"/>
        </w:rPr>
        <w:t>Termination of Investigation</w:t>
      </w:r>
      <w:r w:rsidRPr="00D30811">
        <w:rPr>
          <w:szCs w:val="22"/>
        </w:rPr>
        <w:t xml:space="preserve">. </w:t>
      </w:r>
      <w:r w:rsidRPr="000A29A3">
        <w:rPr>
          <w:szCs w:val="22"/>
        </w:rPr>
        <w:t xml:space="preserve"> In express reliance on the covenants and representations in this Consent Decree and to avoid further expenditure of public resources, the Bureau agrees to terminate the Investigation.  In consideration for the termination of the Investigation, Licensee agrees to the terms, conditions, and procedures contained herein.  The Bureau further agrees that, in the absence of new material evidence, it will not use the Violations </w:t>
      </w:r>
      <w:r>
        <w:rPr>
          <w:szCs w:val="22"/>
        </w:rPr>
        <w:t xml:space="preserve">or the existence of this Consent Decree </w:t>
      </w:r>
      <w:r w:rsidRPr="000A29A3">
        <w:rPr>
          <w:szCs w:val="22"/>
        </w:rPr>
        <w:t>in any action against Licensee, provided that it satisfies all of its obligations under this Consent Decree.  In the event that Licensee fails to satisfy any of its obligations under this Consent Decree, the Bureau may take any enforcement action available pursuant to the Act and the Rules with respect to each Violation, and/or the violation of this Consent Decree.</w:t>
      </w:r>
    </w:p>
    <w:p w:rsidR="000F0E00" w:rsidP="000F0E00">
      <w:pPr>
        <w:pStyle w:val="ParaNum"/>
        <w:numPr>
          <w:ilvl w:val="0"/>
          <w:numId w:val="17"/>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pPr>
      <w:r w:rsidRPr="006650EF">
        <w:rPr>
          <w:b/>
          <w:szCs w:val="22"/>
          <w:u w:val="single"/>
        </w:rPr>
        <w:t>Admission of Liability</w:t>
      </w:r>
      <w:r w:rsidRPr="00D30811">
        <w:rPr>
          <w:szCs w:val="22"/>
        </w:rPr>
        <w:t xml:space="preserve">. </w:t>
      </w:r>
      <w:r w:rsidRPr="006650EF">
        <w:rPr>
          <w:szCs w:val="22"/>
        </w:rPr>
        <w:t xml:space="preserve"> </w:t>
      </w:r>
      <w:r w:rsidR="00D743C6">
        <w:rPr>
          <w:szCs w:val="22"/>
        </w:rPr>
        <w:t xml:space="preserve">Licensee </w:t>
      </w:r>
      <w:r>
        <w:t xml:space="preserve">stipulates, in express reliance on the provisions of Paragraph </w:t>
      </w:r>
      <w:r w:rsidR="00E51B07">
        <w:t xml:space="preserve">9 </w:t>
      </w:r>
      <w:r>
        <w:t>hereof, that its actions described in Paragraphs 4 and 5 violated Section 310(d) of the Act and Section 73.3540 of the Rules.</w:t>
      </w:r>
    </w:p>
    <w:p w:rsidR="000F0E00" w:rsidP="000F0E00">
      <w:pPr>
        <w:pStyle w:val="ParaNum"/>
        <w:numPr>
          <w:ilvl w:val="0"/>
          <w:numId w:val="17"/>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pPr>
      <w:r w:rsidRPr="00E62274">
        <w:rPr>
          <w:b/>
          <w:u w:val="single"/>
        </w:rPr>
        <w:t>Civil Penalty</w:t>
      </w:r>
      <w:r w:rsidRPr="00D30811">
        <w:t xml:space="preserve">. </w:t>
      </w:r>
      <w:r w:rsidRPr="000A29A3">
        <w:t xml:space="preserve"> Licensee </w:t>
      </w:r>
      <w:r w:rsidRPr="00E62274">
        <w:rPr>
          <w:snapToGrid/>
          <w:kern w:val="0"/>
        </w:rPr>
        <w:t xml:space="preserve">agrees to make </w:t>
      </w:r>
      <w:r>
        <w:rPr>
          <w:snapToGrid/>
          <w:kern w:val="0"/>
        </w:rPr>
        <w:t>the C</w:t>
      </w:r>
      <w:r w:rsidRPr="00E62274">
        <w:rPr>
          <w:snapToGrid/>
          <w:kern w:val="0"/>
        </w:rPr>
        <w:t xml:space="preserve">ivil </w:t>
      </w:r>
      <w:r>
        <w:rPr>
          <w:snapToGrid/>
          <w:kern w:val="0"/>
        </w:rPr>
        <w:t>P</w:t>
      </w:r>
      <w:r w:rsidRPr="00E62274">
        <w:rPr>
          <w:snapToGrid/>
          <w:kern w:val="0"/>
        </w:rPr>
        <w:t xml:space="preserve">enalty payment to the United States Treasury in the amount of </w:t>
      </w:r>
      <w:r w:rsidR="00D743C6">
        <w:rPr>
          <w:snapToGrid/>
          <w:kern w:val="0"/>
        </w:rPr>
        <w:t xml:space="preserve">ten </w:t>
      </w:r>
      <w:r w:rsidRPr="00E62274">
        <w:rPr>
          <w:snapToGrid/>
          <w:kern w:val="0"/>
        </w:rPr>
        <w:t>thousand d</w:t>
      </w:r>
      <w:r w:rsidRPr="000A29A3">
        <w:t>ollars ($</w:t>
      </w:r>
      <w:r>
        <w:t>1</w:t>
      </w:r>
      <w:r w:rsidR="00D743C6">
        <w:t>0</w:t>
      </w:r>
      <w:r w:rsidRPr="000A29A3">
        <w:t>,000), within thirty (30) cale</w:t>
      </w:r>
      <w:r>
        <w:t>ndar days of the Effective Date</w:t>
      </w:r>
      <w:r w:rsidRPr="000A29A3">
        <w:t>.  Licensee acknowledges and agrees that upon execution of this Consent Decree, the Civil Penalty shall become a “Claim” or “Debt” as defined in Section 3701(b)(1) of the Debt Collection Improvement Act of 1996.</w:t>
      </w:r>
      <w:r>
        <w:rPr>
          <w:rStyle w:val="FootnoteReference"/>
          <w:szCs w:val="22"/>
        </w:rPr>
        <w:footnoteReference w:id="13"/>
      </w:r>
    </w:p>
    <w:p w:rsidR="000F0E00" w:rsidP="000F0E00">
      <w:pPr>
        <w:pStyle w:val="ParaNum"/>
        <w:numPr>
          <w:ilvl w:val="0"/>
          <w:numId w:val="17"/>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pPr>
      <w:r w:rsidRPr="00ED6BDC">
        <w:rPr>
          <w:b/>
          <w:spacing w:val="2"/>
          <w:u w:val="single"/>
        </w:rPr>
        <w:t>Payment</w:t>
      </w:r>
      <w:r w:rsidRPr="00D30811">
        <w:rPr>
          <w:spacing w:val="2"/>
        </w:rPr>
        <w:t xml:space="preserve">. </w:t>
      </w:r>
      <w:r w:rsidRPr="00ED6BDC">
        <w:rPr>
          <w:spacing w:val="2"/>
        </w:rPr>
        <w:t xml:space="preserve"> Licensee will </w:t>
      </w:r>
      <w:r w:rsidRPr="00ED6BDC">
        <w:rPr>
          <w:spacing w:val="-2"/>
        </w:rPr>
        <w:t>a</w:t>
      </w:r>
      <w:r w:rsidRPr="00ED6BDC">
        <w:rPr>
          <w:spacing w:val="1"/>
        </w:rPr>
        <w:t>l</w:t>
      </w:r>
      <w:r w:rsidRPr="00ED6BDC">
        <w:t>so s</w:t>
      </w:r>
      <w:r w:rsidRPr="00ED6BDC">
        <w:rPr>
          <w:spacing w:val="1"/>
        </w:rPr>
        <w:t>e</w:t>
      </w:r>
      <w:r w:rsidRPr="00ED6BDC">
        <w:t xml:space="preserve">nd </w:t>
      </w:r>
      <w:r w:rsidRPr="00ED6BDC">
        <w:rPr>
          <w:spacing w:val="-2"/>
        </w:rPr>
        <w:t>e</w:t>
      </w:r>
      <w:r w:rsidRPr="00ED6BDC">
        <w:rPr>
          <w:spacing w:val="1"/>
        </w:rPr>
        <w:t>l</w:t>
      </w:r>
      <w:r w:rsidRPr="00ED6BDC">
        <w:t>e</w:t>
      </w:r>
      <w:r w:rsidRPr="00ED6BDC">
        <w:rPr>
          <w:spacing w:val="-2"/>
        </w:rPr>
        <w:t>c</w:t>
      </w:r>
      <w:r w:rsidRPr="00ED6BDC">
        <w:rPr>
          <w:spacing w:val="1"/>
        </w:rPr>
        <w:t>t</w:t>
      </w:r>
      <w:r w:rsidRPr="00ED6BDC">
        <w:rPr>
          <w:spacing w:val="-2"/>
        </w:rPr>
        <w:t>r</w:t>
      </w:r>
      <w:r w:rsidRPr="00ED6BDC">
        <w:t>on</w:t>
      </w:r>
      <w:r w:rsidRPr="00ED6BDC">
        <w:rPr>
          <w:spacing w:val="-1"/>
        </w:rPr>
        <w:t>i</w:t>
      </w:r>
      <w:r w:rsidRPr="00ED6BDC">
        <w:t>c no</w:t>
      </w:r>
      <w:r w:rsidRPr="00ED6BDC">
        <w:rPr>
          <w:spacing w:val="1"/>
        </w:rPr>
        <w:t>t</w:t>
      </w:r>
      <w:r w:rsidRPr="00ED6BDC">
        <w:rPr>
          <w:spacing w:val="-1"/>
        </w:rPr>
        <w:t>i</w:t>
      </w:r>
      <w:r w:rsidRPr="00ED6BDC">
        <w:rPr>
          <w:spacing w:val="1"/>
        </w:rPr>
        <w:t>f</w:t>
      </w:r>
      <w:r w:rsidRPr="00ED6BDC">
        <w:rPr>
          <w:spacing w:val="-1"/>
        </w:rPr>
        <w:t>i</w:t>
      </w:r>
      <w:r w:rsidRPr="00ED6BDC">
        <w:t>c</w:t>
      </w:r>
      <w:r w:rsidRPr="00ED6BDC">
        <w:rPr>
          <w:spacing w:val="-2"/>
        </w:rPr>
        <w:t>a</w:t>
      </w:r>
      <w:r w:rsidRPr="00ED6BDC">
        <w:rPr>
          <w:spacing w:val="1"/>
        </w:rPr>
        <w:t>ti</w:t>
      </w:r>
      <w:r w:rsidRPr="00ED6BDC">
        <w:t>on</w:t>
      </w:r>
      <w:r w:rsidRPr="00ED6BDC">
        <w:rPr>
          <w:spacing w:val="12"/>
        </w:rPr>
        <w:t xml:space="preserve"> </w:t>
      </w:r>
      <w:r w:rsidRPr="00ED6BDC">
        <w:t>of</w:t>
      </w:r>
      <w:r w:rsidRPr="00ED6BDC">
        <w:rPr>
          <w:spacing w:val="13"/>
        </w:rPr>
        <w:t xml:space="preserve"> </w:t>
      </w:r>
      <w:r w:rsidRPr="00ED6BDC">
        <w:t>pa</w:t>
      </w:r>
      <w:r w:rsidRPr="00ED6BDC">
        <w:rPr>
          <w:spacing w:val="-2"/>
        </w:rPr>
        <w:t>y</w:t>
      </w:r>
      <w:r w:rsidRPr="00ED6BDC">
        <w:rPr>
          <w:spacing w:val="-4"/>
        </w:rPr>
        <w:t>m</w:t>
      </w:r>
      <w:r w:rsidRPr="00ED6BDC">
        <w:t>ent</w:t>
      </w:r>
      <w:r w:rsidRPr="00ED6BDC">
        <w:rPr>
          <w:spacing w:val="15"/>
        </w:rPr>
        <w:t xml:space="preserve"> </w:t>
      </w:r>
      <w:r w:rsidRPr="00ED6BDC">
        <w:rPr>
          <w:spacing w:val="1"/>
        </w:rPr>
        <w:t>t</w:t>
      </w:r>
      <w:r w:rsidRPr="00ED6BDC">
        <w:t>o</w:t>
      </w:r>
      <w:r w:rsidRPr="00ED6BDC">
        <w:rPr>
          <w:spacing w:val="15"/>
        </w:rPr>
        <w:t xml:space="preserve"> </w:t>
      </w:r>
      <w:r w:rsidRPr="00ED6BDC">
        <w:rPr>
          <w:color w:val="000000"/>
          <w:spacing w:val="-1"/>
        </w:rPr>
        <w:t>K</w:t>
      </w:r>
      <w:r w:rsidRPr="00ED6BDC">
        <w:rPr>
          <w:color w:val="000000"/>
          <w:spacing w:val="1"/>
        </w:rPr>
        <w:t>i</w:t>
      </w:r>
      <w:r w:rsidRPr="00ED6BDC">
        <w:rPr>
          <w:color w:val="000000"/>
        </w:rPr>
        <w:t>m</w:t>
      </w:r>
      <w:r w:rsidRPr="00ED6BDC">
        <w:rPr>
          <w:color w:val="000000"/>
          <w:spacing w:val="11"/>
        </w:rPr>
        <w:t xml:space="preserve"> </w:t>
      </w:r>
      <w:r w:rsidRPr="00ED6BDC">
        <w:rPr>
          <w:color w:val="000000"/>
          <w:spacing w:val="1"/>
        </w:rPr>
        <w:t>V</w:t>
      </w:r>
      <w:r w:rsidRPr="00ED6BDC">
        <w:rPr>
          <w:color w:val="000000"/>
        </w:rPr>
        <w:t>a</w:t>
      </w:r>
      <w:r w:rsidRPr="00ED6BDC">
        <w:rPr>
          <w:color w:val="000000"/>
          <w:spacing w:val="-1"/>
        </w:rPr>
        <w:t>r</w:t>
      </w:r>
      <w:r w:rsidRPr="00ED6BDC">
        <w:rPr>
          <w:color w:val="000000"/>
        </w:rPr>
        <w:t>n</w:t>
      </w:r>
      <w:r w:rsidRPr="00ED6BDC">
        <w:rPr>
          <w:color w:val="000000"/>
          <w:spacing w:val="-2"/>
        </w:rPr>
        <w:t>e</w:t>
      </w:r>
      <w:r w:rsidRPr="00ED6BDC">
        <w:rPr>
          <w:color w:val="000000"/>
        </w:rPr>
        <w:t>r</w:t>
      </w:r>
      <w:r w:rsidRPr="00ED6BDC">
        <w:rPr>
          <w:color w:val="000000"/>
          <w:spacing w:val="15"/>
        </w:rPr>
        <w:t xml:space="preserve"> </w:t>
      </w:r>
      <w:r w:rsidRPr="00ED6BDC">
        <w:rPr>
          <w:color w:val="000000"/>
        </w:rPr>
        <w:t xml:space="preserve">at </w:t>
      </w:r>
      <w:r w:rsidRPr="00ED6BDC">
        <w:t xml:space="preserve">Kim.Varner@fcc.gov and </w:t>
      </w:r>
      <w:r>
        <w:t xml:space="preserve">Michael Wagner </w:t>
      </w:r>
      <w:r w:rsidRPr="00ED6BDC">
        <w:t xml:space="preserve">at </w:t>
      </w:r>
      <w:r>
        <w:t>Michael.Wagner</w:t>
      </w:r>
      <w:r w:rsidRPr="00ED6BDC">
        <w:t>@fcc.gov</w:t>
      </w:r>
      <w:r w:rsidRPr="00ED6BDC">
        <w:rPr>
          <w:color w:val="000000"/>
        </w:rPr>
        <w:t xml:space="preserve"> on</w:t>
      </w:r>
      <w:r w:rsidRPr="00ED6BDC">
        <w:rPr>
          <w:color w:val="000000"/>
          <w:spacing w:val="12"/>
        </w:rPr>
        <w:t xml:space="preserve"> </w:t>
      </w:r>
      <w:r w:rsidRPr="00ED6BDC">
        <w:rPr>
          <w:color w:val="000000"/>
          <w:spacing w:val="1"/>
        </w:rPr>
        <w:t>t</w:t>
      </w:r>
      <w:r w:rsidRPr="00ED6BDC">
        <w:rPr>
          <w:color w:val="000000"/>
          <w:spacing w:val="-2"/>
        </w:rPr>
        <w:t>h</w:t>
      </w:r>
      <w:r w:rsidRPr="00ED6BDC">
        <w:rPr>
          <w:color w:val="000000"/>
        </w:rPr>
        <w:t>e</w:t>
      </w:r>
      <w:r w:rsidRPr="00ED6BDC">
        <w:rPr>
          <w:color w:val="000000"/>
          <w:spacing w:val="12"/>
        </w:rPr>
        <w:t xml:space="preserve"> </w:t>
      </w:r>
      <w:r w:rsidRPr="00ED6BDC">
        <w:rPr>
          <w:color w:val="000000"/>
          <w:spacing w:val="-2"/>
        </w:rPr>
        <w:t>d</w:t>
      </w:r>
      <w:r w:rsidRPr="00ED6BDC">
        <w:rPr>
          <w:color w:val="000000"/>
        </w:rPr>
        <w:t>a</w:t>
      </w:r>
      <w:r w:rsidRPr="00ED6BDC">
        <w:rPr>
          <w:color w:val="000000"/>
          <w:spacing w:val="1"/>
        </w:rPr>
        <w:t>t</w:t>
      </w:r>
      <w:r w:rsidRPr="00ED6BDC">
        <w:rPr>
          <w:color w:val="000000"/>
        </w:rPr>
        <w:t>e</w:t>
      </w:r>
      <w:r w:rsidRPr="00ED6BDC">
        <w:rPr>
          <w:color w:val="000000"/>
          <w:spacing w:val="10"/>
        </w:rPr>
        <w:t xml:space="preserve"> </w:t>
      </w:r>
      <w:r w:rsidRPr="00ED6BDC">
        <w:rPr>
          <w:color w:val="000000"/>
        </w:rPr>
        <w:t>s</w:t>
      </w:r>
      <w:r w:rsidRPr="00ED6BDC">
        <w:rPr>
          <w:color w:val="000000"/>
          <w:spacing w:val="-2"/>
        </w:rPr>
        <w:t>a</w:t>
      </w:r>
      <w:r w:rsidRPr="00ED6BDC">
        <w:rPr>
          <w:color w:val="000000"/>
          <w:spacing w:val="1"/>
        </w:rPr>
        <w:t>i</w:t>
      </w:r>
      <w:r w:rsidRPr="00ED6BDC">
        <w:rPr>
          <w:color w:val="000000"/>
        </w:rPr>
        <w:t>d</w:t>
      </w:r>
      <w:r w:rsidRPr="00ED6BDC">
        <w:rPr>
          <w:color w:val="000000"/>
          <w:spacing w:val="9"/>
        </w:rPr>
        <w:t xml:space="preserve"> </w:t>
      </w:r>
      <w:r w:rsidRPr="00ED6BDC">
        <w:rPr>
          <w:color w:val="000000"/>
        </w:rPr>
        <w:t>pa</w:t>
      </w:r>
      <w:r w:rsidRPr="00ED6BDC">
        <w:rPr>
          <w:color w:val="000000"/>
          <w:spacing w:val="-2"/>
        </w:rPr>
        <w:t>y</w:t>
      </w:r>
      <w:r w:rsidRPr="00ED6BDC">
        <w:rPr>
          <w:color w:val="000000"/>
          <w:spacing w:val="-4"/>
        </w:rPr>
        <w:t>m</w:t>
      </w:r>
      <w:r w:rsidRPr="00ED6BDC">
        <w:rPr>
          <w:color w:val="000000"/>
        </w:rPr>
        <w:t>ent</w:t>
      </w:r>
      <w:r w:rsidRPr="00ED6BDC">
        <w:rPr>
          <w:color w:val="000000"/>
          <w:spacing w:val="13"/>
        </w:rPr>
        <w:t xml:space="preserve"> </w:t>
      </w:r>
      <w:r w:rsidRPr="00ED6BDC">
        <w:rPr>
          <w:color w:val="000000"/>
          <w:spacing w:val="1"/>
        </w:rPr>
        <w:t>i</w:t>
      </w:r>
      <w:r w:rsidRPr="00ED6BDC">
        <w:rPr>
          <w:color w:val="000000"/>
        </w:rPr>
        <w:t>s</w:t>
      </w:r>
      <w:r w:rsidRPr="00ED6BDC">
        <w:rPr>
          <w:color w:val="000000"/>
          <w:spacing w:val="10"/>
        </w:rPr>
        <w:t xml:space="preserve"> </w:t>
      </w:r>
      <w:r w:rsidRPr="00ED6BDC">
        <w:rPr>
          <w:color w:val="000000"/>
          <w:spacing w:val="-4"/>
        </w:rPr>
        <w:t>m</w:t>
      </w:r>
      <w:r w:rsidRPr="00ED6BDC">
        <w:rPr>
          <w:color w:val="000000"/>
        </w:rPr>
        <w:t xml:space="preserve">ade.  </w:t>
      </w:r>
      <w:r w:rsidRPr="00ED6BDC">
        <w:t xml:space="preserve">Such payment will be made, without further protest or recourse to a </w:t>
      </w:r>
      <w:r w:rsidRPr="00ED6BDC">
        <w:rPr>
          <w:i/>
          <w:iCs/>
        </w:rPr>
        <w:t>trial de novo</w:t>
      </w:r>
      <w:r w:rsidRPr="00ED6BDC">
        <w:rPr>
          <w:i/>
        </w:rPr>
        <w:t xml:space="preserve">, </w:t>
      </w:r>
      <w:r w:rsidRPr="00ED6BDC">
        <w:t xml:space="preserve">by a check or similar instrument, wire transfer or credit card and must include the Account Number and FRN referenced in the caption to the Order.  </w:t>
      </w:r>
      <w:r w:rsidRPr="00ED6BDC">
        <w:rPr>
          <w:color w:val="000000"/>
          <w:spacing w:val="-1"/>
        </w:rPr>
        <w:t>R</w:t>
      </w:r>
      <w:r w:rsidRPr="00ED6BDC">
        <w:rPr>
          <w:color w:val="000000"/>
        </w:rPr>
        <w:t>e</w:t>
      </w:r>
      <w:r w:rsidRPr="00ED6BDC">
        <w:rPr>
          <w:color w:val="000000"/>
          <w:spacing w:val="-2"/>
        </w:rPr>
        <w:t>g</w:t>
      </w:r>
      <w:r w:rsidRPr="00ED6BDC">
        <w:rPr>
          <w:color w:val="000000"/>
        </w:rPr>
        <w:t>a</w:t>
      </w:r>
      <w:r w:rsidRPr="00ED6BDC">
        <w:rPr>
          <w:color w:val="000000"/>
          <w:spacing w:val="1"/>
        </w:rPr>
        <w:t>r</w:t>
      </w:r>
      <w:r w:rsidRPr="00ED6BDC">
        <w:rPr>
          <w:color w:val="000000"/>
        </w:rPr>
        <w:t>d</w:t>
      </w:r>
      <w:r w:rsidRPr="00ED6BDC">
        <w:rPr>
          <w:color w:val="000000"/>
          <w:spacing w:val="-1"/>
        </w:rPr>
        <w:t>l</w:t>
      </w:r>
      <w:r w:rsidRPr="00ED6BDC">
        <w:rPr>
          <w:color w:val="000000"/>
        </w:rPr>
        <w:t>e</w:t>
      </w:r>
      <w:r w:rsidRPr="00ED6BDC">
        <w:rPr>
          <w:color w:val="000000"/>
          <w:spacing w:val="1"/>
        </w:rPr>
        <w:t>s</w:t>
      </w:r>
      <w:r w:rsidRPr="00ED6BDC">
        <w:rPr>
          <w:color w:val="000000"/>
        </w:rPr>
        <w:t>s</w:t>
      </w:r>
      <w:r w:rsidRPr="00ED6BDC">
        <w:rPr>
          <w:color w:val="000000"/>
          <w:spacing w:val="24"/>
        </w:rPr>
        <w:t xml:space="preserve"> </w:t>
      </w:r>
      <w:r w:rsidRPr="00ED6BDC">
        <w:rPr>
          <w:color w:val="000000"/>
        </w:rPr>
        <w:t>of</w:t>
      </w:r>
      <w:r w:rsidRPr="00ED6BDC">
        <w:rPr>
          <w:color w:val="000000"/>
          <w:spacing w:val="27"/>
        </w:rPr>
        <w:t xml:space="preserve"> </w:t>
      </w:r>
      <w:r w:rsidRPr="00ED6BDC">
        <w:rPr>
          <w:color w:val="000000"/>
          <w:spacing w:val="-1"/>
        </w:rPr>
        <w:t>t</w:t>
      </w:r>
      <w:r w:rsidRPr="00ED6BDC">
        <w:rPr>
          <w:color w:val="000000"/>
        </w:rPr>
        <w:t>he</w:t>
      </w:r>
      <w:r w:rsidRPr="00ED6BDC">
        <w:rPr>
          <w:color w:val="000000"/>
          <w:spacing w:val="27"/>
        </w:rPr>
        <w:t xml:space="preserve"> </w:t>
      </w:r>
      <w:r w:rsidRPr="00ED6BDC">
        <w:rPr>
          <w:color w:val="000000"/>
          <w:spacing w:val="-2"/>
        </w:rPr>
        <w:t>f</w:t>
      </w:r>
      <w:r w:rsidRPr="00ED6BDC">
        <w:rPr>
          <w:color w:val="000000"/>
        </w:rPr>
        <w:t>o</w:t>
      </w:r>
      <w:r w:rsidRPr="00ED6BDC">
        <w:rPr>
          <w:color w:val="000000"/>
          <w:spacing w:val="1"/>
        </w:rPr>
        <w:t>r</w:t>
      </w:r>
      <w:r w:rsidRPr="00ED6BDC">
        <w:rPr>
          <w:color w:val="000000"/>
        </w:rPr>
        <w:t>m</w:t>
      </w:r>
      <w:r w:rsidRPr="00ED6BDC">
        <w:rPr>
          <w:color w:val="000000"/>
          <w:spacing w:val="23"/>
        </w:rPr>
        <w:t xml:space="preserve"> </w:t>
      </w:r>
      <w:r w:rsidRPr="00ED6BDC">
        <w:rPr>
          <w:color w:val="000000"/>
        </w:rPr>
        <w:t>of</w:t>
      </w:r>
      <w:r w:rsidRPr="00ED6BDC">
        <w:rPr>
          <w:color w:val="000000"/>
          <w:spacing w:val="27"/>
        </w:rPr>
        <w:t xml:space="preserve"> </w:t>
      </w:r>
      <w:r w:rsidRPr="00ED6BDC">
        <w:rPr>
          <w:color w:val="000000"/>
        </w:rPr>
        <w:t>pa</w:t>
      </w:r>
      <w:r w:rsidRPr="00ED6BDC">
        <w:rPr>
          <w:color w:val="000000"/>
          <w:spacing w:val="-2"/>
        </w:rPr>
        <w:t>y</w:t>
      </w:r>
      <w:r w:rsidRPr="00ED6BDC">
        <w:rPr>
          <w:color w:val="000000"/>
          <w:spacing w:val="-4"/>
        </w:rPr>
        <w:t>m</w:t>
      </w:r>
      <w:r w:rsidRPr="00ED6BDC">
        <w:rPr>
          <w:color w:val="000000"/>
        </w:rPr>
        <w:t>en</w:t>
      </w:r>
      <w:r w:rsidRPr="00ED6BDC">
        <w:rPr>
          <w:color w:val="000000"/>
          <w:spacing w:val="1"/>
        </w:rPr>
        <w:t>t</w:t>
      </w:r>
      <w:r w:rsidRPr="00ED6BDC">
        <w:rPr>
          <w:color w:val="000000"/>
        </w:rPr>
        <w:t>,</w:t>
      </w:r>
      <w:r w:rsidRPr="00ED6BDC">
        <w:rPr>
          <w:color w:val="000000"/>
          <w:spacing w:val="26"/>
        </w:rPr>
        <w:t xml:space="preserve"> </w:t>
      </w:r>
      <w:r w:rsidRPr="00ED6BDC">
        <w:rPr>
          <w:color w:val="000000"/>
        </w:rPr>
        <w:t>a</w:t>
      </w:r>
      <w:r w:rsidRPr="00ED6BDC">
        <w:rPr>
          <w:color w:val="000000"/>
          <w:spacing w:val="27"/>
        </w:rPr>
        <w:t xml:space="preserve"> </w:t>
      </w:r>
      <w:r w:rsidRPr="00ED6BDC">
        <w:rPr>
          <w:color w:val="000000"/>
        </w:rPr>
        <w:t>co</w:t>
      </w:r>
      <w:r w:rsidRPr="00ED6BDC">
        <w:rPr>
          <w:color w:val="000000"/>
          <w:spacing w:val="-3"/>
        </w:rPr>
        <w:t>m</w:t>
      </w:r>
      <w:r w:rsidRPr="00ED6BDC">
        <w:rPr>
          <w:color w:val="000000"/>
        </w:rPr>
        <w:t>p</w:t>
      </w:r>
      <w:r w:rsidRPr="00ED6BDC">
        <w:rPr>
          <w:color w:val="000000"/>
          <w:spacing w:val="1"/>
        </w:rPr>
        <w:t>l</w:t>
      </w:r>
      <w:r w:rsidRPr="00ED6BDC">
        <w:rPr>
          <w:color w:val="000000"/>
        </w:rPr>
        <w:t>e</w:t>
      </w:r>
      <w:r w:rsidRPr="00ED6BDC">
        <w:rPr>
          <w:color w:val="000000"/>
          <w:spacing w:val="1"/>
        </w:rPr>
        <w:t>t</w:t>
      </w:r>
      <w:r w:rsidRPr="00ED6BDC">
        <w:rPr>
          <w:color w:val="000000"/>
        </w:rPr>
        <w:t>ed</w:t>
      </w:r>
      <w:r w:rsidRPr="00ED6BDC">
        <w:rPr>
          <w:color w:val="000000"/>
          <w:spacing w:val="27"/>
        </w:rPr>
        <w:t xml:space="preserve"> </w:t>
      </w:r>
      <w:r w:rsidRPr="00ED6BDC">
        <w:rPr>
          <w:color w:val="000000"/>
        </w:rPr>
        <w:t>F</w:t>
      </w:r>
      <w:r w:rsidRPr="00ED6BDC">
        <w:rPr>
          <w:color w:val="000000"/>
          <w:spacing w:val="-1"/>
        </w:rPr>
        <w:t>C</w:t>
      </w:r>
      <w:r w:rsidRPr="00ED6BDC">
        <w:rPr>
          <w:color w:val="000000"/>
        </w:rPr>
        <w:t>C Form</w:t>
      </w:r>
      <w:r w:rsidRPr="00ED6BDC">
        <w:rPr>
          <w:color w:val="000000"/>
          <w:spacing w:val="33"/>
        </w:rPr>
        <w:t xml:space="preserve"> </w:t>
      </w:r>
      <w:r w:rsidRPr="00ED6BDC">
        <w:rPr>
          <w:color w:val="000000"/>
        </w:rPr>
        <w:t>159</w:t>
      </w:r>
      <w:r w:rsidRPr="00ED6BDC">
        <w:rPr>
          <w:color w:val="000000"/>
          <w:spacing w:val="36"/>
        </w:rPr>
        <w:t xml:space="preserve"> </w:t>
      </w:r>
      <w:r w:rsidRPr="00ED6BDC">
        <w:rPr>
          <w:color w:val="000000"/>
          <w:spacing w:val="1"/>
        </w:rPr>
        <w:t>(</w:t>
      </w:r>
      <w:r w:rsidRPr="00ED6BDC">
        <w:rPr>
          <w:color w:val="000000"/>
          <w:spacing w:val="-1"/>
        </w:rPr>
        <w:t>R</w:t>
      </w:r>
      <w:r w:rsidRPr="00ED6BDC">
        <w:rPr>
          <w:color w:val="000000"/>
        </w:rPr>
        <w:t>e</w:t>
      </w:r>
      <w:r w:rsidRPr="00ED6BDC">
        <w:rPr>
          <w:color w:val="000000"/>
          <w:spacing w:val="-3"/>
        </w:rPr>
        <w:t>m</w:t>
      </w:r>
      <w:r w:rsidRPr="00ED6BDC">
        <w:rPr>
          <w:color w:val="000000"/>
          <w:spacing w:val="1"/>
        </w:rPr>
        <w:t>itt</w:t>
      </w:r>
      <w:r w:rsidRPr="00ED6BDC">
        <w:rPr>
          <w:color w:val="000000"/>
        </w:rPr>
        <w:t>an</w:t>
      </w:r>
      <w:r w:rsidRPr="00ED6BDC">
        <w:rPr>
          <w:color w:val="000000"/>
          <w:spacing w:val="-2"/>
        </w:rPr>
        <w:t>c</w:t>
      </w:r>
      <w:r w:rsidRPr="00ED6BDC">
        <w:rPr>
          <w:color w:val="000000"/>
        </w:rPr>
        <w:t>e</w:t>
      </w:r>
      <w:r w:rsidRPr="00ED6BDC">
        <w:rPr>
          <w:color w:val="000000"/>
          <w:spacing w:val="36"/>
        </w:rPr>
        <w:t xml:space="preserve"> </w:t>
      </w:r>
      <w:r w:rsidRPr="00ED6BDC">
        <w:rPr>
          <w:color w:val="000000"/>
          <w:spacing w:val="-1"/>
        </w:rPr>
        <w:t>A</w:t>
      </w:r>
      <w:r w:rsidRPr="00ED6BDC">
        <w:rPr>
          <w:color w:val="000000"/>
          <w:spacing w:val="-2"/>
        </w:rPr>
        <w:t>dv</w:t>
      </w:r>
      <w:r w:rsidRPr="00ED6BDC">
        <w:rPr>
          <w:color w:val="000000"/>
          <w:spacing w:val="1"/>
        </w:rPr>
        <w:t>i</w:t>
      </w:r>
      <w:r w:rsidRPr="00ED6BDC">
        <w:rPr>
          <w:color w:val="000000"/>
        </w:rPr>
        <w:t xml:space="preserve">ce) </w:t>
      </w:r>
      <w:r w:rsidRPr="00ED6BDC">
        <w:rPr>
          <w:color w:val="000000"/>
          <w:spacing w:val="-4"/>
        </w:rPr>
        <w:t>m</w:t>
      </w:r>
      <w:r w:rsidRPr="00ED6BDC">
        <w:rPr>
          <w:color w:val="000000"/>
        </w:rPr>
        <w:t>ust</w:t>
      </w:r>
      <w:r w:rsidRPr="00ED6BDC">
        <w:rPr>
          <w:color w:val="000000"/>
          <w:spacing w:val="37"/>
        </w:rPr>
        <w:t xml:space="preserve"> </w:t>
      </w:r>
      <w:r w:rsidRPr="00ED6BDC">
        <w:rPr>
          <w:color w:val="000000"/>
        </w:rPr>
        <w:t>be</w:t>
      </w:r>
      <w:r w:rsidRPr="00ED6BDC">
        <w:rPr>
          <w:color w:val="000000"/>
          <w:spacing w:val="36"/>
        </w:rPr>
        <w:t xml:space="preserve"> </w:t>
      </w:r>
      <w:r w:rsidRPr="00ED6BDC">
        <w:rPr>
          <w:color w:val="000000"/>
        </w:rPr>
        <w:t>sub</w:t>
      </w:r>
      <w:r w:rsidRPr="00ED6BDC">
        <w:rPr>
          <w:color w:val="000000"/>
          <w:spacing w:val="-3"/>
        </w:rPr>
        <w:t>m</w:t>
      </w:r>
      <w:r w:rsidRPr="00ED6BDC">
        <w:rPr>
          <w:color w:val="000000"/>
          <w:spacing w:val="1"/>
        </w:rPr>
        <w:t>i</w:t>
      </w:r>
      <w:r w:rsidRPr="00ED6BDC">
        <w:rPr>
          <w:color w:val="000000"/>
          <w:spacing w:val="-1"/>
        </w:rPr>
        <w:t>t</w:t>
      </w:r>
      <w:r w:rsidRPr="00ED6BDC">
        <w:rPr>
          <w:color w:val="000000"/>
          <w:spacing w:val="1"/>
        </w:rPr>
        <w:t>t</w:t>
      </w:r>
      <w:r w:rsidRPr="00ED6BDC">
        <w:rPr>
          <w:color w:val="000000"/>
        </w:rPr>
        <w:t>ed</w:t>
      </w:r>
      <w:r w:rsidRPr="00ED6BDC">
        <w:rPr>
          <w:color w:val="000000"/>
          <w:spacing w:val="2"/>
        </w:rPr>
        <w:t>.</w:t>
      </w:r>
      <w:r w:rsidRPr="00ED6BDC">
        <w:rPr>
          <w:color w:val="000000"/>
          <w:position w:val="10"/>
        </w:rPr>
        <w:t xml:space="preserve">  </w:t>
      </w:r>
      <w:r w:rsidRPr="00ED6BDC">
        <w:rPr>
          <w:color w:val="000000"/>
        </w:rPr>
        <w:t>When</w:t>
      </w:r>
      <w:r w:rsidRPr="00ED6BDC">
        <w:rPr>
          <w:color w:val="000000"/>
          <w:spacing w:val="36"/>
        </w:rPr>
        <w:t xml:space="preserve"> </w:t>
      </w:r>
      <w:r w:rsidRPr="00ED6BDC">
        <w:rPr>
          <w:color w:val="000000"/>
        </w:rPr>
        <w:t>co</w:t>
      </w:r>
      <w:r w:rsidRPr="00ED6BDC">
        <w:rPr>
          <w:color w:val="000000"/>
          <w:spacing w:val="-3"/>
        </w:rPr>
        <w:t>m</w:t>
      </w:r>
      <w:r w:rsidRPr="00ED6BDC">
        <w:rPr>
          <w:color w:val="000000"/>
        </w:rPr>
        <w:t>p</w:t>
      </w:r>
      <w:r w:rsidRPr="00ED6BDC">
        <w:rPr>
          <w:color w:val="000000"/>
          <w:spacing w:val="1"/>
        </w:rPr>
        <w:t>l</w:t>
      </w:r>
      <w:r w:rsidRPr="00ED6BDC">
        <w:rPr>
          <w:color w:val="000000"/>
          <w:spacing w:val="-2"/>
        </w:rPr>
        <w:t>e</w:t>
      </w:r>
      <w:r w:rsidRPr="00ED6BDC">
        <w:rPr>
          <w:color w:val="000000"/>
          <w:spacing w:val="1"/>
        </w:rPr>
        <w:t>ti</w:t>
      </w:r>
      <w:r w:rsidRPr="00ED6BDC">
        <w:rPr>
          <w:color w:val="000000"/>
        </w:rPr>
        <w:t>ng</w:t>
      </w:r>
      <w:r w:rsidRPr="00ED6BDC">
        <w:rPr>
          <w:color w:val="000000"/>
          <w:spacing w:val="34"/>
        </w:rPr>
        <w:t xml:space="preserve"> </w:t>
      </w:r>
      <w:r w:rsidRPr="00ED6BDC">
        <w:rPr>
          <w:color w:val="000000"/>
          <w:spacing w:val="1"/>
        </w:rPr>
        <w:t>t</w:t>
      </w:r>
      <w:r w:rsidRPr="00ED6BDC">
        <w:rPr>
          <w:color w:val="000000"/>
        </w:rPr>
        <w:t>he</w:t>
      </w:r>
      <w:r w:rsidRPr="00ED6BDC">
        <w:rPr>
          <w:color w:val="000000"/>
          <w:spacing w:val="36"/>
        </w:rPr>
        <w:t xml:space="preserve"> </w:t>
      </w:r>
      <w:r w:rsidRPr="00ED6BDC">
        <w:rPr>
          <w:color w:val="000000"/>
        </w:rPr>
        <w:t>F</w:t>
      </w:r>
      <w:r w:rsidRPr="00ED6BDC">
        <w:rPr>
          <w:color w:val="000000"/>
          <w:spacing w:val="-4"/>
        </w:rPr>
        <w:t>C</w:t>
      </w:r>
      <w:r w:rsidRPr="00ED6BDC">
        <w:rPr>
          <w:color w:val="000000"/>
        </w:rPr>
        <w:t>C</w:t>
      </w:r>
      <w:r w:rsidRPr="00ED6BDC">
        <w:rPr>
          <w:color w:val="000000"/>
          <w:spacing w:val="35"/>
        </w:rPr>
        <w:t xml:space="preserve"> </w:t>
      </w:r>
      <w:r w:rsidRPr="00ED6BDC">
        <w:rPr>
          <w:color w:val="000000"/>
        </w:rPr>
        <w:t>Form</w:t>
      </w:r>
      <w:r w:rsidRPr="00ED6BDC">
        <w:rPr>
          <w:color w:val="000000"/>
          <w:spacing w:val="33"/>
        </w:rPr>
        <w:t xml:space="preserve"> </w:t>
      </w:r>
      <w:r w:rsidRPr="00ED6BDC">
        <w:rPr>
          <w:color w:val="000000"/>
        </w:rPr>
        <w:t>159,</w:t>
      </w:r>
      <w:r w:rsidRPr="00ED6BDC">
        <w:rPr>
          <w:color w:val="000000"/>
          <w:spacing w:val="36"/>
        </w:rPr>
        <w:t xml:space="preserve"> </w:t>
      </w:r>
      <w:r w:rsidRPr="00ED6BDC">
        <w:rPr>
          <w:color w:val="000000"/>
        </w:rPr>
        <w:t>en</w:t>
      </w:r>
      <w:r w:rsidRPr="00ED6BDC">
        <w:rPr>
          <w:color w:val="000000"/>
          <w:spacing w:val="1"/>
        </w:rPr>
        <w:t>t</w:t>
      </w:r>
      <w:r w:rsidRPr="00ED6BDC">
        <w:rPr>
          <w:color w:val="000000"/>
        </w:rPr>
        <w:t>er</w:t>
      </w:r>
      <w:r w:rsidRPr="00ED6BDC">
        <w:rPr>
          <w:color w:val="000000"/>
          <w:spacing w:val="35"/>
        </w:rPr>
        <w:t xml:space="preserve"> </w:t>
      </w:r>
      <w:r w:rsidRPr="00ED6BDC">
        <w:rPr>
          <w:color w:val="000000"/>
          <w:spacing w:val="1"/>
        </w:rPr>
        <w:t>t</w:t>
      </w:r>
      <w:r w:rsidRPr="00ED6BDC">
        <w:rPr>
          <w:color w:val="000000"/>
        </w:rPr>
        <w:t xml:space="preserve">he </w:t>
      </w:r>
      <w:r w:rsidRPr="00ED6BDC">
        <w:rPr>
          <w:spacing w:val="-1"/>
        </w:rPr>
        <w:t>A</w:t>
      </w:r>
      <w:r w:rsidRPr="00ED6BDC">
        <w:t>ccount</w:t>
      </w:r>
      <w:r w:rsidRPr="00ED6BDC">
        <w:rPr>
          <w:spacing w:val="6"/>
        </w:rPr>
        <w:t xml:space="preserve"> </w:t>
      </w:r>
      <w:r w:rsidRPr="00ED6BDC">
        <w:rPr>
          <w:spacing w:val="-1"/>
        </w:rPr>
        <w:t>N</w:t>
      </w:r>
      <w:r w:rsidRPr="00ED6BDC">
        <w:t>u</w:t>
      </w:r>
      <w:r w:rsidRPr="00ED6BDC">
        <w:rPr>
          <w:spacing w:val="-4"/>
        </w:rPr>
        <w:t>m</w:t>
      </w:r>
      <w:r w:rsidRPr="00ED6BDC">
        <w:t>b</w:t>
      </w:r>
      <w:r w:rsidRPr="00ED6BDC">
        <w:rPr>
          <w:spacing w:val="1"/>
        </w:rPr>
        <w:t>e</w:t>
      </w:r>
      <w:r w:rsidRPr="00ED6BDC">
        <w:t>r</w:t>
      </w:r>
      <w:r w:rsidRPr="00ED6BDC">
        <w:rPr>
          <w:spacing w:val="5"/>
        </w:rPr>
        <w:t xml:space="preserve"> </w:t>
      </w:r>
      <w:r w:rsidRPr="00ED6BDC">
        <w:rPr>
          <w:spacing w:val="1"/>
        </w:rPr>
        <w:t>i</w:t>
      </w:r>
      <w:r w:rsidRPr="00ED6BDC">
        <w:t>n</w:t>
      </w:r>
      <w:r w:rsidRPr="00ED6BDC">
        <w:rPr>
          <w:spacing w:val="5"/>
        </w:rPr>
        <w:t xml:space="preserve"> </w:t>
      </w:r>
      <w:r w:rsidRPr="00ED6BDC">
        <w:rPr>
          <w:spacing w:val="-2"/>
        </w:rPr>
        <w:t>b</w:t>
      </w:r>
      <w:r w:rsidRPr="00ED6BDC">
        <w:rPr>
          <w:spacing w:val="1"/>
        </w:rPr>
        <w:t>l</w:t>
      </w:r>
      <w:r w:rsidRPr="00ED6BDC">
        <w:t>ock</w:t>
      </w:r>
      <w:r w:rsidRPr="00ED6BDC">
        <w:rPr>
          <w:spacing w:val="3"/>
        </w:rPr>
        <w:t xml:space="preserve"> </w:t>
      </w:r>
      <w:r w:rsidRPr="00ED6BDC">
        <w:t>nu</w:t>
      </w:r>
      <w:r w:rsidRPr="00ED6BDC">
        <w:rPr>
          <w:spacing w:val="-4"/>
        </w:rPr>
        <w:t>m</w:t>
      </w:r>
      <w:r w:rsidRPr="00ED6BDC">
        <w:t>ber</w:t>
      </w:r>
      <w:r w:rsidRPr="00ED6BDC">
        <w:rPr>
          <w:spacing w:val="6"/>
        </w:rPr>
        <w:t xml:space="preserve"> </w:t>
      </w:r>
      <w:r w:rsidRPr="00ED6BDC">
        <w:t>23A</w:t>
      </w:r>
      <w:r w:rsidRPr="00ED6BDC">
        <w:rPr>
          <w:spacing w:val="4"/>
        </w:rPr>
        <w:t xml:space="preserve"> </w:t>
      </w:r>
      <w:r w:rsidRPr="00ED6BDC">
        <w:rPr>
          <w:spacing w:val="1"/>
        </w:rPr>
        <w:t>(</w:t>
      </w:r>
      <w:r w:rsidRPr="00ED6BDC">
        <w:t>ca</w:t>
      </w:r>
      <w:r w:rsidRPr="00ED6BDC">
        <w:rPr>
          <w:spacing w:val="-1"/>
        </w:rPr>
        <w:t>l</w:t>
      </w:r>
      <w:r w:rsidRPr="00ED6BDC">
        <w:t>l</w:t>
      </w:r>
      <w:r w:rsidRPr="00ED6BDC">
        <w:rPr>
          <w:spacing w:val="6"/>
        </w:rPr>
        <w:t xml:space="preserve"> </w:t>
      </w:r>
      <w:r w:rsidRPr="00ED6BDC">
        <w:rPr>
          <w:spacing w:val="-2"/>
        </w:rPr>
        <w:t>s</w:t>
      </w:r>
      <w:r w:rsidRPr="00ED6BDC">
        <w:rPr>
          <w:spacing w:val="1"/>
        </w:rPr>
        <w:t>i</w:t>
      </w:r>
      <w:r w:rsidRPr="00ED6BDC">
        <w:rPr>
          <w:spacing w:val="-2"/>
        </w:rPr>
        <w:t>g</w:t>
      </w:r>
      <w:r w:rsidRPr="00ED6BDC">
        <w:t>n</w:t>
      </w:r>
      <w:r w:rsidRPr="00ED6BDC">
        <w:rPr>
          <w:spacing w:val="1"/>
        </w:rPr>
        <w:t>/</w:t>
      </w:r>
      <w:r w:rsidRPr="00ED6BDC">
        <w:t>o</w:t>
      </w:r>
      <w:r w:rsidRPr="00ED6BDC">
        <w:rPr>
          <w:spacing w:val="1"/>
        </w:rPr>
        <w:t>t</w:t>
      </w:r>
      <w:r w:rsidRPr="00ED6BDC">
        <w:rPr>
          <w:spacing w:val="-2"/>
        </w:rPr>
        <w:t>he</w:t>
      </w:r>
      <w:r w:rsidRPr="00ED6BDC">
        <w:t>r</w:t>
      </w:r>
      <w:r w:rsidRPr="00ED6BDC">
        <w:rPr>
          <w:spacing w:val="5"/>
        </w:rPr>
        <w:t xml:space="preserve"> </w:t>
      </w:r>
      <w:r w:rsidRPr="00ED6BDC">
        <w:rPr>
          <w:spacing w:val="-4"/>
        </w:rPr>
        <w:t>I</w:t>
      </w:r>
      <w:r w:rsidRPr="00ED6BDC">
        <w:rPr>
          <w:spacing w:val="-1"/>
        </w:rPr>
        <w:t>D</w:t>
      </w:r>
      <w:r w:rsidRPr="00ED6BDC">
        <w:t>)</w:t>
      </w:r>
      <w:r w:rsidRPr="00ED6BDC">
        <w:rPr>
          <w:spacing w:val="5"/>
        </w:rPr>
        <w:t xml:space="preserve"> </w:t>
      </w:r>
      <w:r w:rsidRPr="00ED6BDC">
        <w:t>and</w:t>
      </w:r>
      <w:r w:rsidRPr="00ED6BDC">
        <w:rPr>
          <w:spacing w:val="5"/>
        </w:rPr>
        <w:t xml:space="preserve"> </w:t>
      </w:r>
      <w:r w:rsidRPr="00ED6BDC">
        <w:t>en</w:t>
      </w:r>
      <w:r w:rsidRPr="00ED6BDC">
        <w:rPr>
          <w:spacing w:val="1"/>
        </w:rPr>
        <w:t>t</w:t>
      </w:r>
      <w:r w:rsidRPr="00ED6BDC">
        <w:t>er</w:t>
      </w:r>
      <w:r w:rsidRPr="00ED6BDC">
        <w:rPr>
          <w:spacing w:val="4"/>
        </w:rPr>
        <w:t xml:space="preserve"> </w:t>
      </w:r>
      <w:r w:rsidRPr="00ED6BDC">
        <w:rPr>
          <w:spacing w:val="1"/>
        </w:rPr>
        <w:t>t</w:t>
      </w:r>
      <w:r w:rsidRPr="00ED6BDC">
        <w:t>he</w:t>
      </w:r>
      <w:r w:rsidRPr="00ED6BDC">
        <w:rPr>
          <w:spacing w:val="5"/>
        </w:rPr>
        <w:t xml:space="preserve"> </w:t>
      </w:r>
      <w:r w:rsidRPr="00ED6BDC">
        <w:rPr>
          <w:spacing w:val="-1"/>
        </w:rPr>
        <w:t>l</w:t>
      </w:r>
      <w:r w:rsidRPr="00ED6BDC">
        <w:t>e</w:t>
      </w:r>
      <w:r w:rsidRPr="00ED6BDC">
        <w:rPr>
          <w:spacing w:val="-1"/>
        </w:rPr>
        <w:t>t</w:t>
      </w:r>
      <w:r w:rsidRPr="00ED6BDC">
        <w:rPr>
          <w:spacing w:val="1"/>
        </w:rPr>
        <w:t>t</w:t>
      </w:r>
      <w:r w:rsidRPr="00ED6BDC">
        <w:rPr>
          <w:spacing w:val="-2"/>
        </w:rPr>
        <w:t>e</w:t>
      </w:r>
      <w:r w:rsidRPr="00ED6BDC">
        <w:rPr>
          <w:spacing w:val="1"/>
        </w:rPr>
        <w:t>r</w:t>
      </w:r>
      <w:r w:rsidRPr="00ED6BDC">
        <w:t>s</w:t>
      </w:r>
      <w:r w:rsidRPr="00ED6BDC">
        <w:rPr>
          <w:spacing w:val="5"/>
        </w:rPr>
        <w:t xml:space="preserve"> </w:t>
      </w:r>
      <w:r w:rsidRPr="00ED6BDC">
        <w:rPr>
          <w:spacing w:val="-2"/>
        </w:rPr>
        <w:t>“</w:t>
      </w:r>
      <w:r w:rsidRPr="00ED6BDC">
        <w:t>F</w:t>
      </w:r>
      <w:r w:rsidRPr="00ED6BDC">
        <w:rPr>
          <w:spacing w:val="-1"/>
        </w:rPr>
        <w:t>OR</w:t>
      </w:r>
      <w:r w:rsidRPr="00ED6BDC">
        <w:t>F”</w:t>
      </w:r>
      <w:r w:rsidRPr="00ED6BDC">
        <w:rPr>
          <w:spacing w:val="5"/>
        </w:rPr>
        <w:t xml:space="preserve"> </w:t>
      </w:r>
      <w:r w:rsidRPr="00ED6BDC">
        <w:rPr>
          <w:spacing w:val="1"/>
        </w:rPr>
        <w:t>i</w:t>
      </w:r>
      <w:r w:rsidRPr="00ED6BDC">
        <w:t>n</w:t>
      </w:r>
      <w:r w:rsidRPr="00ED6BDC">
        <w:rPr>
          <w:spacing w:val="5"/>
        </w:rPr>
        <w:t xml:space="preserve"> </w:t>
      </w:r>
      <w:r w:rsidRPr="00ED6BDC">
        <w:t>b</w:t>
      </w:r>
      <w:r w:rsidRPr="00ED6BDC">
        <w:rPr>
          <w:spacing w:val="1"/>
        </w:rPr>
        <w:t>l</w:t>
      </w:r>
      <w:r w:rsidRPr="00ED6BDC">
        <w:rPr>
          <w:spacing w:val="-2"/>
        </w:rPr>
        <w:t>o</w:t>
      </w:r>
      <w:r w:rsidRPr="00ED6BDC">
        <w:t>ck</w:t>
      </w:r>
      <w:r w:rsidRPr="00ED6BDC">
        <w:rPr>
          <w:spacing w:val="3"/>
        </w:rPr>
        <w:t xml:space="preserve"> </w:t>
      </w:r>
      <w:r w:rsidRPr="00ED6BDC">
        <w:t>nu</w:t>
      </w:r>
      <w:r w:rsidRPr="00ED6BDC">
        <w:rPr>
          <w:spacing w:val="-4"/>
        </w:rPr>
        <w:t>m</w:t>
      </w:r>
      <w:r w:rsidRPr="00ED6BDC">
        <w:t>ber 24A</w:t>
      </w:r>
      <w:r w:rsidRPr="00ED6BDC">
        <w:rPr>
          <w:spacing w:val="28"/>
        </w:rPr>
        <w:t xml:space="preserve"> </w:t>
      </w:r>
      <w:r w:rsidRPr="00ED6BDC">
        <w:rPr>
          <w:spacing w:val="1"/>
        </w:rPr>
        <w:t>(</w:t>
      </w:r>
      <w:r w:rsidRPr="00ED6BDC">
        <w:t>pay</w:t>
      </w:r>
      <w:r w:rsidRPr="00ED6BDC">
        <w:rPr>
          <w:spacing w:val="-3"/>
        </w:rPr>
        <w:t>m</w:t>
      </w:r>
      <w:r w:rsidRPr="00ED6BDC">
        <w:t>ent</w:t>
      </w:r>
      <w:r w:rsidRPr="00ED6BDC">
        <w:rPr>
          <w:spacing w:val="30"/>
        </w:rPr>
        <w:t xml:space="preserve"> </w:t>
      </w:r>
      <w:r w:rsidRPr="00ED6BDC">
        <w:rPr>
          <w:spacing w:val="1"/>
        </w:rPr>
        <w:t>t</w:t>
      </w:r>
      <w:r w:rsidRPr="00ED6BDC">
        <w:rPr>
          <w:spacing w:val="-2"/>
        </w:rPr>
        <w:t>y</w:t>
      </w:r>
      <w:r w:rsidRPr="00ED6BDC">
        <w:t>pe</w:t>
      </w:r>
      <w:r w:rsidRPr="00ED6BDC">
        <w:rPr>
          <w:spacing w:val="29"/>
        </w:rPr>
        <w:t xml:space="preserve"> </w:t>
      </w:r>
      <w:r w:rsidRPr="00ED6BDC">
        <w:t>code</w:t>
      </w:r>
      <w:r w:rsidRPr="00ED6BDC">
        <w:rPr>
          <w:spacing w:val="1"/>
        </w:rPr>
        <w:t>)</w:t>
      </w:r>
      <w:r w:rsidRPr="00ED6BDC">
        <w:t>.  Below are additional instructions that should be followed based on the form of payment selected:</w:t>
      </w:r>
    </w:p>
    <w:p w:rsidR="000F0E00" w:rsidP="000F0E00">
      <w:pPr>
        <w:pStyle w:val="ParaNum"/>
        <w:numPr>
          <w:ilvl w:val="0"/>
          <w:numId w:val="18"/>
        </w:numPr>
      </w:pPr>
      <w:r>
        <w:t>Payment by check or money order must be made payable to the order of the Federal Communications Commission.  Such payments (along with the completed Form 159) must be mailed to the Federal Communications Commission, P.O. Box 979088, St. Louis, MO 63197-9000, or sent via overnight mail to U.S. Bank – Government Lock box #979088, SL-MO-C2-GL, 1005 Convention Plaza, St. Louis, MO 63101.</w:t>
      </w:r>
    </w:p>
    <w:p w:rsidR="000F0E00" w:rsidP="000F0E00">
      <w:pPr>
        <w:pStyle w:val="ParaNum"/>
        <w:numPr>
          <w:ilvl w:val="0"/>
          <w:numId w:val="18"/>
        </w:numPr>
      </w:pPr>
      <w:r w:rsidRPr="000E60FE">
        <w:t>Pay</w:t>
      </w:r>
      <w:r w:rsidRPr="00E62274">
        <w:rPr>
          <w:spacing w:val="-4"/>
        </w:rPr>
        <w:t>m</w:t>
      </w:r>
      <w:r w:rsidRPr="000E60FE">
        <w:t>ent by</w:t>
      </w:r>
      <w:r w:rsidRPr="00E62274">
        <w:rPr>
          <w:spacing w:val="-1"/>
        </w:rPr>
        <w:t xml:space="preserve"> w</w:t>
      </w:r>
      <w:r w:rsidRPr="00E62274">
        <w:rPr>
          <w:spacing w:val="1"/>
        </w:rPr>
        <w:t>ir</w:t>
      </w:r>
      <w:r w:rsidRPr="000E60FE">
        <w:t>e</w:t>
      </w:r>
      <w:r w:rsidRPr="00E62274">
        <w:rPr>
          <w:spacing w:val="25"/>
        </w:rPr>
        <w:t xml:space="preserve"> </w:t>
      </w:r>
      <w:r w:rsidRPr="00E62274">
        <w:rPr>
          <w:spacing w:val="-1"/>
        </w:rPr>
        <w:t>t</w:t>
      </w:r>
      <w:r w:rsidRPr="00E62274">
        <w:rPr>
          <w:spacing w:val="1"/>
        </w:rPr>
        <w:t>r</w:t>
      </w:r>
      <w:r w:rsidRPr="000E60FE">
        <w:t>an</w:t>
      </w:r>
      <w:r w:rsidRPr="00E62274">
        <w:rPr>
          <w:spacing w:val="-2"/>
        </w:rPr>
        <w:t>s</w:t>
      </w:r>
      <w:r w:rsidRPr="00E62274">
        <w:rPr>
          <w:spacing w:val="1"/>
        </w:rPr>
        <w:t>f</w:t>
      </w:r>
      <w:r w:rsidRPr="00E62274">
        <w:rPr>
          <w:spacing w:val="-2"/>
        </w:rPr>
        <w:t>e</w:t>
      </w:r>
      <w:r w:rsidRPr="000E60FE">
        <w:t xml:space="preserve">r </w:t>
      </w:r>
      <w:r w:rsidRPr="00E62274">
        <w:rPr>
          <w:spacing w:val="-4"/>
        </w:rPr>
        <w:t>m</w:t>
      </w:r>
      <w:r w:rsidRPr="000E60FE">
        <w:t xml:space="preserve">ust be </w:t>
      </w:r>
      <w:r w:rsidRPr="00E62274">
        <w:rPr>
          <w:spacing w:val="-4"/>
        </w:rPr>
        <w:t>m</w:t>
      </w:r>
      <w:r w:rsidRPr="000E60FE">
        <w:t xml:space="preserve">ade </w:t>
      </w:r>
      <w:r w:rsidRPr="00E62274">
        <w:rPr>
          <w:spacing w:val="-1"/>
        </w:rPr>
        <w:t>t</w:t>
      </w:r>
      <w:r w:rsidRPr="000E60FE">
        <w:t xml:space="preserve">o </w:t>
      </w:r>
      <w:r w:rsidRPr="00E62274">
        <w:rPr>
          <w:spacing w:val="-1"/>
        </w:rPr>
        <w:t>AB</w:t>
      </w:r>
      <w:r w:rsidRPr="000E60FE">
        <w:t xml:space="preserve">A </w:t>
      </w:r>
      <w:r w:rsidRPr="00E62274">
        <w:rPr>
          <w:spacing w:val="-1"/>
        </w:rPr>
        <w:t>N</w:t>
      </w:r>
      <w:r w:rsidRPr="000E60FE">
        <w:t>u</w:t>
      </w:r>
      <w:r w:rsidRPr="00E62274">
        <w:rPr>
          <w:spacing w:val="-4"/>
        </w:rPr>
        <w:t>m</w:t>
      </w:r>
      <w:r w:rsidRPr="000E60FE">
        <w:t>ber</w:t>
      </w:r>
      <w:r w:rsidRPr="00E62274">
        <w:rPr>
          <w:spacing w:val="28"/>
        </w:rPr>
        <w:t xml:space="preserve"> </w:t>
      </w:r>
      <w:r w:rsidRPr="000E60FE">
        <w:t>02103000</w:t>
      </w:r>
      <w:r w:rsidRPr="00E62274">
        <w:rPr>
          <w:spacing w:val="-2"/>
        </w:rPr>
        <w:t>4</w:t>
      </w:r>
      <w:r w:rsidRPr="000E60FE">
        <w:t>,</w:t>
      </w:r>
      <w:r w:rsidRPr="00E62274">
        <w:rPr>
          <w:spacing w:val="27"/>
        </w:rPr>
        <w:t xml:space="preserve"> </w:t>
      </w:r>
      <w:r w:rsidRPr="00E62274">
        <w:rPr>
          <w:spacing w:val="-2"/>
        </w:rPr>
        <w:t>r</w:t>
      </w:r>
      <w:r w:rsidRPr="000E60FE">
        <w:t>ec</w:t>
      </w:r>
      <w:r w:rsidRPr="00E62274">
        <w:rPr>
          <w:spacing w:val="-2"/>
        </w:rPr>
        <w:t>e</w:t>
      </w:r>
      <w:r w:rsidRPr="00E62274">
        <w:rPr>
          <w:spacing w:val="1"/>
        </w:rPr>
        <w:t>i</w:t>
      </w:r>
      <w:r w:rsidRPr="00E62274">
        <w:rPr>
          <w:spacing w:val="-2"/>
        </w:rPr>
        <w:t>v</w:t>
      </w:r>
      <w:r w:rsidRPr="00E62274">
        <w:rPr>
          <w:spacing w:val="1"/>
        </w:rPr>
        <w:t>i</w:t>
      </w:r>
      <w:r w:rsidRPr="000E60FE">
        <w:t>ng</w:t>
      </w:r>
      <w:r>
        <w:rPr>
          <w:spacing w:val="24"/>
        </w:rPr>
        <w:t xml:space="preserve"> </w:t>
      </w:r>
      <w:r w:rsidRPr="000E60FE">
        <w:t xml:space="preserve">bank </w:t>
      </w:r>
      <w:r w:rsidRPr="00E62274">
        <w:rPr>
          <w:spacing w:val="2"/>
        </w:rPr>
        <w:t>T</w:t>
      </w:r>
      <w:r w:rsidRPr="00E62274">
        <w:rPr>
          <w:spacing w:val="-1"/>
        </w:rPr>
        <w:t>R</w:t>
      </w:r>
      <w:r w:rsidRPr="000E60FE">
        <w:t>E</w:t>
      </w:r>
      <w:r w:rsidRPr="00E62274">
        <w:rPr>
          <w:spacing w:val="-2"/>
        </w:rPr>
        <w:t>A</w:t>
      </w:r>
      <w:r w:rsidRPr="000E60FE">
        <w:t>S/N</w:t>
      </w:r>
      <w:r w:rsidRPr="00E62274">
        <w:rPr>
          <w:spacing w:val="-1"/>
        </w:rPr>
        <w:t>YC</w:t>
      </w:r>
      <w:r w:rsidRPr="000E60FE">
        <w:t>,</w:t>
      </w:r>
      <w:r w:rsidRPr="00E62274">
        <w:rPr>
          <w:spacing w:val="2"/>
        </w:rPr>
        <w:t xml:space="preserve"> </w:t>
      </w:r>
      <w:r w:rsidRPr="000E60FE">
        <w:t>and</w:t>
      </w:r>
      <w:r w:rsidRPr="00E62274">
        <w:rPr>
          <w:spacing w:val="3"/>
        </w:rPr>
        <w:t xml:space="preserve"> </w:t>
      </w:r>
      <w:r w:rsidRPr="00E62274">
        <w:rPr>
          <w:spacing w:val="-1"/>
        </w:rPr>
        <w:t>A</w:t>
      </w:r>
      <w:r w:rsidRPr="000E60FE">
        <w:t>c</w:t>
      </w:r>
      <w:r w:rsidRPr="00E62274">
        <w:rPr>
          <w:spacing w:val="-2"/>
        </w:rPr>
        <w:t>c</w:t>
      </w:r>
      <w:r w:rsidRPr="000E60FE">
        <w:t>ou</w:t>
      </w:r>
      <w:r w:rsidRPr="00E62274">
        <w:rPr>
          <w:spacing w:val="-2"/>
        </w:rPr>
        <w:t>n</w:t>
      </w:r>
      <w:r w:rsidRPr="000E60FE">
        <w:t>t</w:t>
      </w:r>
      <w:r w:rsidRPr="00E62274">
        <w:rPr>
          <w:spacing w:val="3"/>
        </w:rPr>
        <w:t xml:space="preserve"> </w:t>
      </w:r>
      <w:r w:rsidRPr="00E62274">
        <w:rPr>
          <w:spacing w:val="-1"/>
        </w:rPr>
        <w:t>N</w:t>
      </w:r>
      <w:r w:rsidRPr="000E60FE">
        <w:t>u</w:t>
      </w:r>
      <w:r w:rsidRPr="00E62274">
        <w:rPr>
          <w:spacing w:val="-4"/>
        </w:rPr>
        <w:t>m</w:t>
      </w:r>
      <w:r w:rsidRPr="000E60FE">
        <w:t>ber</w:t>
      </w:r>
      <w:r w:rsidRPr="00E62274">
        <w:rPr>
          <w:spacing w:val="3"/>
        </w:rPr>
        <w:t xml:space="preserve"> </w:t>
      </w:r>
      <w:r w:rsidRPr="000E60FE">
        <w:t xml:space="preserve">27000001. </w:t>
      </w:r>
      <w:r w:rsidRPr="00E62274">
        <w:rPr>
          <w:spacing w:val="3"/>
        </w:rPr>
        <w:t xml:space="preserve"> </w:t>
      </w:r>
      <w:r w:rsidRPr="00E62274">
        <w:rPr>
          <w:spacing w:val="2"/>
        </w:rPr>
        <w:t>T</w:t>
      </w:r>
      <w:r w:rsidRPr="000E60FE">
        <w:t>o co</w:t>
      </w:r>
      <w:r w:rsidRPr="00E62274">
        <w:rPr>
          <w:spacing w:val="-3"/>
        </w:rPr>
        <w:t>m</w:t>
      </w:r>
      <w:r w:rsidRPr="000E60FE">
        <w:t>p</w:t>
      </w:r>
      <w:r w:rsidRPr="00E62274">
        <w:rPr>
          <w:spacing w:val="1"/>
        </w:rPr>
        <w:t>l</w:t>
      </w:r>
      <w:r w:rsidRPr="000E60FE">
        <w:t>e</w:t>
      </w:r>
      <w:r w:rsidRPr="00E62274">
        <w:rPr>
          <w:spacing w:val="1"/>
        </w:rPr>
        <w:t>t</w:t>
      </w:r>
      <w:r w:rsidRPr="000E60FE">
        <w:t>e</w:t>
      </w:r>
      <w:r w:rsidRPr="00E62274">
        <w:rPr>
          <w:spacing w:val="3"/>
        </w:rPr>
        <w:t xml:space="preserve"> </w:t>
      </w:r>
      <w:r w:rsidRPr="00E62274">
        <w:rPr>
          <w:spacing w:val="-1"/>
        </w:rPr>
        <w:t>t</w:t>
      </w:r>
      <w:r w:rsidRPr="000E60FE">
        <w:t>he</w:t>
      </w:r>
      <w:r w:rsidRPr="00E62274">
        <w:rPr>
          <w:spacing w:val="3"/>
        </w:rPr>
        <w:t xml:space="preserve"> </w:t>
      </w:r>
      <w:r w:rsidRPr="00E62274">
        <w:rPr>
          <w:spacing w:val="-1"/>
        </w:rPr>
        <w:t>w</w:t>
      </w:r>
      <w:r w:rsidRPr="00E62274">
        <w:rPr>
          <w:spacing w:val="1"/>
        </w:rPr>
        <w:t>i</w:t>
      </w:r>
      <w:r w:rsidRPr="00E62274">
        <w:rPr>
          <w:spacing w:val="-2"/>
        </w:rPr>
        <w:t>r</w:t>
      </w:r>
      <w:r w:rsidRPr="000E60FE">
        <w:t>e</w:t>
      </w:r>
      <w:r w:rsidRPr="00E62274">
        <w:rPr>
          <w:spacing w:val="3"/>
        </w:rPr>
        <w:t xml:space="preserve"> </w:t>
      </w:r>
      <w:r w:rsidRPr="00E62274">
        <w:rPr>
          <w:spacing w:val="-1"/>
        </w:rPr>
        <w:t>t</w:t>
      </w:r>
      <w:r w:rsidRPr="00E62274">
        <w:rPr>
          <w:spacing w:val="1"/>
        </w:rPr>
        <w:t>r</w:t>
      </w:r>
      <w:r w:rsidRPr="000E60FE">
        <w:t>an</w:t>
      </w:r>
      <w:r w:rsidRPr="00E62274">
        <w:rPr>
          <w:spacing w:val="-2"/>
        </w:rPr>
        <w:t>s</w:t>
      </w:r>
      <w:r w:rsidRPr="00E62274">
        <w:rPr>
          <w:spacing w:val="1"/>
        </w:rPr>
        <w:t>f</w:t>
      </w:r>
      <w:r w:rsidRPr="00E62274">
        <w:rPr>
          <w:spacing w:val="-2"/>
        </w:rPr>
        <w:t>e</w:t>
      </w:r>
      <w:r w:rsidRPr="000E60FE">
        <w:t>r</w:t>
      </w:r>
      <w:r w:rsidRPr="00E62274">
        <w:rPr>
          <w:spacing w:val="1"/>
        </w:rPr>
        <w:t xml:space="preserve"> </w:t>
      </w:r>
      <w:r w:rsidRPr="000E60FE">
        <w:t>and</w:t>
      </w:r>
      <w:r w:rsidRPr="00E62274">
        <w:rPr>
          <w:spacing w:val="3"/>
        </w:rPr>
        <w:t xml:space="preserve"> </w:t>
      </w:r>
      <w:r w:rsidRPr="000E60FE">
        <w:t>en</w:t>
      </w:r>
      <w:r w:rsidRPr="00E62274">
        <w:rPr>
          <w:spacing w:val="1"/>
        </w:rPr>
        <w:t>s</w:t>
      </w:r>
      <w:r w:rsidRPr="00E62274">
        <w:rPr>
          <w:spacing w:val="-2"/>
        </w:rPr>
        <w:t>u</w:t>
      </w:r>
      <w:r w:rsidRPr="00E62274">
        <w:rPr>
          <w:spacing w:val="1"/>
        </w:rPr>
        <w:t>r</w:t>
      </w:r>
      <w:r w:rsidRPr="000E60FE">
        <w:t>e app</w:t>
      </w:r>
      <w:r w:rsidRPr="00E62274">
        <w:rPr>
          <w:spacing w:val="1"/>
        </w:rPr>
        <w:t>r</w:t>
      </w:r>
      <w:r w:rsidRPr="000E60FE">
        <w:t>o</w:t>
      </w:r>
      <w:r w:rsidRPr="00E62274">
        <w:rPr>
          <w:spacing w:val="-2"/>
        </w:rPr>
        <w:t>p</w:t>
      </w:r>
      <w:r w:rsidRPr="00E62274">
        <w:rPr>
          <w:spacing w:val="1"/>
        </w:rPr>
        <w:t>r</w:t>
      </w:r>
      <w:r w:rsidRPr="00E62274">
        <w:rPr>
          <w:spacing w:val="-1"/>
        </w:rPr>
        <w:t>i</w:t>
      </w:r>
      <w:r w:rsidRPr="000E60FE">
        <w:t>a</w:t>
      </w:r>
      <w:r w:rsidRPr="00E62274">
        <w:rPr>
          <w:spacing w:val="-1"/>
        </w:rPr>
        <w:t>t</w:t>
      </w:r>
      <w:r w:rsidRPr="000E60FE">
        <w:t>e</w:t>
      </w:r>
      <w:r w:rsidRPr="00E62274">
        <w:rPr>
          <w:spacing w:val="15"/>
        </w:rPr>
        <w:t xml:space="preserve"> </w:t>
      </w:r>
      <w:r w:rsidRPr="00E62274">
        <w:rPr>
          <w:spacing w:val="-2"/>
        </w:rPr>
        <w:t>c</w:t>
      </w:r>
      <w:r w:rsidRPr="00E62274">
        <w:rPr>
          <w:spacing w:val="1"/>
        </w:rPr>
        <w:t>r</w:t>
      </w:r>
      <w:r w:rsidRPr="00E62274">
        <w:rPr>
          <w:spacing w:val="2"/>
        </w:rPr>
        <w:t>e</w:t>
      </w:r>
      <w:r w:rsidRPr="00E62274">
        <w:rPr>
          <w:spacing w:val="-2"/>
        </w:rPr>
        <w:t>d</w:t>
      </w:r>
      <w:r w:rsidRPr="00E62274">
        <w:rPr>
          <w:spacing w:val="1"/>
        </w:rPr>
        <w:t>i</w:t>
      </w:r>
      <w:r w:rsidRPr="00E62274">
        <w:rPr>
          <w:spacing w:val="-1"/>
        </w:rPr>
        <w:t>t</w:t>
      </w:r>
      <w:r w:rsidRPr="00E62274">
        <w:rPr>
          <w:spacing w:val="1"/>
        </w:rPr>
        <w:t>i</w:t>
      </w:r>
      <w:r w:rsidRPr="000E60FE">
        <w:t>ng</w:t>
      </w:r>
      <w:r w:rsidRPr="00E62274">
        <w:rPr>
          <w:spacing w:val="12"/>
        </w:rPr>
        <w:t xml:space="preserve"> </w:t>
      </w:r>
      <w:r w:rsidRPr="000E60FE">
        <w:t>of</w:t>
      </w:r>
      <w:r w:rsidRPr="00E62274">
        <w:rPr>
          <w:spacing w:val="13"/>
        </w:rPr>
        <w:t xml:space="preserve"> </w:t>
      </w:r>
      <w:r w:rsidRPr="00E62274">
        <w:rPr>
          <w:spacing w:val="1"/>
        </w:rPr>
        <w:t>t</w:t>
      </w:r>
      <w:r w:rsidRPr="00E62274">
        <w:rPr>
          <w:spacing w:val="-2"/>
        </w:rPr>
        <w:t>h</w:t>
      </w:r>
      <w:r w:rsidRPr="000E60FE">
        <w:t>e</w:t>
      </w:r>
      <w:r w:rsidRPr="00E62274">
        <w:rPr>
          <w:spacing w:val="12"/>
        </w:rPr>
        <w:t xml:space="preserve"> </w:t>
      </w:r>
      <w:r w:rsidRPr="00E62274">
        <w:rPr>
          <w:spacing w:val="-1"/>
        </w:rPr>
        <w:t>w</w:t>
      </w:r>
      <w:r w:rsidRPr="00E62274">
        <w:rPr>
          <w:spacing w:val="1"/>
        </w:rPr>
        <w:t>i</w:t>
      </w:r>
      <w:r w:rsidRPr="00E62274">
        <w:rPr>
          <w:spacing w:val="-2"/>
        </w:rPr>
        <w:t>r</w:t>
      </w:r>
      <w:r w:rsidRPr="000E60FE">
        <w:t>ed</w:t>
      </w:r>
      <w:r w:rsidRPr="00E62274">
        <w:rPr>
          <w:spacing w:val="12"/>
        </w:rPr>
        <w:t xml:space="preserve"> </w:t>
      </w:r>
      <w:r w:rsidRPr="00E62274">
        <w:rPr>
          <w:spacing w:val="1"/>
        </w:rPr>
        <w:t>f</w:t>
      </w:r>
      <w:r w:rsidRPr="000E60FE">
        <w:t>und</w:t>
      </w:r>
      <w:r w:rsidRPr="00E62274">
        <w:rPr>
          <w:spacing w:val="-2"/>
        </w:rPr>
        <w:t>s</w:t>
      </w:r>
      <w:r w:rsidRPr="000E60FE">
        <w:t>,</w:t>
      </w:r>
      <w:r w:rsidRPr="00E62274">
        <w:rPr>
          <w:spacing w:val="14"/>
        </w:rPr>
        <w:t xml:space="preserve"> </w:t>
      </w:r>
      <w:r w:rsidRPr="000E60FE">
        <w:t>a</w:t>
      </w:r>
      <w:r w:rsidRPr="00E62274">
        <w:rPr>
          <w:spacing w:val="12"/>
        </w:rPr>
        <w:t xml:space="preserve"> </w:t>
      </w:r>
      <w:r w:rsidRPr="000E60FE">
        <w:t>co</w:t>
      </w:r>
      <w:r w:rsidRPr="00E62274">
        <w:rPr>
          <w:spacing w:val="-3"/>
        </w:rPr>
        <w:t>m</w:t>
      </w:r>
      <w:r w:rsidRPr="000E60FE">
        <w:t>p</w:t>
      </w:r>
      <w:r w:rsidRPr="00E62274">
        <w:rPr>
          <w:spacing w:val="1"/>
        </w:rPr>
        <w:t>l</w:t>
      </w:r>
      <w:r w:rsidRPr="000E60FE">
        <w:t>e</w:t>
      </w:r>
      <w:r w:rsidRPr="00E62274">
        <w:rPr>
          <w:spacing w:val="-1"/>
        </w:rPr>
        <w:t>t</w:t>
      </w:r>
      <w:r w:rsidRPr="000E60FE">
        <w:t>ed</w:t>
      </w:r>
      <w:r w:rsidRPr="00E62274">
        <w:rPr>
          <w:spacing w:val="12"/>
        </w:rPr>
        <w:t xml:space="preserve"> </w:t>
      </w:r>
      <w:r w:rsidRPr="000E60FE">
        <w:t>Form</w:t>
      </w:r>
      <w:r w:rsidRPr="00E62274">
        <w:rPr>
          <w:spacing w:val="11"/>
        </w:rPr>
        <w:t xml:space="preserve"> </w:t>
      </w:r>
      <w:r w:rsidRPr="000E60FE">
        <w:t>159</w:t>
      </w:r>
      <w:r w:rsidRPr="00E62274">
        <w:rPr>
          <w:spacing w:val="14"/>
        </w:rPr>
        <w:t xml:space="preserve"> </w:t>
      </w:r>
      <w:r w:rsidRPr="00E62274">
        <w:rPr>
          <w:spacing w:val="-4"/>
        </w:rPr>
        <w:t>m</w:t>
      </w:r>
      <w:r w:rsidRPr="000E60FE">
        <w:t>ust</w:t>
      </w:r>
      <w:r w:rsidRPr="00E62274">
        <w:rPr>
          <w:spacing w:val="16"/>
        </w:rPr>
        <w:t xml:space="preserve"> </w:t>
      </w:r>
      <w:r w:rsidRPr="000E60FE">
        <w:t>be</w:t>
      </w:r>
      <w:r w:rsidRPr="00E62274">
        <w:rPr>
          <w:spacing w:val="12"/>
        </w:rPr>
        <w:t xml:space="preserve"> </w:t>
      </w:r>
      <w:r w:rsidRPr="00E62274">
        <w:rPr>
          <w:spacing w:val="-2"/>
        </w:rPr>
        <w:t>f</w:t>
      </w:r>
      <w:r w:rsidRPr="000E60FE">
        <w:t>axed</w:t>
      </w:r>
      <w:r w:rsidRPr="00E62274">
        <w:rPr>
          <w:spacing w:val="12"/>
        </w:rPr>
        <w:t xml:space="preserve"> </w:t>
      </w:r>
      <w:r w:rsidRPr="00E62274">
        <w:rPr>
          <w:spacing w:val="1"/>
        </w:rPr>
        <w:t>t</w:t>
      </w:r>
      <w:r w:rsidRPr="000E60FE">
        <w:t>o</w:t>
      </w:r>
      <w:r w:rsidRPr="00E62274">
        <w:rPr>
          <w:spacing w:val="12"/>
        </w:rPr>
        <w:t xml:space="preserve"> </w:t>
      </w:r>
      <w:r w:rsidRPr="00E62274">
        <w:rPr>
          <w:spacing w:val="-1"/>
        </w:rPr>
        <w:t>U</w:t>
      </w:r>
      <w:r w:rsidRPr="000E60FE">
        <w:t>.S.</w:t>
      </w:r>
      <w:r w:rsidRPr="00E62274">
        <w:rPr>
          <w:spacing w:val="14"/>
        </w:rPr>
        <w:t xml:space="preserve"> </w:t>
      </w:r>
      <w:r w:rsidRPr="00E62274">
        <w:rPr>
          <w:spacing w:val="-1"/>
        </w:rPr>
        <w:t>B</w:t>
      </w:r>
      <w:r w:rsidRPr="000E60FE">
        <w:t>ank at</w:t>
      </w:r>
      <w:r w:rsidRPr="00E62274">
        <w:rPr>
          <w:spacing w:val="1"/>
        </w:rPr>
        <w:t xml:space="preserve"> </w:t>
      </w:r>
      <w:r w:rsidRPr="00E62274">
        <w:rPr>
          <w:spacing w:val="-2"/>
        </w:rPr>
        <w:t>(</w:t>
      </w:r>
      <w:r w:rsidRPr="000E60FE">
        <w:t>314)</w:t>
      </w:r>
      <w:r w:rsidRPr="00E62274">
        <w:rPr>
          <w:spacing w:val="-2"/>
        </w:rPr>
        <w:t xml:space="preserve"> </w:t>
      </w:r>
      <w:r w:rsidRPr="000E60FE">
        <w:t>41</w:t>
      </w:r>
      <w:r w:rsidRPr="00E62274">
        <w:rPr>
          <w:spacing w:val="1"/>
        </w:rPr>
        <w:t>8</w:t>
      </w:r>
      <w:r w:rsidRPr="00E62274">
        <w:rPr>
          <w:spacing w:val="-4"/>
        </w:rPr>
        <w:t>-</w:t>
      </w:r>
      <w:r w:rsidRPr="000E60FE">
        <w:t xml:space="preserve">4232 on </w:t>
      </w:r>
      <w:r w:rsidRPr="00E62274">
        <w:rPr>
          <w:spacing w:val="1"/>
        </w:rPr>
        <w:t>t</w:t>
      </w:r>
      <w:r w:rsidRPr="00E62274">
        <w:rPr>
          <w:spacing w:val="-2"/>
        </w:rPr>
        <w:t>h</w:t>
      </w:r>
      <w:r w:rsidRPr="000E60FE">
        <w:t xml:space="preserve">e </w:t>
      </w:r>
      <w:r w:rsidRPr="00E62274">
        <w:rPr>
          <w:spacing w:val="1"/>
        </w:rPr>
        <w:t>s</w:t>
      </w:r>
      <w:r w:rsidRPr="00E62274">
        <w:rPr>
          <w:spacing w:val="-2"/>
        </w:rPr>
        <w:t>a</w:t>
      </w:r>
      <w:r w:rsidRPr="00E62274">
        <w:rPr>
          <w:spacing w:val="-4"/>
        </w:rPr>
        <w:t>m</w:t>
      </w:r>
      <w:r w:rsidRPr="000E60FE">
        <w:t>e bu</w:t>
      </w:r>
      <w:r w:rsidRPr="00E62274">
        <w:rPr>
          <w:spacing w:val="1"/>
        </w:rPr>
        <w:t>si</w:t>
      </w:r>
      <w:r w:rsidRPr="000E60FE">
        <w:t>ne</w:t>
      </w:r>
      <w:r w:rsidRPr="00E62274">
        <w:rPr>
          <w:spacing w:val="1"/>
        </w:rPr>
        <w:t>s</w:t>
      </w:r>
      <w:r w:rsidRPr="000E60FE">
        <w:t>s</w:t>
      </w:r>
      <w:r w:rsidRPr="00E62274">
        <w:rPr>
          <w:spacing w:val="-2"/>
        </w:rPr>
        <w:t xml:space="preserve"> </w:t>
      </w:r>
      <w:r w:rsidRPr="000E60FE">
        <w:t>day</w:t>
      </w:r>
      <w:r w:rsidRPr="00E62274">
        <w:rPr>
          <w:spacing w:val="-2"/>
        </w:rPr>
        <w:t xml:space="preserve"> </w:t>
      </w:r>
      <w:r w:rsidRPr="00E62274">
        <w:rPr>
          <w:spacing w:val="1"/>
        </w:rPr>
        <w:t>t</w:t>
      </w:r>
      <w:r w:rsidRPr="000E60FE">
        <w:t xml:space="preserve">he </w:t>
      </w:r>
      <w:r w:rsidRPr="00E62274">
        <w:rPr>
          <w:spacing w:val="-3"/>
        </w:rPr>
        <w:t>w</w:t>
      </w:r>
      <w:r w:rsidRPr="00E62274">
        <w:rPr>
          <w:spacing w:val="1"/>
        </w:rPr>
        <w:t>ir</w:t>
      </w:r>
      <w:r w:rsidRPr="000E60FE">
        <w:t>e</w:t>
      </w:r>
      <w:r w:rsidRPr="00E62274">
        <w:rPr>
          <w:spacing w:val="-2"/>
        </w:rPr>
        <w:t xml:space="preserve"> </w:t>
      </w:r>
      <w:r w:rsidRPr="00E62274">
        <w:rPr>
          <w:spacing w:val="1"/>
        </w:rPr>
        <w:t>t</w:t>
      </w:r>
      <w:r w:rsidRPr="00E62274">
        <w:rPr>
          <w:spacing w:val="-2"/>
        </w:rPr>
        <w:t>r</w:t>
      </w:r>
      <w:r w:rsidRPr="000E60FE">
        <w:t>an</w:t>
      </w:r>
      <w:r w:rsidRPr="00E62274">
        <w:rPr>
          <w:spacing w:val="1"/>
        </w:rPr>
        <w:t>s</w:t>
      </w:r>
      <w:r w:rsidRPr="00E62274">
        <w:rPr>
          <w:spacing w:val="-2"/>
        </w:rPr>
        <w:t>f</w:t>
      </w:r>
      <w:r w:rsidRPr="000E60FE">
        <w:t>er</w:t>
      </w:r>
      <w:r w:rsidRPr="00E62274">
        <w:rPr>
          <w:spacing w:val="-1"/>
        </w:rPr>
        <w:t xml:space="preserve"> </w:t>
      </w:r>
      <w:r w:rsidRPr="00E62274">
        <w:rPr>
          <w:spacing w:val="1"/>
        </w:rPr>
        <w:t>i</w:t>
      </w:r>
      <w:r w:rsidRPr="000E60FE">
        <w:t>s</w:t>
      </w:r>
      <w:r w:rsidRPr="00E62274">
        <w:rPr>
          <w:spacing w:val="-2"/>
        </w:rPr>
        <w:t xml:space="preserve"> </w:t>
      </w:r>
      <w:r w:rsidRPr="00E62274">
        <w:rPr>
          <w:spacing w:val="1"/>
        </w:rPr>
        <w:t>i</w:t>
      </w:r>
      <w:r w:rsidRPr="000E60FE">
        <w:t>n</w:t>
      </w:r>
      <w:r w:rsidRPr="00E62274">
        <w:rPr>
          <w:spacing w:val="-1"/>
        </w:rPr>
        <w:t>i</w:t>
      </w:r>
      <w:r w:rsidRPr="00E62274">
        <w:rPr>
          <w:spacing w:val="1"/>
        </w:rPr>
        <w:t>t</w:t>
      </w:r>
      <w:r w:rsidRPr="00E62274">
        <w:rPr>
          <w:spacing w:val="-1"/>
        </w:rPr>
        <w:t>i</w:t>
      </w:r>
      <w:r w:rsidRPr="000E60FE">
        <w:t>a</w:t>
      </w:r>
      <w:r w:rsidRPr="00E62274">
        <w:rPr>
          <w:spacing w:val="-1"/>
        </w:rPr>
        <w:t>t</w:t>
      </w:r>
      <w:r w:rsidRPr="000E60FE">
        <w:t>ed.</w:t>
      </w:r>
    </w:p>
    <w:p w:rsidR="000F0E00" w:rsidP="000F0E00">
      <w:pPr>
        <w:pStyle w:val="ParaNum"/>
        <w:numPr>
          <w:ilvl w:val="0"/>
          <w:numId w:val="18"/>
        </w:numPr>
      </w:pPr>
      <w:r w:rsidRPr="00ED6BDC">
        <w:t>Pay</w:t>
      </w:r>
      <w:r w:rsidRPr="00E62274">
        <w:rPr>
          <w:spacing w:val="-4"/>
        </w:rPr>
        <w:t>m</w:t>
      </w:r>
      <w:r w:rsidRPr="00ED6BDC">
        <w:t>ent</w:t>
      </w:r>
      <w:r w:rsidRPr="00E62274">
        <w:rPr>
          <w:spacing w:val="23"/>
        </w:rPr>
        <w:t xml:space="preserve"> </w:t>
      </w:r>
      <w:r w:rsidRPr="00ED6BDC">
        <w:t>by</w:t>
      </w:r>
      <w:r w:rsidRPr="00E62274">
        <w:rPr>
          <w:spacing w:val="19"/>
        </w:rPr>
        <w:t xml:space="preserve"> </w:t>
      </w:r>
      <w:r w:rsidRPr="00ED6BDC">
        <w:t>c</w:t>
      </w:r>
      <w:r w:rsidRPr="00E62274">
        <w:rPr>
          <w:spacing w:val="1"/>
        </w:rPr>
        <w:t>r</w:t>
      </w:r>
      <w:r w:rsidRPr="00ED6BDC">
        <w:t>ed</w:t>
      </w:r>
      <w:r w:rsidRPr="00E62274">
        <w:rPr>
          <w:spacing w:val="1"/>
        </w:rPr>
        <w:t>i</w:t>
      </w:r>
      <w:r w:rsidRPr="00ED6BDC">
        <w:t>t</w:t>
      </w:r>
      <w:r w:rsidRPr="00E62274">
        <w:rPr>
          <w:spacing w:val="23"/>
        </w:rPr>
        <w:t xml:space="preserve"> </w:t>
      </w:r>
      <w:r w:rsidRPr="00E62274">
        <w:rPr>
          <w:spacing w:val="-2"/>
        </w:rPr>
        <w:t>c</w:t>
      </w:r>
      <w:r w:rsidRPr="00ED6BDC">
        <w:t>a</w:t>
      </w:r>
      <w:r w:rsidRPr="00E62274">
        <w:rPr>
          <w:spacing w:val="1"/>
        </w:rPr>
        <w:t>r</w:t>
      </w:r>
      <w:r w:rsidRPr="00ED6BDC">
        <w:t>d</w:t>
      </w:r>
      <w:r w:rsidRPr="00E62274">
        <w:rPr>
          <w:spacing w:val="22"/>
        </w:rPr>
        <w:t xml:space="preserve"> </w:t>
      </w:r>
      <w:r w:rsidRPr="00E62274">
        <w:rPr>
          <w:spacing w:val="-4"/>
        </w:rPr>
        <w:t>m</w:t>
      </w:r>
      <w:r w:rsidRPr="00ED6BDC">
        <w:t>ust</w:t>
      </w:r>
      <w:r w:rsidRPr="00E62274">
        <w:rPr>
          <w:spacing w:val="23"/>
        </w:rPr>
        <w:t xml:space="preserve"> </w:t>
      </w:r>
      <w:r w:rsidRPr="00ED6BDC">
        <w:t>be</w:t>
      </w:r>
      <w:r w:rsidRPr="00E62274">
        <w:rPr>
          <w:spacing w:val="22"/>
        </w:rPr>
        <w:t xml:space="preserve"> </w:t>
      </w:r>
      <w:r w:rsidRPr="00E62274">
        <w:rPr>
          <w:spacing w:val="-4"/>
        </w:rPr>
        <w:t>m</w:t>
      </w:r>
      <w:r w:rsidRPr="00ED6BDC">
        <w:t>ade</w:t>
      </w:r>
      <w:r w:rsidRPr="00E62274">
        <w:rPr>
          <w:spacing w:val="22"/>
        </w:rPr>
        <w:t xml:space="preserve"> </w:t>
      </w:r>
      <w:r w:rsidRPr="00ED6BDC">
        <w:t>by</w:t>
      </w:r>
      <w:r w:rsidRPr="00E62274">
        <w:rPr>
          <w:spacing w:val="19"/>
        </w:rPr>
        <w:t xml:space="preserve"> </w:t>
      </w:r>
      <w:r w:rsidRPr="00ED6BDC">
        <w:t>p</w:t>
      </w:r>
      <w:r w:rsidRPr="00E62274">
        <w:rPr>
          <w:spacing w:val="1"/>
        </w:rPr>
        <w:t>r</w:t>
      </w:r>
      <w:r w:rsidRPr="00ED6BDC">
        <w:t>o</w:t>
      </w:r>
      <w:r w:rsidRPr="00E62274">
        <w:rPr>
          <w:spacing w:val="-2"/>
        </w:rPr>
        <w:t>v</w:t>
      </w:r>
      <w:r w:rsidRPr="00E62274">
        <w:rPr>
          <w:spacing w:val="1"/>
        </w:rPr>
        <w:t>i</w:t>
      </w:r>
      <w:r w:rsidRPr="00ED6BDC">
        <w:t>d</w:t>
      </w:r>
      <w:r w:rsidRPr="00E62274">
        <w:rPr>
          <w:spacing w:val="1"/>
        </w:rPr>
        <w:t>i</w:t>
      </w:r>
      <w:r w:rsidRPr="00ED6BDC">
        <w:t>ng</w:t>
      </w:r>
      <w:r w:rsidRPr="00E62274">
        <w:rPr>
          <w:spacing w:val="19"/>
        </w:rPr>
        <w:t xml:space="preserve"> </w:t>
      </w:r>
      <w:r w:rsidRPr="00E62274">
        <w:rPr>
          <w:spacing w:val="1"/>
        </w:rPr>
        <w:t>t</w:t>
      </w:r>
      <w:r w:rsidRPr="00ED6BDC">
        <w:t>he</w:t>
      </w:r>
      <w:r w:rsidRPr="00E62274">
        <w:rPr>
          <w:spacing w:val="22"/>
        </w:rPr>
        <w:t xml:space="preserve"> </w:t>
      </w:r>
      <w:r w:rsidRPr="00E62274">
        <w:rPr>
          <w:spacing w:val="-2"/>
        </w:rPr>
        <w:t>r</w:t>
      </w:r>
      <w:r w:rsidRPr="00ED6BDC">
        <w:t>equ</w:t>
      </w:r>
      <w:r w:rsidRPr="00E62274">
        <w:rPr>
          <w:spacing w:val="-1"/>
        </w:rPr>
        <w:t>i</w:t>
      </w:r>
      <w:r w:rsidRPr="00E62274">
        <w:rPr>
          <w:spacing w:val="1"/>
        </w:rPr>
        <w:t>r</w:t>
      </w:r>
      <w:r w:rsidRPr="00ED6BDC">
        <w:t>ed</w:t>
      </w:r>
      <w:r w:rsidRPr="00E62274">
        <w:rPr>
          <w:spacing w:val="22"/>
        </w:rPr>
        <w:t xml:space="preserve"> </w:t>
      </w:r>
      <w:r w:rsidRPr="00E62274">
        <w:rPr>
          <w:spacing w:val="-2"/>
        </w:rPr>
        <w:t>c</w:t>
      </w:r>
      <w:r w:rsidRPr="00E62274">
        <w:rPr>
          <w:spacing w:val="1"/>
        </w:rPr>
        <w:t>r</w:t>
      </w:r>
      <w:r w:rsidRPr="00ED6BDC">
        <w:t>e</w:t>
      </w:r>
      <w:r w:rsidRPr="00E62274">
        <w:rPr>
          <w:spacing w:val="-2"/>
        </w:rPr>
        <w:t>d</w:t>
      </w:r>
      <w:r w:rsidRPr="00E62274">
        <w:rPr>
          <w:spacing w:val="1"/>
        </w:rPr>
        <w:t>i</w:t>
      </w:r>
      <w:r w:rsidRPr="00ED6BDC">
        <w:t>t</w:t>
      </w:r>
      <w:r w:rsidRPr="00E62274">
        <w:rPr>
          <w:spacing w:val="23"/>
        </w:rPr>
        <w:t xml:space="preserve"> </w:t>
      </w:r>
      <w:r w:rsidRPr="00E62274">
        <w:rPr>
          <w:spacing w:val="-2"/>
        </w:rPr>
        <w:t>c</w:t>
      </w:r>
      <w:r w:rsidRPr="00ED6BDC">
        <w:t>a</w:t>
      </w:r>
      <w:r w:rsidRPr="00E62274">
        <w:rPr>
          <w:spacing w:val="1"/>
        </w:rPr>
        <w:t>r</w:t>
      </w:r>
      <w:r w:rsidRPr="00ED6BDC">
        <w:t>d</w:t>
      </w:r>
      <w:r w:rsidRPr="00E62274">
        <w:rPr>
          <w:spacing w:val="19"/>
        </w:rPr>
        <w:t xml:space="preserve"> </w:t>
      </w:r>
      <w:r w:rsidRPr="00E62274">
        <w:rPr>
          <w:spacing w:val="1"/>
        </w:rPr>
        <w:t>i</w:t>
      </w:r>
      <w:r w:rsidRPr="00ED6BDC">
        <w:t>n</w:t>
      </w:r>
      <w:r w:rsidRPr="00E62274">
        <w:rPr>
          <w:spacing w:val="-2"/>
        </w:rPr>
        <w:t>f</w:t>
      </w:r>
      <w:r w:rsidRPr="00ED6BDC">
        <w:t>o</w:t>
      </w:r>
      <w:r w:rsidRPr="00E62274">
        <w:rPr>
          <w:spacing w:val="1"/>
        </w:rPr>
        <w:t>r</w:t>
      </w:r>
      <w:r w:rsidRPr="00E62274">
        <w:rPr>
          <w:spacing w:val="-4"/>
        </w:rPr>
        <w:t>m</w:t>
      </w:r>
      <w:r w:rsidRPr="00ED6BDC">
        <w:t>a</w:t>
      </w:r>
      <w:r w:rsidRPr="00E62274">
        <w:rPr>
          <w:spacing w:val="1"/>
        </w:rPr>
        <w:t>ti</w:t>
      </w:r>
      <w:r w:rsidRPr="00ED6BDC">
        <w:t>on</w:t>
      </w:r>
      <w:r w:rsidRPr="00E62274">
        <w:rPr>
          <w:spacing w:val="22"/>
        </w:rPr>
        <w:t xml:space="preserve"> </w:t>
      </w:r>
      <w:r w:rsidRPr="00ED6BDC">
        <w:t>on F</w:t>
      </w:r>
      <w:r w:rsidRPr="00E62274">
        <w:rPr>
          <w:spacing w:val="-1"/>
        </w:rPr>
        <w:t>C</w:t>
      </w:r>
      <w:r w:rsidRPr="00ED6BDC">
        <w:t>C</w:t>
      </w:r>
      <w:r w:rsidRPr="00E62274">
        <w:rPr>
          <w:spacing w:val="30"/>
        </w:rPr>
        <w:t xml:space="preserve"> </w:t>
      </w:r>
      <w:r w:rsidRPr="00ED6BDC">
        <w:t>Form</w:t>
      </w:r>
      <w:r w:rsidRPr="00E62274">
        <w:rPr>
          <w:spacing w:val="28"/>
        </w:rPr>
        <w:t xml:space="preserve"> </w:t>
      </w:r>
      <w:r w:rsidRPr="00ED6BDC">
        <w:t>159</w:t>
      </w:r>
      <w:r w:rsidRPr="00E62274">
        <w:rPr>
          <w:spacing w:val="31"/>
        </w:rPr>
        <w:t xml:space="preserve"> </w:t>
      </w:r>
      <w:r w:rsidRPr="00ED6BDC">
        <w:t>a</w:t>
      </w:r>
      <w:r w:rsidRPr="00E62274">
        <w:rPr>
          <w:spacing w:val="2"/>
        </w:rPr>
        <w:t>n</w:t>
      </w:r>
      <w:r w:rsidRPr="00ED6BDC">
        <w:t>d</w:t>
      </w:r>
      <w:r w:rsidRPr="00E62274">
        <w:rPr>
          <w:spacing w:val="31"/>
        </w:rPr>
        <w:t xml:space="preserve"> </w:t>
      </w:r>
      <w:r w:rsidRPr="00ED6BDC">
        <w:t>s</w:t>
      </w:r>
      <w:r w:rsidRPr="00E62274">
        <w:rPr>
          <w:spacing w:val="1"/>
        </w:rPr>
        <w:t>i</w:t>
      </w:r>
      <w:r w:rsidRPr="00E62274">
        <w:rPr>
          <w:spacing w:val="-2"/>
        </w:rPr>
        <w:t>g</w:t>
      </w:r>
      <w:r w:rsidRPr="00ED6BDC">
        <w:t>n</w:t>
      </w:r>
      <w:r w:rsidRPr="00E62274">
        <w:rPr>
          <w:spacing w:val="1"/>
        </w:rPr>
        <w:t>i</w:t>
      </w:r>
      <w:r w:rsidRPr="00E62274">
        <w:rPr>
          <w:spacing w:val="-2"/>
        </w:rPr>
        <w:t>n</w:t>
      </w:r>
      <w:r w:rsidRPr="00ED6BDC">
        <w:t>g</w:t>
      </w:r>
      <w:r w:rsidRPr="00E62274">
        <w:rPr>
          <w:spacing w:val="-2"/>
        </w:rPr>
        <w:t xml:space="preserve"> </w:t>
      </w:r>
      <w:r w:rsidRPr="00ED6BDC">
        <w:t>and</w:t>
      </w:r>
      <w:r w:rsidRPr="00E62274">
        <w:rPr>
          <w:spacing w:val="32"/>
        </w:rPr>
        <w:t xml:space="preserve"> </w:t>
      </w:r>
      <w:r w:rsidRPr="00ED6BDC">
        <w:t>da</w:t>
      </w:r>
      <w:r w:rsidRPr="00E62274">
        <w:rPr>
          <w:spacing w:val="-1"/>
        </w:rPr>
        <w:t>t</w:t>
      </w:r>
      <w:r w:rsidRPr="00E62274">
        <w:rPr>
          <w:spacing w:val="1"/>
        </w:rPr>
        <w:t>i</w:t>
      </w:r>
      <w:r w:rsidRPr="00ED6BDC">
        <w:t>ng</w:t>
      </w:r>
      <w:r w:rsidRPr="00E62274">
        <w:rPr>
          <w:spacing w:val="-1"/>
        </w:rPr>
        <w:t xml:space="preserve"> </w:t>
      </w:r>
      <w:r w:rsidRPr="00E62274">
        <w:rPr>
          <w:spacing w:val="1"/>
        </w:rPr>
        <w:t>t</w:t>
      </w:r>
      <w:r w:rsidRPr="00ED6BDC">
        <w:t>he</w:t>
      </w:r>
      <w:r w:rsidRPr="00E62274">
        <w:rPr>
          <w:spacing w:val="32"/>
        </w:rPr>
        <w:t xml:space="preserve"> </w:t>
      </w:r>
      <w:r w:rsidRPr="00ED6BDC">
        <w:t>F</w:t>
      </w:r>
      <w:r w:rsidRPr="00E62274">
        <w:rPr>
          <w:spacing w:val="-3"/>
        </w:rPr>
        <w:t>o</w:t>
      </w:r>
      <w:r w:rsidRPr="00E62274">
        <w:rPr>
          <w:spacing w:val="1"/>
        </w:rPr>
        <w:t>r</w:t>
      </w:r>
      <w:r w:rsidRPr="00ED6BDC">
        <w:t>m</w:t>
      </w:r>
      <w:r w:rsidRPr="00E62274">
        <w:rPr>
          <w:spacing w:val="27"/>
        </w:rPr>
        <w:t xml:space="preserve"> </w:t>
      </w:r>
      <w:r w:rsidRPr="00ED6BDC">
        <w:t>159</w:t>
      </w:r>
      <w:r w:rsidRPr="00E62274">
        <w:rPr>
          <w:spacing w:val="31"/>
        </w:rPr>
        <w:t xml:space="preserve"> </w:t>
      </w:r>
      <w:r w:rsidRPr="00E62274">
        <w:rPr>
          <w:spacing w:val="1"/>
        </w:rPr>
        <w:t>t</w:t>
      </w:r>
      <w:r w:rsidRPr="00ED6BDC">
        <w:t>o</w:t>
      </w:r>
      <w:r w:rsidRPr="00E62274">
        <w:rPr>
          <w:spacing w:val="31"/>
        </w:rPr>
        <w:t xml:space="preserve"> </w:t>
      </w:r>
      <w:r w:rsidRPr="00ED6BDC">
        <w:t>a</w:t>
      </w:r>
      <w:r w:rsidRPr="00E62274">
        <w:rPr>
          <w:spacing w:val="-2"/>
        </w:rPr>
        <w:t>u</w:t>
      </w:r>
      <w:r w:rsidRPr="00E62274">
        <w:rPr>
          <w:spacing w:val="1"/>
        </w:rPr>
        <w:t>t</w:t>
      </w:r>
      <w:r w:rsidRPr="00ED6BDC">
        <w:t>h</w:t>
      </w:r>
      <w:r w:rsidRPr="00E62274">
        <w:rPr>
          <w:spacing w:val="-2"/>
        </w:rPr>
        <w:t>o</w:t>
      </w:r>
      <w:r w:rsidRPr="00E62274">
        <w:rPr>
          <w:spacing w:val="1"/>
        </w:rPr>
        <w:t>ri</w:t>
      </w:r>
      <w:r w:rsidRPr="00E62274">
        <w:rPr>
          <w:spacing w:val="-2"/>
        </w:rPr>
        <w:t>z</w:t>
      </w:r>
      <w:r w:rsidRPr="00ED6BDC">
        <w:t>e</w:t>
      </w:r>
      <w:r w:rsidRPr="00E62274">
        <w:rPr>
          <w:spacing w:val="3"/>
        </w:rPr>
        <w:t xml:space="preserve"> </w:t>
      </w:r>
      <w:r w:rsidRPr="00E62274">
        <w:rPr>
          <w:spacing w:val="-1"/>
        </w:rPr>
        <w:t>t</w:t>
      </w:r>
      <w:r w:rsidRPr="00ED6BDC">
        <w:t>he</w:t>
      </w:r>
      <w:r w:rsidRPr="00E62274">
        <w:rPr>
          <w:spacing w:val="32"/>
        </w:rPr>
        <w:t xml:space="preserve"> </w:t>
      </w:r>
      <w:r w:rsidRPr="00E62274">
        <w:rPr>
          <w:spacing w:val="-2"/>
        </w:rPr>
        <w:t>c</w:t>
      </w:r>
      <w:r w:rsidRPr="00E62274">
        <w:rPr>
          <w:spacing w:val="1"/>
        </w:rPr>
        <w:t>r</w:t>
      </w:r>
      <w:r w:rsidRPr="00ED6BDC">
        <w:t>e</w:t>
      </w:r>
      <w:r w:rsidRPr="00E62274">
        <w:rPr>
          <w:spacing w:val="-2"/>
        </w:rPr>
        <w:t>d</w:t>
      </w:r>
      <w:r w:rsidRPr="00E62274">
        <w:rPr>
          <w:spacing w:val="1"/>
        </w:rPr>
        <w:t>i</w:t>
      </w:r>
      <w:r w:rsidRPr="00ED6BDC">
        <w:t>t</w:t>
      </w:r>
      <w:r w:rsidRPr="00E62274">
        <w:rPr>
          <w:spacing w:val="30"/>
        </w:rPr>
        <w:t xml:space="preserve"> </w:t>
      </w:r>
      <w:r w:rsidRPr="00ED6BDC">
        <w:t>c</w:t>
      </w:r>
      <w:r w:rsidRPr="00E62274">
        <w:rPr>
          <w:spacing w:val="-2"/>
        </w:rPr>
        <w:t>ar</w:t>
      </w:r>
      <w:r w:rsidRPr="00ED6BDC">
        <w:t>d</w:t>
      </w:r>
      <w:r w:rsidRPr="00E62274">
        <w:rPr>
          <w:spacing w:val="31"/>
        </w:rPr>
        <w:t xml:space="preserve"> </w:t>
      </w:r>
      <w:r w:rsidRPr="00ED6BDC">
        <w:t>pa</w:t>
      </w:r>
      <w:r w:rsidRPr="00E62274">
        <w:rPr>
          <w:spacing w:val="-2"/>
        </w:rPr>
        <w:t>y</w:t>
      </w:r>
      <w:r w:rsidRPr="00E62274">
        <w:rPr>
          <w:spacing w:val="-4"/>
        </w:rPr>
        <w:t>m</w:t>
      </w:r>
      <w:r w:rsidRPr="00ED6BDC">
        <w:t>en</w:t>
      </w:r>
      <w:r w:rsidRPr="00E62274">
        <w:rPr>
          <w:spacing w:val="1"/>
        </w:rPr>
        <w:t>t</w:t>
      </w:r>
      <w:r w:rsidRPr="00ED6BDC">
        <w:t xml:space="preserve">. </w:t>
      </w:r>
      <w:r w:rsidRPr="00E62274">
        <w:rPr>
          <w:spacing w:val="2"/>
        </w:rPr>
        <w:t>T</w:t>
      </w:r>
      <w:r w:rsidRPr="00ED6BDC">
        <w:t>he</w:t>
      </w:r>
      <w:r w:rsidRPr="00E62274">
        <w:rPr>
          <w:spacing w:val="2"/>
        </w:rPr>
        <w:t xml:space="preserve"> </w:t>
      </w:r>
      <w:r w:rsidRPr="00ED6BDC">
        <w:t>co</w:t>
      </w:r>
      <w:r w:rsidRPr="00E62274">
        <w:rPr>
          <w:spacing w:val="-3"/>
        </w:rPr>
        <w:t>m</w:t>
      </w:r>
      <w:r w:rsidRPr="00ED6BDC">
        <w:t>p</w:t>
      </w:r>
      <w:r w:rsidRPr="00E62274">
        <w:rPr>
          <w:spacing w:val="1"/>
        </w:rPr>
        <w:t>l</w:t>
      </w:r>
      <w:r w:rsidRPr="00E62274">
        <w:rPr>
          <w:spacing w:val="-2"/>
        </w:rPr>
        <w:t>e</w:t>
      </w:r>
      <w:r w:rsidRPr="00E62274">
        <w:rPr>
          <w:spacing w:val="1"/>
        </w:rPr>
        <w:t>t</w:t>
      </w:r>
      <w:r w:rsidRPr="00ED6BDC">
        <w:t>ed</w:t>
      </w:r>
      <w:r w:rsidRPr="00E62274">
        <w:rPr>
          <w:spacing w:val="4"/>
        </w:rPr>
        <w:t xml:space="preserve"> </w:t>
      </w:r>
      <w:r w:rsidRPr="00E62274">
        <w:rPr>
          <w:spacing w:val="-3"/>
        </w:rPr>
        <w:t>F</w:t>
      </w:r>
      <w:r w:rsidRPr="00ED6BDC">
        <w:t>o</w:t>
      </w:r>
      <w:r w:rsidRPr="00E62274">
        <w:rPr>
          <w:spacing w:val="1"/>
        </w:rPr>
        <w:t>r</w:t>
      </w:r>
      <w:r w:rsidRPr="00ED6BDC">
        <w:t>m 159</w:t>
      </w:r>
      <w:r w:rsidRPr="00E62274">
        <w:rPr>
          <w:spacing w:val="1"/>
        </w:rPr>
        <w:t xml:space="preserve"> </w:t>
      </w:r>
      <w:r w:rsidRPr="00E62274">
        <w:rPr>
          <w:spacing w:val="-4"/>
        </w:rPr>
        <w:t>m</w:t>
      </w:r>
      <w:r w:rsidRPr="00ED6BDC">
        <w:t>ust</w:t>
      </w:r>
      <w:r w:rsidRPr="00E62274">
        <w:rPr>
          <w:spacing w:val="5"/>
        </w:rPr>
        <w:t xml:space="preserve"> </w:t>
      </w:r>
      <w:r w:rsidRPr="00E62274">
        <w:rPr>
          <w:spacing w:val="1"/>
        </w:rPr>
        <w:t>t</w:t>
      </w:r>
      <w:r w:rsidRPr="00ED6BDC">
        <w:t>hen</w:t>
      </w:r>
      <w:r w:rsidRPr="00E62274">
        <w:rPr>
          <w:spacing w:val="2"/>
        </w:rPr>
        <w:t xml:space="preserve"> </w:t>
      </w:r>
      <w:r w:rsidRPr="00ED6BDC">
        <w:t>be</w:t>
      </w:r>
      <w:r w:rsidRPr="00E62274">
        <w:rPr>
          <w:spacing w:val="4"/>
        </w:rPr>
        <w:t xml:space="preserve"> </w:t>
      </w:r>
      <w:r w:rsidRPr="00E62274">
        <w:rPr>
          <w:spacing w:val="-4"/>
        </w:rPr>
        <w:t>m</w:t>
      </w:r>
      <w:r w:rsidRPr="00ED6BDC">
        <w:t>a</w:t>
      </w:r>
      <w:r w:rsidRPr="00E62274">
        <w:rPr>
          <w:spacing w:val="-1"/>
        </w:rPr>
        <w:t>i</w:t>
      </w:r>
      <w:r w:rsidRPr="00E62274">
        <w:rPr>
          <w:spacing w:val="1"/>
        </w:rPr>
        <w:t>l</w:t>
      </w:r>
      <w:r w:rsidRPr="00ED6BDC">
        <w:t>ed</w:t>
      </w:r>
      <w:r w:rsidRPr="00E62274">
        <w:rPr>
          <w:spacing w:val="2"/>
        </w:rPr>
        <w:t xml:space="preserve"> </w:t>
      </w:r>
      <w:r w:rsidRPr="00E62274">
        <w:rPr>
          <w:spacing w:val="1"/>
        </w:rPr>
        <w:t>t</w:t>
      </w:r>
      <w:r w:rsidRPr="00ED6BDC">
        <w:t>o</w:t>
      </w:r>
      <w:r w:rsidRPr="00E62274">
        <w:rPr>
          <w:spacing w:val="4"/>
        </w:rPr>
        <w:t xml:space="preserve"> </w:t>
      </w:r>
      <w:r w:rsidRPr="00E62274">
        <w:rPr>
          <w:spacing w:val="-3"/>
        </w:rPr>
        <w:t>F</w:t>
      </w:r>
      <w:r w:rsidRPr="00ED6BDC">
        <w:t>e</w:t>
      </w:r>
      <w:r w:rsidRPr="00E62274">
        <w:rPr>
          <w:spacing w:val="-2"/>
        </w:rPr>
        <w:t>d</w:t>
      </w:r>
      <w:r w:rsidRPr="00ED6BDC">
        <w:t>e</w:t>
      </w:r>
      <w:r w:rsidRPr="00E62274">
        <w:rPr>
          <w:spacing w:val="1"/>
        </w:rPr>
        <w:t>r</w:t>
      </w:r>
      <w:r w:rsidRPr="00E62274">
        <w:rPr>
          <w:spacing w:val="-2"/>
        </w:rPr>
        <w:t>a</w:t>
      </w:r>
      <w:r w:rsidRPr="00ED6BDC">
        <w:t>l</w:t>
      </w:r>
      <w:r w:rsidRPr="00E62274">
        <w:rPr>
          <w:spacing w:val="5"/>
        </w:rPr>
        <w:t xml:space="preserve"> </w:t>
      </w:r>
      <w:r w:rsidRPr="00E62274">
        <w:rPr>
          <w:spacing w:val="-1"/>
        </w:rPr>
        <w:t>C</w:t>
      </w:r>
      <w:r w:rsidRPr="00ED6BDC">
        <w:t>o</w:t>
      </w:r>
      <w:r w:rsidRPr="00E62274">
        <w:rPr>
          <w:spacing w:val="-1"/>
        </w:rPr>
        <w:t>m</w:t>
      </w:r>
      <w:r w:rsidRPr="00E62274">
        <w:rPr>
          <w:spacing w:val="-4"/>
        </w:rPr>
        <w:t>m</w:t>
      </w:r>
      <w:r w:rsidRPr="00ED6BDC">
        <w:t>un</w:t>
      </w:r>
      <w:r w:rsidRPr="00E62274">
        <w:rPr>
          <w:spacing w:val="1"/>
        </w:rPr>
        <w:t>i</w:t>
      </w:r>
      <w:r w:rsidRPr="00ED6BDC">
        <w:t>ca</w:t>
      </w:r>
      <w:r w:rsidRPr="00E62274">
        <w:rPr>
          <w:spacing w:val="-1"/>
        </w:rPr>
        <w:t>t</w:t>
      </w:r>
      <w:r w:rsidRPr="00E62274">
        <w:rPr>
          <w:spacing w:val="1"/>
        </w:rPr>
        <w:t>i</w:t>
      </w:r>
      <w:r w:rsidRPr="00ED6BDC">
        <w:t>o</w:t>
      </w:r>
      <w:r w:rsidRPr="00E62274">
        <w:rPr>
          <w:spacing w:val="-2"/>
        </w:rPr>
        <w:t>n</w:t>
      </w:r>
      <w:r w:rsidRPr="00ED6BDC">
        <w:t>s</w:t>
      </w:r>
      <w:r w:rsidRPr="00E62274">
        <w:rPr>
          <w:spacing w:val="4"/>
        </w:rPr>
        <w:t xml:space="preserve"> </w:t>
      </w:r>
      <w:r w:rsidRPr="00E62274">
        <w:rPr>
          <w:spacing w:val="-1"/>
        </w:rPr>
        <w:t>C</w:t>
      </w:r>
      <w:r w:rsidRPr="00ED6BDC">
        <w:t>o</w:t>
      </w:r>
      <w:r w:rsidRPr="00E62274">
        <w:rPr>
          <w:spacing w:val="-4"/>
        </w:rPr>
        <w:t>mm</w:t>
      </w:r>
      <w:r w:rsidRPr="00E62274">
        <w:rPr>
          <w:spacing w:val="1"/>
        </w:rPr>
        <w:t>i</w:t>
      </w:r>
      <w:r w:rsidRPr="00ED6BDC">
        <w:t>s</w:t>
      </w:r>
      <w:r w:rsidRPr="00E62274">
        <w:rPr>
          <w:spacing w:val="1"/>
        </w:rPr>
        <w:t>si</w:t>
      </w:r>
      <w:r w:rsidRPr="00ED6BDC">
        <w:t>on,</w:t>
      </w:r>
      <w:r w:rsidRPr="00E62274">
        <w:rPr>
          <w:spacing w:val="4"/>
        </w:rPr>
        <w:t xml:space="preserve"> </w:t>
      </w:r>
      <w:r w:rsidRPr="00ED6BDC">
        <w:t>P.</w:t>
      </w:r>
      <w:r w:rsidRPr="00E62274">
        <w:rPr>
          <w:spacing w:val="-1"/>
        </w:rPr>
        <w:t>O</w:t>
      </w:r>
      <w:r w:rsidRPr="00ED6BDC">
        <w:t xml:space="preserve">. </w:t>
      </w:r>
      <w:r w:rsidRPr="00E62274">
        <w:rPr>
          <w:spacing w:val="-1"/>
        </w:rPr>
        <w:t>B</w:t>
      </w:r>
      <w:r w:rsidRPr="00ED6BDC">
        <w:t xml:space="preserve">ox 979088, </w:t>
      </w:r>
      <w:r w:rsidRPr="00E62274">
        <w:rPr>
          <w:spacing w:val="-3"/>
        </w:rPr>
        <w:t>S</w:t>
      </w:r>
      <w:r w:rsidRPr="00E62274">
        <w:rPr>
          <w:spacing w:val="1"/>
        </w:rPr>
        <w:t>t</w:t>
      </w:r>
      <w:r w:rsidRPr="00ED6BDC">
        <w:t>. Lo</w:t>
      </w:r>
      <w:r w:rsidRPr="00E62274">
        <w:rPr>
          <w:spacing w:val="-3"/>
        </w:rPr>
        <w:t>u</w:t>
      </w:r>
      <w:r w:rsidRPr="00E62274">
        <w:rPr>
          <w:spacing w:val="1"/>
        </w:rPr>
        <w:t>i</w:t>
      </w:r>
      <w:r w:rsidRPr="00ED6BDC">
        <w:t>s, MO 6319</w:t>
      </w:r>
      <w:r w:rsidRPr="00E62274">
        <w:rPr>
          <w:spacing w:val="2"/>
        </w:rPr>
        <w:t>7</w:t>
      </w:r>
      <w:r w:rsidRPr="00E62274">
        <w:rPr>
          <w:spacing w:val="-4"/>
        </w:rPr>
        <w:t>-</w:t>
      </w:r>
      <w:r w:rsidRPr="00ED6BDC">
        <w:t>9000, or s</w:t>
      </w:r>
      <w:r w:rsidRPr="00E62274">
        <w:rPr>
          <w:spacing w:val="-2"/>
        </w:rPr>
        <w:t>e</w:t>
      </w:r>
      <w:r w:rsidRPr="00ED6BDC">
        <w:t xml:space="preserve">nt </w:t>
      </w:r>
      <w:r w:rsidRPr="00E62274">
        <w:rPr>
          <w:spacing w:val="-2"/>
        </w:rPr>
        <w:t>v</w:t>
      </w:r>
      <w:r w:rsidRPr="00E62274">
        <w:rPr>
          <w:spacing w:val="1"/>
        </w:rPr>
        <w:t>i</w:t>
      </w:r>
      <w:r w:rsidRPr="00ED6BDC">
        <w:t>a</w:t>
      </w:r>
      <w:r w:rsidRPr="00E62274">
        <w:rPr>
          <w:spacing w:val="1"/>
        </w:rPr>
        <w:t xml:space="preserve"> </w:t>
      </w:r>
      <w:r w:rsidRPr="00ED6BDC">
        <w:t>o</w:t>
      </w:r>
      <w:r w:rsidRPr="00E62274">
        <w:rPr>
          <w:spacing w:val="-2"/>
        </w:rPr>
        <w:t>v</w:t>
      </w:r>
      <w:r w:rsidRPr="00ED6BDC">
        <w:t>e</w:t>
      </w:r>
      <w:r w:rsidRPr="00E62274">
        <w:rPr>
          <w:spacing w:val="1"/>
        </w:rPr>
        <w:t>r</w:t>
      </w:r>
      <w:r w:rsidRPr="00ED6BDC">
        <w:t>n</w:t>
      </w:r>
      <w:r w:rsidRPr="00E62274">
        <w:rPr>
          <w:spacing w:val="1"/>
        </w:rPr>
        <w:t>i</w:t>
      </w:r>
      <w:r w:rsidRPr="00E62274">
        <w:rPr>
          <w:spacing w:val="-2"/>
        </w:rPr>
        <w:t>g</w:t>
      </w:r>
      <w:r w:rsidRPr="00ED6BDC">
        <w:t xml:space="preserve">ht </w:t>
      </w:r>
      <w:r w:rsidRPr="00E62274">
        <w:rPr>
          <w:spacing w:val="-4"/>
        </w:rPr>
        <w:t>m</w:t>
      </w:r>
      <w:r w:rsidRPr="00ED6BDC">
        <w:t>a</w:t>
      </w:r>
      <w:r w:rsidRPr="00E62274">
        <w:rPr>
          <w:spacing w:val="1"/>
        </w:rPr>
        <w:t>i</w:t>
      </w:r>
      <w:r w:rsidRPr="00ED6BDC">
        <w:t>l</w:t>
      </w:r>
      <w:r w:rsidRPr="00E62274">
        <w:rPr>
          <w:spacing w:val="3"/>
        </w:rPr>
        <w:t xml:space="preserve"> </w:t>
      </w:r>
      <w:r w:rsidRPr="00E62274">
        <w:rPr>
          <w:spacing w:val="1"/>
        </w:rPr>
        <w:t>t</w:t>
      </w:r>
      <w:r w:rsidRPr="00ED6BDC">
        <w:t>o</w:t>
      </w:r>
      <w:r w:rsidRPr="00E62274">
        <w:rPr>
          <w:spacing w:val="27"/>
        </w:rPr>
        <w:t xml:space="preserve"> </w:t>
      </w:r>
      <w:r w:rsidRPr="00E62274">
        <w:rPr>
          <w:spacing w:val="-1"/>
        </w:rPr>
        <w:t>U</w:t>
      </w:r>
      <w:r w:rsidRPr="00E62274">
        <w:rPr>
          <w:spacing w:val="-2"/>
        </w:rPr>
        <w:t>.</w:t>
      </w:r>
      <w:r w:rsidRPr="00ED6BDC">
        <w:t>S.</w:t>
      </w:r>
      <w:r w:rsidRPr="00E62274">
        <w:rPr>
          <w:spacing w:val="26"/>
        </w:rPr>
        <w:t xml:space="preserve"> </w:t>
      </w:r>
      <w:r w:rsidRPr="00E62274">
        <w:rPr>
          <w:spacing w:val="-1"/>
        </w:rPr>
        <w:t>B</w:t>
      </w:r>
      <w:r w:rsidRPr="00ED6BDC">
        <w:t xml:space="preserve">ank – </w:t>
      </w:r>
      <w:r w:rsidRPr="00E62274">
        <w:rPr>
          <w:spacing w:val="-1"/>
        </w:rPr>
        <w:t>G</w:t>
      </w:r>
      <w:r w:rsidRPr="00ED6BDC">
        <w:t>o</w:t>
      </w:r>
      <w:r w:rsidRPr="00E62274">
        <w:rPr>
          <w:spacing w:val="-2"/>
        </w:rPr>
        <w:t>v</w:t>
      </w:r>
      <w:r w:rsidRPr="00ED6BDC">
        <w:t>e</w:t>
      </w:r>
      <w:r w:rsidRPr="00E62274">
        <w:rPr>
          <w:spacing w:val="1"/>
        </w:rPr>
        <w:t>r</w:t>
      </w:r>
      <w:r w:rsidRPr="00ED6BDC">
        <w:t>n</w:t>
      </w:r>
      <w:r w:rsidRPr="00E62274">
        <w:rPr>
          <w:spacing w:val="-4"/>
        </w:rPr>
        <w:t>m</w:t>
      </w:r>
      <w:r w:rsidRPr="00ED6BDC">
        <w:t>ent Loc</w:t>
      </w:r>
      <w:r w:rsidRPr="00E62274">
        <w:rPr>
          <w:spacing w:val="-3"/>
        </w:rPr>
        <w:t>k</w:t>
      </w:r>
      <w:r w:rsidRPr="00E62274">
        <w:rPr>
          <w:spacing w:val="1"/>
        </w:rPr>
        <w:t>b</w:t>
      </w:r>
      <w:r w:rsidRPr="00ED6BDC">
        <w:t>ox #9</w:t>
      </w:r>
      <w:r w:rsidRPr="00E62274">
        <w:rPr>
          <w:spacing w:val="-2"/>
        </w:rPr>
        <w:t>7</w:t>
      </w:r>
      <w:r w:rsidRPr="00ED6BDC">
        <w:t>9088, SL</w:t>
      </w:r>
      <w:r w:rsidRPr="00E62274">
        <w:rPr>
          <w:spacing w:val="-4"/>
        </w:rPr>
        <w:t>-</w:t>
      </w:r>
      <w:r w:rsidRPr="00E62274">
        <w:rPr>
          <w:spacing w:val="1"/>
        </w:rPr>
        <w:t>MO</w:t>
      </w:r>
      <w:r w:rsidRPr="00E62274">
        <w:rPr>
          <w:spacing w:val="-4"/>
        </w:rPr>
        <w:t>-</w:t>
      </w:r>
      <w:r w:rsidRPr="00E62274">
        <w:rPr>
          <w:spacing w:val="-1"/>
        </w:rPr>
        <w:t>C</w:t>
      </w:r>
      <w:r w:rsidRPr="00E62274">
        <w:rPr>
          <w:spacing w:val="2"/>
        </w:rPr>
        <w:t>2</w:t>
      </w:r>
      <w:r w:rsidRPr="00E62274">
        <w:rPr>
          <w:spacing w:val="-2"/>
        </w:rPr>
        <w:t>-</w:t>
      </w:r>
      <w:r w:rsidRPr="00E62274">
        <w:rPr>
          <w:spacing w:val="-1"/>
        </w:rPr>
        <w:t>G</w:t>
      </w:r>
      <w:r w:rsidRPr="00ED6BDC">
        <w:t xml:space="preserve">L, 1005 </w:t>
      </w:r>
      <w:r w:rsidRPr="00E62274">
        <w:rPr>
          <w:spacing w:val="-1"/>
        </w:rPr>
        <w:t>C</w:t>
      </w:r>
      <w:r w:rsidRPr="00ED6BDC">
        <w:t>on</w:t>
      </w:r>
      <w:r w:rsidRPr="00E62274">
        <w:rPr>
          <w:spacing w:val="-2"/>
        </w:rPr>
        <w:t>v</w:t>
      </w:r>
      <w:r w:rsidRPr="00ED6BDC">
        <w:t>en</w:t>
      </w:r>
      <w:r w:rsidRPr="00E62274">
        <w:rPr>
          <w:spacing w:val="1"/>
        </w:rPr>
        <w:t>t</w:t>
      </w:r>
      <w:r w:rsidRPr="00E62274">
        <w:rPr>
          <w:spacing w:val="-1"/>
        </w:rPr>
        <w:t>i</w:t>
      </w:r>
      <w:r w:rsidRPr="00ED6BDC">
        <w:t>on P</w:t>
      </w:r>
      <w:r w:rsidRPr="00E62274">
        <w:rPr>
          <w:spacing w:val="-2"/>
        </w:rPr>
        <w:t>l</w:t>
      </w:r>
      <w:r w:rsidRPr="00ED6BDC">
        <w:t>a</w:t>
      </w:r>
      <w:r w:rsidRPr="00E62274">
        <w:rPr>
          <w:spacing w:val="-2"/>
        </w:rPr>
        <w:t>z</w:t>
      </w:r>
      <w:r w:rsidRPr="00ED6BDC">
        <w:t>a, St</w:t>
      </w:r>
      <w:r>
        <w:t xml:space="preserve">. </w:t>
      </w:r>
      <w:r w:rsidRPr="00ED6BDC">
        <w:t>Loui</w:t>
      </w:r>
      <w:r w:rsidRPr="00E62274">
        <w:rPr>
          <w:spacing w:val="1"/>
        </w:rPr>
        <w:t>s</w:t>
      </w:r>
      <w:r w:rsidRPr="00ED6BDC">
        <w:t>,</w:t>
      </w:r>
      <w:r w:rsidRPr="00E62274">
        <w:rPr>
          <w:spacing w:val="53"/>
        </w:rPr>
        <w:t xml:space="preserve"> </w:t>
      </w:r>
      <w:r w:rsidRPr="00ED6BDC">
        <w:t>MO 63101.</w:t>
      </w:r>
    </w:p>
    <w:p w:rsidR="000F0E00" w:rsidP="000F0E00">
      <w:pPr>
        <w:pStyle w:val="ParaNum"/>
        <w:numPr>
          <w:ilvl w:val="0"/>
          <w:numId w:val="17"/>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pPr>
      <w:r w:rsidRPr="00ED6BDC">
        <w:rPr>
          <w:b/>
          <w:u w:val="single"/>
        </w:rPr>
        <w:t>Qualifications</w:t>
      </w:r>
      <w:r w:rsidRPr="00D30811">
        <w:t xml:space="preserve">. </w:t>
      </w:r>
      <w:r w:rsidRPr="00ED6BDC">
        <w:t xml:space="preserve"> The Bureau finds that its Investigation raises no substantial and material questions of fact as to whether Licensee possesses the basic qualifications, including those relating to character, to hold a Commission license or authorization.  </w:t>
      </w:r>
    </w:p>
    <w:p w:rsidR="000F0E00" w:rsidRPr="0096602B" w:rsidP="000F0E00">
      <w:pPr>
        <w:pStyle w:val="ParaNum"/>
        <w:numPr>
          <w:ilvl w:val="0"/>
          <w:numId w:val="17"/>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pPr>
      <w:r w:rsidRPr="000A29A3">
        <w:rPr>
          <w:b/>
          <w:u w:val="single"/>
        </w:rPr>
        <w:t>Waivers</w:t>
      </w:r>
      <w:r w:rsidRPr="00D30811">
        <w:t xml:space="preserve">. </w:t>
      </w:r>
      <w:r>
        <w:t xml:space="preserve"> </w:t>
      </w:r>
      <w:r w:rsidRPr="0096602B">
        <w:t xml:space="preserve">Licensee agrees to waive any and all rights it may have to seek administrative or judicial reconsideration, review, appeal, or stay, or to otherwise challenge the validity of this Consent Decree and the Adopting Order, provided the Consent Decree is adopted without change, addition or modification.  If any Party (or the United States on behalf of the Commission), brings a judicial action to enforce the terms of the Consent Decree or Adopting Order, no Party will contest the validity of the Consent Decree or Adopting Order, and Licensee will waive any statutory right to a </w:t>
      </w:r>
      <w:r w:rsidRPr="0096602B">
        <w:rPr>
          <w:i/>
        </w:rPr>
        <w:t>trial</w:t>
      </w:r>
      <w:r w:rsidRPr="0096602B">
        <w:t xml:space="preserve"> </w:t>
      </w:r>
      <w:r w:rsidRPr="0096602B">
        <w:rPr>
          <w:i/>
        </w:rPr>
        <w:t>de novo</w:t>
      </w:r>
      <w:r w:rsidRPr="0096602B">
        <w:t>.  Licensee further agrees to waive any claims it may otherwise have under the Equal Access to Justice Act, 5 U.S.C. Section 504 and Section 1.1501</w:t>
      </w:r>
      <w:r w:rsidR="00F32098">
        <w:t>,</w:t>
      </w:r>
      <w:r w:rsidRPr="0096602B">
        <w:t xml:space="preserve"> </w:t>
      </w:r>
      <w:r w:rsidRPr="0096602B">
        <w:rPr>
          <w:i/>
        </w:rPr>
        <w:t>et</w:t>
      </w:r>
      <w:r>
        <w:rPr>
          <w:i/>
        </w:rPr>
        <w:t>.</w:t>
      </w:r>
      <w:r w:rsidRPr="0096602B">
        <w:rPr>
          <w:i/>
        </w:rPr>
        <w:t xml:space="preserve"> seq.</w:t>
      </w:r>
      <w:r w:rsidRPr="0096602B">
        <w:t xml:space="preserve"> of the </w:t>
      </w:r>
      <w:r>
        <w:t>R</w:t>
      </w:r>
      <w:r w:rsidRPr="0096602B">
        <w:t xml:space="preserve">ules relating to the </w:t>
      </w:r>
      <w:r>
        <w:t>Consent Decree or Adopting Order</w:t>
      </w:r>
      <w:r w:rsidRPr="0096602B">
        <w:t>.</w:t>
      </w:r>
    </w:p>
    <w:p w:rsidR="000F0E00" w:rsidP="000F0E00">
      <w:pPr>
        <w:pStyle w:val="ParaNum"/>
        <w:numPr>
          <w:ilvl w:val="0"/>
          <w:numId w:val="17"/>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pPr>
      <w:r w:rsidRPr="000A29A3">
        <w:rPr>
          <w:b/>
          <w:u w:val="single"/>
        </w:rPr>
        <w:t>Severability</w:t>
      </w:r>
      <w:r w:rsidRPr="00D30811">
        <w:t xml:space="preserve">. </w:t>
      </w:r>
      <w:r w:rsidRPr="000A29A3">
        <w:t xml:space="preserve"> The Parties agree that if a court of competent jurisdiction renders any of the provisions of this Consent Decree unenforceable, such unenforceability shall not render unenforceable the Consent Decree, but rather the entire Consent Decree shall be construed as if not containing the particular unenforceable provision or provisions, and the rights and obligations of the Parties shall be construed and enforced accordingly.  </w:t>
      </w:r>
    </w:p>
    <w:p w:rsidR="000F0E00" w:rsidP="000F0E00">
      <w:pPr>
        <w:pStyle w:val="ParaNum"/>
        <w:numPr>
          <w:ilvl w:val="0"/>
          <w:numId w:val="17"/>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pPr>
      <w:r w:rsidRPr="000A29A3">
        <w:rPr>
          <w:b/>
          <w:u w:val="single"/>
        </w:rPr>
        <w:t>Invalidity</w:t>
      </w:r>
      <w:r w:rsidRPr="00D30811">
        <w:t xml:space="preserve">. </w:t>
      </w:r>
      <w:r w:rsidRPr="000A29A3">
        <w:t xml:space="preserve"> In the event that this Consent Decree in its entirety is rendered invalid by any court of competent jurisdiction, it will become null and void and may not be used in any manner in any legal proceeding.</w:t>
      </w:r>
    </w:p>
    <w:p w:rsidR="000F0E00" w:rsidP="000F0E00">
      <w:pPr>
        <w:pStyle w:val="ParaNum"/>
        <w:numPr>
          <w:ilvl w:val="0"/>
          <w:numId w:val="17"/>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pPr>
      <w:r w:rsidRPr="000A29A3">
        <w:rPr>
          <w:b/>
          <w:u w:val="single"/>
        </w:rPr>
        <w:t>Subsequent Rule or Order</w:t>
      </w:r>
      <w:r w:rsidRPr="00D30811">
        <w:t xml:space="preserve">. </w:t>
      </w:r>
      <w:r w:rsidRPr="000A29A3">
        <w:t xml:space="preserve"> The Parties agree that if any provision of this Consent Decree conflicts with any subsequent Rule or Order adopted by the Commission (except an order specifically intended to revise the terms of this Consent Decree to which Licensee does not expressly consent), such provision will be superseded by such Rule or Order.</w:t>
      </w:r>
    </w:p>
    <w:p w:rsidR="000F0E00" w:rsidP="000F0E00">
      <w:pPr>
        <w:pStyle w:val="ParaNum"/>
        <w:numPr>
          <w:ilvl w:val="0"/>
          <w:numId w:val="17"/>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pPr>
      <w:r w:rsidRPr="000A29A3">
        <w:rPr>
          <w:b/>
          <w:u w:val="single"/>
        </w:rPr>
        <w:t>Successors and Assigns</w:t>
      </w:r>
      <w:r w:rsidRPr="00D30811">
        <w:t xml:space="preserve">. </w:t>
      </w:r>
      <w:r w:rsidRPr="000A29A3">
        <w:t xml:space="preserve"> Licensee agrees that the provisions of this Consent Decree shall be binding on its successors, assigns, and transferees. </w:t>
      </w:r>
      <w:r w:rsidRPr="000A29A3">
        <w:tab/>
      </w:r>
    </w:p>
    <w:p w:rsidR="000F0E00" w:rsidP="000F0E00">
      <w:pPr>
        <w:pStyle w:val="ParaNum"/>
        <w:numPr>
          <w:ilvl w:val="0"/>
          <w:numId w:val="17"/>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pPr>
      <w:r w:rsidRPr="000A29A3">
        <w:rPr>
          <w:b/>
          <w:u w:val="single"/>
        </w:rPr>
        <w:t>Final Settlement</w:t>
      </w:r>
      <w:r w:rsidRPr="000A29A3">
        <w:rPr>
          <w:b/>
        </w:rPr>
        <w:t>.</w:t>
      </w:r>
      <w:r w:rsidRPr="000A29A3">
        <w:t xml:space="preserve">  The Parties agree and acknowledge that this Consent Decree shall constitute a final settlement between the Parties with respect to the Investigation.</w:t>
      </w:r>
    </w:p>
    <w:p w:rsidR="000F0E00" w:rsidP="000F0E00">
      <w:pPr>
        <w:pStyle w:val="ParaNum"/>
        <w:numPr>
          <w:ilvl w:val="0"/>
          <w:numId w:val="17"/>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pPr>
      <w:r w:rsidRPr="000A29A3">
        <w:rPr>
          <w:b/>
          <w:u w:val="single"/>
        </w:rPr>
        <w:t>Modifications</w:t>
      </w:r>
      <w:r w:rsidRPr="00D30811">
        <w:t xml:space="preserve">. </w:t>
      </w:r>
      <w:r w:rsidRPr="000A29A3">
        <w:t xml:space="preserve"> This Consent Decree cannot be modified or amended without the advance written consent of all Parties.</w:t>
      </w:r>
    </w:p>
    <w:p w:rsidR="000F0E00" w:rsidP="000F0E00">
      <w:pPr>
        <w:pStyle w:val="ParaNum"/>
        <w:numPr>
          <w:ilvl w:val="0"/>
          <w:numId w:val="17"/>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pPr>
      <w:r w:rsidRPr="000A29A3">
        <w:rPr>
          <w:b/>
          <w:u w:val="single"/>
        </w:rPr>
        <w:t>Paragraph Headings</w:t>
      </w:r>
      <w:r w:rsidRPr="00D30811">
        <w:t xml:space="preserve">. </w:t>
      </w:r>
      <w:r w:rsidRPr="000A29A3">
        <w:t xml:space="preserve"> The headings of the paragraphs in this Consent Decree are inserted for convenience only and are not intended to affect the meaning or interpretation of this Consent Decree.</w:t>
      </w:r>
    </w:p>
    <w:p w:rsidR="000F0E00" w:rsidP="000F0E00">
      <w:pPr>
        <w:pStyle w:val="ParaNum"/>
        <w:numPr>
          <w:ilvl w:val="0"/>
          <w:numId w:val="17"/>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pPr>
      <w:r w:rsidRPr="000A29A3">
        <w:rPr>
          <w:b/>
          <w:u w:val="single"/>
        </w:rPr>
        <w:t>Authorized Representative</w:t>
      </w:r>
      <w:r w:rsidRPr="00D30811">
        <w:t xml:space="preserve">. </w:t>
      </w:r>
      <w:r w:rsidRPr="000A29A3">
        <w:t xml:space="preserve"> Each Party represents and warrants to the other Party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0F0E00" w:rsidRPr="000A29A3" w:rsidP="000F0E00">
      <w:pPr>
        <w:pStyle w:val="ParaNum"/>
        <w:numPr>
          <w:ilvl w:val="0"/>
          <w:numId w:val="17"/>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pPr>
      <w:r w:rsidRPr="000A29A3">
        <w:rPr>
          <w:b/>
          <w:u w:val="single"/>
        </w:rPr>
        <w:t>Counterparts</w:t>
      </w:r>
      <w:r w:rsidRPr="00D30811">
        <w:t xml:space="preserve">. </w:t>
      </w:r>
      <w:r w:rsidRPr="000A29A3">
        <w:t xml:space="preserve"> This Consent Decree may be signed in counterparts and/or by telecopy and, when so executed, the counterparts, taken together, will constitute a legally binding and enforceable instrument whether executed by telecopy or by original signatures.</w:t>
      </w:r>
    </w:p>
    <w:p w:rsidR="000F0E00" w:rsidRPr="00466273" w:rsidP="000F0E00">
      <w:pPr>
        <w:jc w:val="both"/>
        <w:rPr>
          <w:szCs w:val="22"/>
        </w:rPr>
      </w:pPr>
    </w:p>
    <w:p w:rsidR="000F0E00" w:rsidRPr="00466273" w:rsidP="000F0E00">
      <w:pPr>
        <w:jc w:val="both"/>
        <w:rPr>
          <w:b/>
          <w:szCs w:val="22"/>
        </w:rPr>
      </w:pPr>
      <w:r w:rsidRPr="00466273">
        <w:rPr>
          <w:szCs w:val="22"/>
        </w:rPr>
        <w:tab/>
      </w:r>
      <w:r w:rsidRPr="00466273">
        <w:rPr>
          <w:szCs w:val="22"/>
        </w:rPr>
        <w:tab/>
      </w:r>
      <w:r w:rsidRPr="00466273">
        <w:rPr>
          <w:szCs w:val="22"/>
        </w:rPr>
        <w:tab/>
      </w:r>
      <w:r w:rsidRPr="00466273">
        <w:rPr>
          <w:szCs w:val="22"/>
        </w:rPr>
        <w:tab/>
      </w:r>
      <w:r w:rsidRPr="00466273">
        <w:rPr>
          <w:szCs w:val="22"/>
        </w:rPr>
        <w:tab/>
      </w:r>
      <w:r w:rsidRPr="00466273">
        <w:rPr>
          <w:szCs w:val="22"/>
        </w:rPr>
        <w:tab/>
      </w:r>
      <w:r w:rsidRPr="00466273">
        <w:rPr>
          <w:b/>
          <w:szCs w:val="22"/>
        </w:rPr>
        <w:t>MEDIA BUREAU</w:t>
      </w:r>
    </w:p>
    <w:p w:rsidR="000F0E00" w:rsidRPr="00466273" w:rsidP="000F0E00">
      <w:pPr>
        <w:jc w:val="both"/>
        <w:rPr>
          <w:b/>
          <w:szCs w:val="22"/>
        </w:rPr>
      </w:pPr>
      <w:r w:rsidRPr="00466273">
        <w:rPr>
          <w:b/>
          <w:szCs w:val="22"/>
        </w:rPr>
        <w:tab/>
      </w:r>
      <w:r w:rsidRPr="00466273">
        <w:rPr>
          <w:b/>
          <w:szCs w:val="22"/>
        </w:rPr>
        <w:tab/>
      </w:r>
      <w:r w:rsidRPr="00466273">
        <w:rPr>
          <w:b/>
          <w:szCs w:val="22"/>
        </w:rPr>
        <w:tab/>
      </w:r>
      <w:r w:rsidRPr="00466273">
        <w:rPr>
          <w:b/>
          <w:szCs w:val="22"/>
        </w:rPr>
        <w:tab/>
      </w:r>
      <w:r w:rsidRPr="00466273">
        <w:rPr>
          <w:b/>
          <w:szCs w:val="22"/>
        </w:rPr>
        <w:tab/>
      </w:r>
      <w:r w:rsidRPr="00466273">
        <w:rPr>
          <w:b/>
          <w:szCs w:val="22"/>
        </w:rPr>
        <w:tab/>
        <w:t>FEDERAL COMMUNICATIONS COMMISSION</w:t>
      </w:r>
    </w:p>
    <w:p w:rsidR="000F0E00" w:rsidRPr="00466273" w:rsidP="000F0E00">
      <w:pPr>
        <w:jc w:val="both"/>
        <w:rPr>
          <w:szCs w:val="22"/>
        </w:rPr>
      </w:pPr>
    </w:p>
    <w:p w:rsidR="000F0E00" w:rsidRPr="00466273" w:rsidP="000F0E00">
      <w:pPr>
        <w:jc w:val="both"/>
        <w:rPr>
          <w:szCs w:val="22"/>
        </w:rPr>
      </w:pPr>
    </w:p>
    <w:p w:rsidR="000F0E00" w:rsidRPr="00466273" w:rsidP="000F0E00">
      <w:pPr>
        <w:jc w:val="both"/>
        <w:rPr>
          <w:szCs w:val="22"/>
        </w:rPr>
      </w:pPr>
      <w:r w:rsidRPr="00466273">
        <w:rPr>
          <w:szCs w:val="22"/>
        </w:rPr>
        <w:tab/>
      </w:r>
      <w:r w:rsidRPr="00466273">
        <w:rPr>
          <w:szCs w:val="22"/>
        </w:rPr>
        <w:tab/>
      </w:r>
      <w:r w:rsidRPr="00466273">
        <w:rPr>
          <w:szCs w:val="22"/>
        </w:rPr>
        <w:tab/>
      </w:r>
      <w:r w:rsidRPr="00466273">
        <w:rPr>
          <w:szCs w:val="22"/>
        </w:rPr>
        <w:tab/>
      </w:r>
      <w:r w:rsidRPr="00466273">
        <w:rPr>
          <w:szCs w:val="22"/>
        </w:rPr>
        <w:tab/>
      </w:r>
      <w:r w:rsidRPr="00466273">
        <w:rPr>
          <w:szCs w:val="22"/>
        </w:rPr>
        <w:tab/>
        <w:t xml:space="preserve">By:  </w:t>
      </w:r>
      <w:r w:rsidRPr="00466273">
        <w:rPr>
          <w:szCs w:val="22"/>
          <w:u w:val="single"/>
        </w:rPr>
        <w:t>____________________________________</w:t>
      </w:r>
    </w:p>
    <w:p w:rsidR="000F0E00" w:rsidRPr="00466273" w:rsidP="000F0E00">
      <w:pPr>
        <w:jc w:val="both"/>
        <w:rPr>
          <w:szCs w:val="22"/>
        </w:rPr>
      </w:pPr>
      <w:r w:rsidRPr="00466273">
        <w:rPr>
          <w:szCs w:val="22"/>
        </w:rPr>
        <w:tab/>
      </w:r>
      <w:r w:rsidRPr="00466273">
        <w:rPr>
          <w:szCs w:val="22"/>
        </w:rPr>
        <w:tab/>
      </w:r>
      <w:r w:rsidRPr="00466273">
        <w:rPr>
          <w:szCs w:val="22"/>
        </w:rPr>
        <w:tab/>
      </w:r>
      <w:r w:rsidRPr="00466273">
        <w:rPr>
          <w:szCs w:val="22"/>
        </w:rPr>
        <w:tab/>
      </w:r>
      <w:r w:rsidRPr="00466273">
        <w:rPr>
          <w:szCs w:val="22"/>
        </w:rPr>
        <w:tab/>
      </w:r>
      <w:r w:rsidRPr="00466273">
        <w:rPr>
          <w:szCs w:val="22"/>
        </w:rPr>
        <w:tab/>
        <w:t xml:space="preserve">       </w:t>
      </w:r>
      <w:r>
        <w:rPr>
          <w:szCs w:val="22"/>
        </w:rPr>
        <w:t>Michelle M. Carey</w:t>
      </w:r>
      <w:r w:rsidRPr="00466273">
        <w:rPr>
          <w:szCs w:val="22"/>
        </w:rPr>
        <w:t xml:space="preserve">, Chief </w:t>
      </w:r>
    </w:p>
    <w:p w:rsidR="000F0E00" w:rsidRPr="00466273" w:rsidP="000F0E00">
      <w:pPr>
        <w:jc w:val="both"/>
        <w:rPr>
          <w:szCs w:val="22"/>
        </w:rPr>
      </w:pPr>
      <w:r w:rsidRPr="00466273">
        <w:rPr>
          <w:szCs w:val="22"/>
        </w:rPr>
        <w:tab/>
      </w:r>
    </w:p>
    <w:p w:rsidR="000F0E00" w:rsidRPr="00466273" w:rsidP="000F0E00">
      <w:pPr>
        <w:jc w:val="both"/>
        <w:rPr>
          <w:szCs w:val="22"/>
        </w:rPr>
      </w:pPr>
    </w:p>
    <w:p w:rsidR="000F0E00" w:rsidRPr="00466273" w:rsidP="000F0E00">
      <w:pPr>
        <w:jc w:val="both"/>
        <w:rPr>
          <w:szCs w:val="22"/>
          <w:u w:val="single"/>
        </w:rPr>
      </w:pPr>
      <w:r w:rsidRPr="00466273">
        <w:rPr>
          <w:szCs w:val="22"/>
        </w:rPr>
        <w:tab/>
      </w:r>
      <w:r w:rsidRPr="00466273">
        <w:rPr>
          <w:szCs w:val="22"/>
        </w:rPr>
        <w:tab/>
      </w:r>
      <w:r w:rsidRPr="00466273">
        <w:rPr>
          <w:szCs w:val="22"/>
        </w:rPr>
        <w:tab/>
      </w:r>
      <w:r w:rsidRPr="00466273">
        <w:rPr>
          <w:szCs w:val="22"/>
        </w:rPr>
        <w:tab/>
      </w:r>
      <w:r w:rsidRPr="00466273">
        <w:rPr>
          <w:szCs w:val="22"/>
        </w:rPr>
        <w:tab/>
      </w:r>
      <w:r w:rsidRPr="00466273">
        <w:rPr>
          <w:szCs w:val="22"/>
        </w:rPr>
        <w:tab/>
        <w:t xml:space="preserve">Date:  </w:t>
      </w:r>
      <w:r w:rsidRPr="00466273">
        <w:rPr>
          <w:szCs w:val="22"/>
          <w:u w:val="single"/>
        </w:rPr>
        <w:t>__________________________________</w:t>
      </w:r>
    </w:p>
    <w:p w:rsidR="000F0E00" w:rsidRPr="00466273" w:rsidP="000F0E00">
      <w:pPr>
        <w:ind w:left="4320"/>
        <w:rPr>
          <w:b/>
          <w:szCs w:val="22"/>
        </w:rPr>
      </w:pPr>
    </w:p>
    <w:p w:rsidR="000F0E00" w:rsidP="000F0E00">
      <w:pPr>
        <w:rPr>
          <w:b/>
          <w:szCs w:val="22"/>
        </w:rPr>
      </w:pPr>
    </w:p>
    <w:p w:rsidR="000F0E00" w:rsidRPr="00466273" w:rsidP="00432371">
      <w:pPr>
        <w:rPr>
          <w:b/>
          <w:szCs w:val="22"/>
        </w:rPr>
      </w:pPr>
      <w:r>
        <w:rPr>
          <w:b/>
          <w:szCs w:val="22"/>
        </w:rPr>
        <w:tab/>
      </w:r>
      <w:r>
        <w:rPr>
          <w:b/>
          <w:szCs w:val="22"/>
        </w:rPr>
        <w:tab/>
      </w:r>
      <w:r>
        <w:rPr>
          <w:b/>
          <w:szCs w:val="22"/>
        </w:rPr>
        <w:tab/>
      </w:r>
      <w:r>
        <w:rPr>
          <w:b/>
          <w:szCs w:val="22"/>
        </w:rPr>
        <w:tab/>
      </w:r>
      <w:r>
        <w:rPr>
          <w:b/>
          <w:szCs w:val="22"/>
        </w:rPr>
        <w:tab/>
      </w:r>
      <w:r>
        <w:rPr>
          <w:b/>
          <w:szCs w:val="22"/>
        </w:rPr>
        <w:tab/>
      </w:r>
      <w:r w:rsidR="00D743C6">
        <w:rPr>
          <w:b/>
          <w:szCs w:val="22"/>
        </w:rPr>
        <w:t xml:space="preserve">SALEM MEDIA </w:t>
      </w:r>
      <w:r>
        <w:rPr>
          <w:b/>
          <w:szCs w:val="22"/>
        </w:rPr>
        <w:t>GROUP, INC.</w:t>
      </w:r>
      <w:r w:rsidRPr="00466273">
        <w:rPr>
          <w:b/>
          <w:szCs w:val="22"/>
        </w:rPr>
        <w:t xml:space="preserve"> </w:t>
      </w:r>
    </w:p>
    <w:p w:rsidR="000F0E00" w:rsidRPr="00466273" w:rsidP="000F0E00">
      <w:pPr>
        <w:jc w:val="both"/>
        <w:rPr>
          <w:b/>
          <w:szCs w:val="22"/>
        </w:rPr>
      </w:pPr>
    </w:p>
    <w:p w:rsidR="000F0E00" w:rsidRPr="00466273" w:rsidP="000F0E00">
      <w:pPr>
        <w:jc w:val="both"/>
        <w:rPr>
          <w:szCs w:val="22"/>
        </w:rPr>
      </w:pPr>
    </w:p>
    <w:p w:rsidR="000F0E00" w:rsidRPr="00466273" w:rsidP="000F0E00">
      <w:pPr>
        <w:jc w:val="both"/>
        <w:rPr>
          <w:b/>
          <w:szCs w:val="22"/>
          <w:u w:val="single"/>
        </w:rPr>
      </w:pPr>
      <w:r w:rsidRPr="00466273">
        <w:rPr>
          <w:szCs w:val="22"/>
        </w:rPr>
        <w:tab/>
      </w:r>
      <w:r w:rsidRPr="00466273">
        <w:rPr>
          <w:szCs w:val="22"/>
        </w:rPr>
        <w:tab/>
      </w:r>
      <w:r w:rsidRPr="00466273">
        <w:rPr>
          <w:szCs w:val="22"/>
        </w:rPr>
        <w:tab/>
      </w:r>
      <w:r w:rsidRPr="00466273">
        <w:rPr>
          <w:szCs w:val="22"/>
        </w:rPr>
        <w:tab/>
      </w:r>
      <w:r w:rsidRPr="00466273">
        <w:rPr>
          <w:szCs w:val="22"/>
        </w:rPr>
        <w:tab/>
      </w:r>
      <w:r w:rsidRPr="00466273">
        <w:rPr>
          <w:szCs w:val="22"/>
        </w:rPr>
        <w:tab/>
        <w:t xml:space="preserve">By: </w:t>
      </w:r>
      <w:r w:rsidRPr="00466273">
        <w:rPr>
          <w:szCs w:val="22"/>
          <w:u w:val="single"/>
        </w:rPr>
        <w:t>_________________________________________</w:t>
      </w:r>
    </w:p>
    <w:p w:rsidR="000F0E00" w:rsidRPr="00D743C6" w:rsidP="00AD6CA1">
      <w:pPr>
        <w:ind w:left="4590"/>
        <w:rPr>
          <w:b/>
          <w:szCs w:val="22"/>
        </w:rPr>
      </w:pPr>
      <w:r>
        <w:rPr>
          <w:szCs w:val="22"/>
        </w:rPr>
        <w:t xml:space="preserve">Christopher J. Henderson, Senior Vice President, General Counsel </w:t>
      </w:r>
      <w:r w:rsidRPr="00D743C6">
        <w:rPr>
          <w:b/>
          <w:szCs w:val="22"/>
        </w:rPr>
        <w:t xml:space="preserve"> </w:t>
      </w:r>
    </w:p>
    <w:p w:rsidR="000F0E00" w:rsidRPr="00466273" w:rsidP="000F0E00">
      <w:pPr>
        <w:ind w:left="4320"/>
        <w:rPr>
          <w:szCs w:val="22"/>
        </w:rPr>
      </w:pPr>
      <w:r w:rsidRPr="00466273">
        <w:rPr>
          <w:szCs w:val="22"/>
        </w:rPr>
        <w:t xml:space="preserve">       </w:t>
      </w:r>
    </w:p>
    <w:p w:rsidR="000F0E00" w:rsidRPr="00466273" w:rsidP="000F0E00">
      <w:pPr>
        <w:jc w:val="both"/>
        <w:rPr>
          <w:szCs w:val="22"/>
        </w:rPr>
      </w:pPr>
    </w:p>
    <w:p w:rsidR="000F0E00" w:rsidRPr="00466273" w:rsidP="000F0E00">
      <w:pPr>
        <w:jc w:val="both"/>
        <w:rPr>
          <w:szCs w:val="22"/>
          <w:u w:val="single"/>
        </w:rPr>
      </w:pPr>
      <w:r w:rsidRPr="00466273">
        <w:rPr>
          <w:szCs w:val="22"/>
        </w:rPr>
        <w:tab/>
      </w:r>
      <w:r w:rsidRPr="00466273">
        <w:rPr>
          <w:szCs w:val="22"/>
        </w:rPr>
        <w:tab/>
      </w:r>
      <w:r w:rsidRPr="00466273">
        <w:rPr>
          <w:szCs w:val="22"/>
        </w:rPr>
        <w:tab/>
      </w:r>
      <w:r w:rsidRPr="00466273">
        <w:rPr>
          <w:szCs w:val="22"/>
        </w:rPr>
        <w:tab/>
      </w:r>
      <w:r w:rsidRPr="00466273">
        <w:rPr>
          <w:szCs w:val="22"/>
        </w:rPr>
        <w:tab/>
      </w:r>
      <w:r w:rsidRPr="00466273">
        <w:rPr>
          <w:szCs w:val="22"/>
        </w:rPr>
        <w:tab/>
        <w:t xml:space="preserve">Date:  </w:t>
      </w:r>
      <w:r w:rsidRPr="00466273">
        <w:rPr>
          <w:szCs w:val="22"/>
          <w:u w:val="single"/>
        </w:rPr>
        <w:t>__________________________________</w:t>
      </w:r>
    </w:p>
    <w:p w:rsidR="000F0E00" w:rsidRPr="00A429EC" w:rsidP="000F0E00">
      <w:pPr>
        <w:widowControl/>
        <w:jc w:val="center"/>
        <w:rPr>
          <w:szCs w:val="22"/>
          <w:u w:val="single"/>
        </w:rPr>
      </w:pPr>
      <w:r>
        <w:rPr>
          <w:b/>
          <w:szCs w:val="22"/>
          <w:u w:val="single"/>
        </w:rPr>
        <w:br w:type="page"/>
      </w:r>
      <w:r w:rsidRPr="00A429EC">
        <w:rPr>
          <w:b/>
          <w:szCs w:val="22"/>
          <w:u w:val="single"/>
        </w:rPr>
        <w:t>APPENDIX A</w:t>
      </w:r>
      <w:r w:rsidRPr="00A429EC">
        <w:rPr>
          <w:szCs w:val="22"/>
          <w:u w:val="single"/>
        </w:rPr>
        <w:t xml:space="preserve">:  </w:t>
      </w:r>
      <w:r w:rsidRPr="00A429EC">
        <w:rPr>
          <w:b/>
          <w:szCs w:val="22"/>
          <w:u w:val="single"/>
        </w:rPr>
        <w:t>COMPLIANCE PLAN</w:t>
      </w:r>
    </w:p>
    <w:p w:rsidR="000F0E00" w:rsidRPr="00466273" w:rsidP="000F0E00">
      <w:pPr>
        <w:jc w:val="center"/>
        <w:rPr>
          <w:szCs w:val="22"/>
        </w:rPr>
      </w:pPr>
    </w:p>
    <w:p w:rsidR="000F0E00" w:rsidRPr="00466273" w:rsidP="000F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rPr>
          <w:szCs w:val="22"/>
        </w:rPr>
      </w:pPr>
      <w:r w:rsidRPr="00466273">
        <w:rPr>
          <w:szCs w:val="22"/>
        </w:rPr>
        <w:tab/>
        <w:t xml:space="preserve">For a period of three (3) years commencing </w:t>
      </w:r>
      <w:r>
        <w:rPr>
          <w:szCs w:val="22"/>
        </w:rPr>
        <w:t xml:space="preserve">on the </w:t>
      </w:r>
      <w:r w:rsidR="00F17381">
        <w:rPr>
          <w:szCs w:val="22"/>
        </w:rPr>
        <w:t xml:space="preserve">Compliance Plan </w:t>
      </w:r>
      <w:r>
        <w:rPr>
          <w:szCs w:val="22"/>
        </w:rPr>
        <w:t>Implementation Date</w:t>
      </w:r>
      <w:r w:rsidR="004B7423">
        <w:rPr>
          <w:szCs w:val="22"/>
        </w:rPr>
        <w:t>,</w:t>
      </w:r>
      <w:r w:rsidR="00F17381">
        <w:rPr>
          <w:szCs w:val="22"/>
        </w:rPr>
        <w:t xml:space="preserve"> Caron</w:t>
      </w:r>
      <w:r w:rsidR="004B7423">
        <w:rPr>
          <w:szCs w:val="22"/>
        </w:rPr>
        <w:t>,</w:t>
      </w:r>
      <w:r w:rsidR="00F17381">
        <w:rPr>
          <w:szCs w:val="22"/>
        </w:rPr>
        <w:t xml:space="preserve"> and </w:t>
      </w:r>
      <w:r>
        <w:rPr>
          <w:szCs w:val="22"/>
        </w:rPr>
        <w:t xml:space="preserve">its ultimate parent corporation </w:t>
      </w:r>
      <w:r w:rsidR="00F17381">
        <w:rPr>
          <w:szCs w:val="22"/>
        </w:rPr>
        <w:t xml:space="preserve">Salem, </w:t>
      </w:r>
      <w:r w:rsidRPr="00623A4E">
        <w:rPr>
          <w:color w:val="212121"/>
          <w:szCs w:val="22"/>
        </w:rPr>
        <w:t>and its subsidiaries, divisions and affiliates</w:t>
      </w:r>
      <w:r w:rsidRPr="00466273">
        <w:rPr>
          <w:szCs w:val="22"/>
        </w:rPr>
        <w:t xml:space="preserve"> </w:t>
      </w:r>
      <w:r>
        <w:rPr>
          <w:szCs w:val="22"/>
        </w:rPr>
        <w:t>and/o</w:t>
      </w:r>
      <w:r w:rsidRPr="00466273">
        <w:rPr>
          <w:szCs w:val="22"/>
        </w:rPr>
        <w:t xml:space="preserve">r any other successor-in-interest, will institute the following procedures to ensure compliance with the </w:t>
      </w:r>
      <w:r>
        <w:rPr>
          <w:szCs w:val="22"/>
        </w:rPr>
        <w:t>R</w:t>
      </w:r>
      <w:r w:rsidRPr="00466273">
        <w:rPr>
          <w:szCs w:val="22"/>
        </w:rPr>
        <w:t>ules.  Unless otherwise provided, all terms defined in the Consent Decree apply to this Compliance Plan.</w:t>
      </w:r>
      <w:r>
        <w:rPr>
          <w:szCs w:val="22"/>
        </w:rPr>
        <w:t xml:space="preserve">  In addition, except as otherwise provided, all requirements are to occur by the Implementation Date, which is within 60 days of the Effective Date of the Adopting Order. </w:t>
      </w:r>
    </w:p>
    <w:p w:rsidR="000F0E00" w:rsidP="000F0E00">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sidRPr="00B326B5">
        <w:rPr>
          <w:b/>
          <w:szCs w:val="22"/>
        </w:rPr>
        <w:t>FCC Compliance Officer.</w:t>
      </w:r>
      <w:r w:rsidRPr="00B326B5">
        <w:rPr>
          <w:szCs w:val="22"/>
        </w:rPr>
        <w:t xml:space="preserve">  Licensee shall designate an FCC Compliance Officer who will administer the Compliance Plan, supervise Licensee’s compliance with the Act and the Rules, and serve as the point of contact on behalf of Licensee for all FCC-related compliance matters.</w:t>
      </w:r>
    </w:p>
    <w:p w:rsidR="000F0E00" w:rsidP="000F0E0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80"/>
        <w:rPr>
          <w:szCs w:val="22"/>
        </w:rPr>
      </w:pPr>
    </w:p>
    <w:p w:rsidR="000F0E00" w:rsidP="000F0E00">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sidRPr="00B326B5">
        <w:rPr>
          <w:b/>
          <w:szCs w:val="22"/>
        </w:rPr>
        <w:t>Compliance Manual.</w:t>
      </w:r>
      <w:r w:rsidRPr="00B326B5">
        <w:rPr>
          <w:szCs w:val="22"/>
        </w:rPr>
        <w:t xml:space="preserve">  </w:t>
      </w:r>
      <w:r w:rsidRPr="00B326B5">
        <w:rPr>
          <w:color w:val="000000"/>
          <w:szCs w:val="22"/>
        </w:rPr>
        <w:t>The FCC Compliance Officer shall develop and distribute a Compliance Manual to employees and others who perform duties for Licensee that trigger or may trigger compliance-related responsibilities. The Compliance Manual shall include: (1) an overview of the Commission’s requirements</w:t>
      </w:r>
      <w:r>
        <w:rPr>
          <w:color w:val="000000"/>
          <w:szCs w:val="22"/>
        </w:rPr>
        <w:t xml:space="preserve"> with respect to applications for assignment or transfer of control of FCC licenses</w:t>
      </w:r>
      <w:r w:rsidRPr="00B326B5">
        <w:rPr>
          <w:color w:val="000000"/>
          <w:szCs w:val="22"/>
        </w:rPr>
        <w:t>, including the need for prior approval for license assignments and transfers of control, and the requirements set forth in the Rules at issue in the Investigation</w:t>
      </w:r>
      <w:r>
        <w:rPr>
          <w:color w:val="000000"/>
          <w:szCs w:val="22"/>
        </w:rPr>
        <w:t xml:space="preserve"> and</w:t>
      </w:r>
      <w:r w:rsidRPr="00B326B5">
        <w:rPr>
          <w:color w:val="000000"/>
          <w:szCs w:val="22"/>
        </w:rPr>
        <w:t xml:space="preserve">; (2) a description of the regulatory requirements applicable to the accurate reporting of information in </w:t>
      </w:r>
      <w:r>
        <w:rPr>
          <w:color w:val="000000"/>
          <w:szCs w:val="22"/>
        </w:rPr>
        <w:t>assignment and transfer of control applications.</w:t>
      </w:r>
      <w:r w:rsidRPr="00B326B5">
        <w:rPr>
          <w:color w:val="000000"/>
          <w:szCs w:val="22"/>
        </w:rPr>
        <w:t xml:space="preserve"> </w:t>
      </w:r>
      <w:r>
        <w:rPr>
          <w:color w:val="000000"/>
          <w:szCs w:val="22"/>
        </w:rPr>
        <w:t xml:space="preserve"> </w:t>
      </w:r>
      <w:r w:rsidRPr="00B326B5">
        <w:rPr>
          <w:color w:val="000000"/>
          <w:szCs w:val="22"/>
        </w:rPr>
        <w:t>Licensee shall update the Compliance Manual from time to time to reflect changes to relevant sections of the Act, Rules, and Commission orders, and as otherwise needed.</w:t>
      </w:r>
      <w:r w:rsidRPr="00B326B5">
        <w:rPr>
          <w:szCs w:val="22"/>
        </w:rPr>
        <w:t xml:space="preserve">  </w:t>
      </w:r>
    </w:p>
    <w:p w:rsidR="000F0E00" w:rsidRPr="00B326B5" w:rsidP="000F0E00">
      <w:pPr>
        <w:pStyle w:val="ListParagraph"/>
        <w:rPr>
          <w:szCs w:val="22"/>
        </w:rPr>
      </w:pPr>
    </w:p>
    <w:p w:rsidR="000F0E00" w:rsidRPr="001D621E" w:rsidP="000F0E00">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color w:val="000000"/>
          <w:szCs w:val="22"/>
        </w:rPr>
      </w:pPr>
      <w:r w:rsidRPr="001D621E">
        <w:rPr>
          <w:b/>
          <w:bCs/>
          <w:color w:val="000000"/>
          <w:szCs w:val="22"/>
        </w:rPr>
        <w:t>Compliance Training Program</w:t>
      </w:r>
      <w:r w:rsidRPr="001D621E">
        <w:rPr>
          <w:color w:val="000000"/>
          <w:szCs w:val="22"/>
        </w:rPr>
        <w:t xml:space="preserve">. Within 90 days of the Effective Date, Licensee shall begin administering a Compliance Training Program for employees and others who perform duties for Licensee </w:t>
      </w:r>
      <w:r>
        <w:rPr>
          <w:color w:val="000000"/>
          <w:szCs w:val="22"/>
        </w:rPr>
        <w:t>related to assignment and transfer of control applications.</w:t>
      </w:r>
      <w:r w:rsidRPr="001D621E">
        <w:rPr>
          <w:color w:val="000000"/>
          <w:szCs w:val="22"/>
        </w:rPr>
        <w:t xml:space="preserve"> This Compliance Training Program shall be completed for all </w:t>
      </w:r>
      <w:r>
        <w:rPr>
          <w:color w:val="000000"/>
          <w:szCs w:val="22"/>
        </w:rPr>
        <w:t>such</w:t>
      </w:r>
      <w:r w:rsidRPr="001D621E">
        <w:rPr>
          <w:color w:val="000000"/>
          <w:szCs w:val="22"/>
        </w:rPr>
        <w:t xml:space="preserve"> employees within one hundred and twenty (120) days of the Effective Date. This Compliance Training Program shall also be presented to new </w:t>
      </w:r>
      <w:bookmarkStart w:id="3" w:name="co_pp_sp_1511_1098_1"/>
      <w:bookmarkEnd w:id="3"/>
      <w:r w:rsidRPr="001D621E">
        <w:rPr>
          <w:color w:val="000000"/>
          <w:szCs w:val="22"/>
        </w:rPr>
        <w:t>employees who are engaged in such activities, within the first sixty (60) calendar days of employment. This Compliance Training Program shall track the Compliance Manual, focusing on proper implementation of the Compliance Manual.</w:t>
      </w:r>
    </w:p>
    <w:p w:rsidR="000F0E00" w:rsidRPr="001D621E" w:rsidP="000F0E00">
      <w:pPr>
        <w:pStyle w:val="ListParagraph"/>
        <w:rPr>
          <w:szCs w:val="22"/>
        </w:rPr>
      </w:pPr>
    </w:p>
    <w:p w:rsidR="000F0E00" w:rsidRPr="001D621E" w:rsidP="000F0E00">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szCs w:val="22"/>
        </w:rPr>
      </w:pPr>
      <w:r w:rsidRPr="001D621E">
        <w:rPr>
          <w:b/>
          <w:szCs w:val="22"/>
        </w:rPr>
        <w:t>Compliance Reports.</w:t>
      </w:r>
      <w:r>
        <w:rPr>
          <w:b/>
          <w:szCs w:val="22"/>
        </w:rPr>
        <w:t xml:space="preserve">  </w:t>
      </w:r>
      <w:r w:rsidRPr="001D621E">
        <w:rPr>
          <w:color w:val="000000"/>
          <w:szCs w:val="22"/>
        </w:rPr>
        <w:t xml:space="preserve">Licensee shall submit a Compliance Report to the Commission 90 days after the Effective Date and annually thereafter on the anniversary of the Effective Date until the Termination Date. </w:t>
      </w:r>
      <w:r>
        <w:rPr>
          <w:color w:val="000000"/>
          <w:szCs w:val="22"/>
        </w:rPr>
        <w:t xml:space="preserve"> </w:t>
      </w:r>
      <w:r w:rsidRPr="001D621E">
        <w:rPr>
          <w:color w:val="000000"/>
          <w:szCs w:val="22"/>
        </w:rPr>
        <w:t xml:space="preserve">Each Compliance Report will include a certification by the </w:t>
      </w:r>
      <w:r>
        <w:rPr>
          <w:color w:val="000000"/>
          <w:szCs w:val="22"/>
        </w:rPr>
        <w:t xml:space="preserve"> FCC </w:t>
      </w:r>
      <w:r w:rsidRPr="001D621E">
        <w:rPr>
          <w:color w:val="000000"/>
          <w:szCs w:val="22"/>
        </w:rPr>
        <w:t xml:space="preserve">Compliance Officer, as an agent of and on behalf of </w:t>
      </w:r>
      <w:r>
        <w:rPr>
          <w:color w:val="000000"/>
          <w:szCs w:val="22"/>
        </w:rPr>
        <w:t>Licensee</w:t>
      </w:r>
      <w:r w:rsidRPr="001D621E">
        <w:rPr>
          <w:color w:val="000000"/>
          <w:szCs w:val="22"/>
        </w:rPr>
        <w:t>, stating that he/she has personal knowledge that: (</w:t>
      </w:r>
      <w:r>
        <w:rPr>
          <w:color w:val="000000"/>
          <w:szCs w:val="22"/>
        </w:rPr>
        <w:t>1</w:t>
      </w:r>
      <w:r w:rsidRPr="001D621E">
        <w:rPr>
          <w:color w:val="000000"/>
          <w:szCs w:val="22"/>
        </w:rPr>
        <w:t xml:space="preserve">) </w:t>
      </w:r>
      <w:r>
        <w:rPr>
          <w:color w:val="000000"/>
          <w:szCs w:val="22"/>
        </w:rPr>
        <w:t xml:space="preserve">Licensee </w:t>
      </w:r>
      <w:r w:rsidRPr="001D621E">
        <w:rPr>
          <w:color w:val="000000"/>
          <w:szCs w:val="22"/>
        </w:rPr>
        <w:t>has established operating procedures intended to ensure compliance with the terms and conditions of this Consent Decree and with</w:t>
      </w:r>
      <w:r>
        <w:rPr>
          <w:color w:val="000000"/>
          <w:szCs w:val="22"/>
        </w:rPr>
        <w:t xml:space="preserve"> Section 310(d) of the Act and Section 73.3540 of the Rules</w:t>
      </w:r>
      <w:r w:rsidRPr="001D621E">
        <w:rPr>
          <w:color w:val="000000"/>
          <w:szCs w:val="22"/>
        </w:rPr>
        <w:t>, together with an accompanying statement explaining the basis for the certification; (</w:t>
      </w:r>
      <w:r>
        <w:rPr>
          <w:color w:val="000000"/>
          <w:szCs w:val="22"/>
        </w:rPr>
        <w:t>2</w:t>
      </w:r>
      <w:r w:rsidRPr="001D621E">
        <w:rPr>
          <w:color w:val="000000"/>
          <w:szCs w:val="22"/>
        </w:rPr>
        <w:t xml:space="preserve">) </w:t>
      </w:r>
      <w:r>
        <w:rPr>
          <w:color w:val="000000"/>
          <w:szCs w:val="22"/>
        </w:rPr>
        <w:t xml:space="preserve">Licensee </w:t>
      </w:r>
      <w:r w:rsidRPr="001D621E">
        <w:rPr>
          <w:color w:val="000000"/>
          <w:szCs w:val="22"/>
        </w:rPr>
        <w:t>has been utilizing those procedures since the previous Compliance Report was submitted; and (</w:t>
      </w:r>
      <w:r>
        <w:rPr>
          <w:color w:val="000000"/>
          <w:szCs w:val="22"/>
        </w:rPr>
        <w:t>3</w:t>
      </w:r>
      <w:r w:rsidRPr="001D621E">
        <w:rPr>
          <w:color w:val="000000"/>
          <w:szCs w:val="22"/>
        </w:rPr>
        <w:t xml:space="preserve">) </w:t>
      </w:r>
      <w:r>
        <w:rPr>
          <w:color w:val="000000"/>
          <w:szCs w:val="22"/>
        </w:rPr>
        <w:t xml:space="preserve">Licensee </w:t>
      </w:r>
      <w:r w:rsidRPr="001D621E">
        <w:rPr>
          <w:color w:val="000000"/>
          <w:szCs w:val="22"/>
        </w:rPr>
        <w:t xml:space="preserve">is not aware of any instances of non-compliance with the Consent Decree or those specified sections of the Act and Rules. The certification must comply with </w:t>
      </w:r>
      <w:r w:rsidR="00F17381">
        <w:rPr>
          <w:color w:val="000000"/>
          <w:szCs w:val="22"/>
        </w:rPr>
        <w:t>S</w:t>
      </w:r>
      <w:r w:rsidRPr="001D621E">
        <w:rPr>
          <w:color w:val="000000"/>
          <w:szCs w:val="22"/>
        </w:rPr>
        <w:t xml:space="preserve">ection 1.16 of the Commission’s Rules and be subscribed to as true under penalty of perjury in substantially the form set forth therein. If the FCC Compliance Officer cannot provide the requisite certification, he/she shall provide the Commission with a detailed explanation of: (i) any instances of non-compliance with this Consent Decree and the Act or Rules, and (ii) the steps that </w:t>
      </w:r>
      <w:r>
        <w:rPr>
          <w:color w:val="000000"/>
          <w:szCs w:val="22"/>
        </w:rPr>
        <w:t xml:space="preserve">Licensee </w:t>
      </w:r>
      <w:r w:rsidRPr="001D621E">
        <w:rPr>
          <w:color w:val="000000"/>
          <w:szCs w:val="22"/>
        </w:rPr>
        <w:t xml:space="preserve">has taken or will take to remedy each instance of non-compliance and ensure future compliance, and the schedule on which proposed remedial actions will be taken. </w:t>
      </w:r>
    </w:p>
    <w:p w:rsidR="000F0E00" w:rsidP="000F0E0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80"/>
        <w:rPr>
          <w:szCs w:val="22"/>
        </w:rPr>
      </w:pPr>
      <w:r w:rsidRPr="001D621E">
        <w:rPr>
          <w:szCs w:val="22"/>
        </w:rPr>
        <w:t>A copy will be served on Michael F. Wagner, Assistant Chief, Audio Division, Media Bureau, Federal Communications Commission and e-mailed to him at Michael.Wagner@fcc.gov.</w:t>
      </w:r>
    </w:p>
    <w:p w:rsidR="000F0E00" w:rsidRPr="0019617A" w:rsidP="00DF0229">
      <w:pPr>
        <w:widowControl/>
        <w:spacing w:after="200" w:line="276" w:lineRule="auto"/>
        <w:jc w:val="center"/>
        <w:rPr>
          <w:b/>
          <w:u w:val="single"/>
        </w:rPr>
      </w:pPr>
      <w:r>
        <w:rPr>
          <w:szCs w:val="22"/>
        </w:rPr>
        <w:br w:type="page"/>
      </w:r>
      <w:bookmarkStart w:id="4" w:name="_Hlk506283597"/>
      <w:r w:rsidRPr="0019617A">
        <w:rPr>
          <w:b/>
          <w:u w:val="single"/>
        </w:rPr>
        <w:t xml:space="preserve">APPENDIX B: </w:t>
      </w:r>
      <w:r>
        <w:rPr>
          <w:b/>
          <w:u w:val="single"/>
        </w:rPr>
        <w:t xml:space="preserve">STATIONS </w:t>
      </w:r>
      <w:r w:rsidRPr="0019617A">
        <w:rPr>
          <w:b/>
          <w:u w:val="single"/>
        </w:rPr>
        <w:t xml:space="preserve">SUBJECT TO </w:t>
      </w:r>
      <w:r w:rsidR="00DF0229">
        <w:rPr>
          <w:b/>
          <w:u w:val="single"/>
        </w:rPr>
        <w:t>THE CONSENT DECREE</w:t>
      </w:r>
    </w:p>
    <w:p w:rsidR="00C01DAB" w:rsidRPr="007503AB" w:rsidP="00C01DAB">
      <w:pPr>
        <w:keepNext/>
        <w:suppressAutoHyphens/>
        <w:spacing w:after="120"/>
        <w:outlineLvl w:val="0"/>
        <w:rPr>
          <w:rFonts w:ascii="Times New Roman Bold" w:hAnsi="Times New Roman Bold"/>
          <w:caps/>
        </w:rPr>
      </w:pPr>
      <w:r w:rsidRPr="007503AB">
        <w:rPr>
          <w:rFonts w:ascii="Times New Roman Bold" w:hAnsi="Times New Roman Bold"/>
          <w:b/>
          <w:caps/>
        </w:rPr>
        <w:t xml:space="preserve">STATIONS </w:t>
      </w:r>
      <w:r w:rsidR="00DF0229">
        <w:rPr>
          <w:rFonts w:ascii="Times New Roman Bold" w:hAnsi="Times New Roman Bold"/>
          <w:b/>
          <w:caps/>
        </w:rPr>
        <w:t xml:space="preserve">THAT WERE </w:t>
      </w:r>
      <w:r w:rsidRPr="0059510A">
        <w:rPr>
          <w:rFonts w:ascii="Times New Roman Bold" w:hAnsi="Times New Roman Bold"/>
          <w:b/>
          <w:i/>
          <w:caps/>
        </w:rPr>
        <w:t>PRO FORMa</w:t>
      </w:r>
      <w:r>
        <w:rPr>
          <w:rFonts w:ascii="Times New Roman Bold" w:hAnsi="Times New Roman Bold"/>
          <w:b/>
          <w:caps/>
        </w:rPr>
        <w:t xml:space="preserve"> </w:t>
      </w:r>
      <w:r w:rsidRPr="007503AB">
        <w:rPr>
          <w:rFonts w:ascii="Times New Roman Bold" w:hAnsi="Times New Roman Bold"/>
          <w:b/>
          <w:caps/>
        </w:rPr>
        <w:t>ASSIGN</w:t>
      </w:r>
      <w:r w:rsidR="00DF0229">
        <w:rPr>
          <w:rFonts w:ascii="Times New Roman Bold" w:hAnsi="Times New Roman Bold"/>
          <w:b/>
          <w:caps/>
        </w:rPr>
        <w:t>ED FROM SOUTH TEXAS BROADCASTING, INC.</w:t>
      </w:r>
      <w:r>
        <w:rPr>
          <w:rFonts w:ascii="Times New Roman Bold" w:hAnsi="Times New Roman Bold"/>
          <w:b/>
          <w:caps/>
        </w:rPr>
        <w:t xml:space="preserve"> (ASSIGNOR) TO CARON BROADCASTING, INC.</w:t>
      </w:r>
      <w:r>
        <w:t xml:space="preserve"> </w:t>
      </w:r>
      <w:r w:rsidRPr="00C01DAB">
        <w:rPr>
          <w:b/>
        </w:rPr>
        <w:t>(ASSIGNEE)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9"/>
        <w:gridCol w:w="901"/>
        <w:gridCol w:w="2365"/>
        <w:gridCol w:w="720"/>
        <w:gridCol w:w="1261"/>
        <w:gridCol w:w="1060"/>
        <w:gridCol w:w="1634"/>
      </w:tblGrid>
      <w:tr w:rsidTr="000F0E0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409" w:type="dxa"/>
            <w:shd w:val="clear" w:color="auto" w:fill="auto"/>
          </w:tcPr>
          <w:p w:rsidR="000F0E00" w:rsidRPr="007503AB" w:rsidP="000F0E00">
            <w:pPr>
              <w:spacing w:after="120"/>
            </w:pPr>
            <w:r w:rsidRPr="007503AB">
              <w:rPr>
                <w:b/>
                <w:bCs/>
                <w:snapToGrid/>
                <w:color w:val="000000"/>
                <w:kern w:val="0"/>
                <w:szCs w:val="22"/>
              </w:rPr>
              <w:t>Call Sign</w:t>
            </w:r>
          </w:p>
        </w:tc>
        <w:tc>
          <w:tcPr>
            <w:tcW w:w="901" w:type="dxa"/>
            <w:shd w:val="clear" w:color="auto" w:fill="auto"/>
          </w:tcPr>
          <w:p w:rsidR="000F0E00" w:rsidRPr="007503AB" w:rsidP="000F0E00">
            <w:pPr>
              <w:spacing w:after="120"/>
            </w:pPr>
            <w:r w:rsidRPr="007503AB">
              <w:rPr>
                <w:b/>
                <w:bCs/>
                <w:snapToGrid/>
                <w:color w:val="000000"/>
                <w:kern w:val="0"/>
                <w:szCs w:val="22"/>
              </w:rPr>
              <w:t>Service</w:t>
            </w:r>
          </w:p>
        </w:tc>
        <w:tc>
          <w:tcPr>
            <w:tcW w:w="2365" w:type="dxa"/>
            <w:shd w:val="clear" w:color="auto" w:fill="auto"/>
          </w:tcPr>
          <w:p w:rsidR="000F0E00" w:rsidRPr="007503AB" w:rsidP="000F0E00">
            <w:pPr>
              <w:spacing w:after="120"/>
            </w:pPr>
            <w:r w:rsidRPr="007503AB">
              <w:rPr>
                <w:b/>
                <w:bCs/>
                <w:snapToGrid/>
                <w:color w:val="000000"/>
                <w:kern w:val="0"/>
                <w:szCs w:val="22"/>
              </w:rPr>
              <w:t>City</w:t>
            </w:r>
          </w:p>
        </w:tc>
        <w:tc>
          <w:tcPr>
            <w:tcW w:w="720" w:type="dxa"/>
            <w:shd w:val="clear" w:color="auto" w:fill="auto"/>
            <w:vAlign w:val="bottom"/>
          </w:tcPr>
          <w:p w:rsidR="000F0E00" w:rsidRPr="007503AB" w:rsidP="000F0E00">
            <w:pPr>
              <w:spacing w:after="120"/>
            </w:pPr>
            <w:r w:rsidRPr="007503AB">
              <w:rPr>
                <w:b/>
                <w:bCs/>
                <w:snapToGrid/>
                <w:color w:val="000000"/>
                <w:kern w:val="0"/>
                <w:szCs w:val="22"/>
              </w:rPr>
              <w:t>State</w:t>
            </w:r>
          </w:p>
        </w:tc>
        <w:tc>
          <w:tcPr>
            <w:tcW w:w="1261" w:type="dxa"/>
            <w:shd w:val="clear" w:color="auto" w:fill="auto"/>
            <w:vAlign w:val="bottom"/>
          </w:tcPr>
          <w:p w:rsidR="000F0E00" w:rsidRPr="007503AB" w:rsidP="000F0E00">
            <w:pPr>
              <w:spacing w:after="120"/>
            </w:pPr>
            <w:r w:rsidRPr="007503AB">
              <w:rPr>
                <w:b/>
                <w:bCs/>
                <w:snapToGrid/>
                <w:color w:val="000000"/>
                <w:kern w:val="0"/>
                <w:szCs w:val="22"/>
              </w:rPr>
              <w:t>Facility Id.</w:t>
            </w:r>
          </w:p>
        </w:tc>
        <w:tc>
          <w:tcPr>
            <w:tcW w:w="1060" w:type="dxa"/>
            <w:shd w:val="clear" w:color="auto" w:fill="auto"/>
            <w:vAlign w:val="bottom"/>
          </w:tcPr>
          <w:p w:rsidR="000F0E00" w:rsidRPr="007503AB" w:rsidP="000F0E00">
            <w:pPr>
              <w:spacing w:after="120"/>
            </w:pPr>
            <w:r w:rsidRPr="007503AB">
              <w:rPr>
                <w:b/>
                <w:bCs/>
                <w:snapToGrid/>
                <w:color w:val="000000"/>
                <w:kern w:val="0"/>
                <w:szCs w:val="22"/>
              </w:rPr>
              <w:t>Prefix</w:t>
            </w:r>
          </w:p>
        </w:tc>
        <w:tc>
          <w:tcPr>
            <w:tcW w:w="1634" w:type="dxa"/>
            <w:shd w:val="clear" w:color="auto" w:fill="auto"/>
          </w:tcPr>
          <w:p w:rsidR="000F0E00" w:rsidRPr="007503AB" w:rsidP="000F0E00">
            <w:pPr>
              <w:spacing w:after="120"/>
            </w:pPr>
            <w:r w:rsidRPr="007503AB">
              <w:rPr>
                <w:b/>
                <w:bCs/>
                <w:snapToGrid/>
                <w:color w:val="000000"/>
                <w:kern w:val="0"/>
                <w:szCs w:val="22"/>
              </w:rPr>
              <w:t>File Number</w:t>
            </w:r>
          </w:p>
        </w:tc>
      </w:tr>
      <w:tr w:rsidTr="000F0E00">
        <w:tblPrEx>
          <w:tblW w:w="0" w:type="auto"/>
          <w:tblLayout w:type="fixed"/>
          <w:tblLook w:val="04A0"/>
        </w:tblPrEx>
        <w:tc>
          <w:tcPr>
            <w:tcW w:w="1409" w:type="dxa"/>
            <w:shd w:val="clear" w:color="auto" w:fill="auto"/>
            <w:vAlign w:val="bottom"/>
          </w:tcPr>
          <w:p w:rsidR="000F0E00" w:rsidRPr="007503AB" w:rsidP="000F0E00">
            <w:pPr>
              <w:spacing w:after="120"/>
              <w:rPr>
                <w:b/>
                <w:bCs/>
                <w:snapToGrid/>
                <w:color w:val="000000"/>
                <w:kern w:val="0"/>
                <w:szCs w:val="22"/>
              </w:rPr>
            </w:pPr>
            <w:r>
              <w:rPr>
                <w:b/>
                <w:bCs/>
                <w:snapToGrid/>
                <w:color w:val="000000"/>
                <w:kern w:val="0"/>
                <w:szCs w:val="22"/>
              </w:rPr>
              <w:t>KDIS-FM</w:t>
            </w:r>
          </w:p>
        </w:tc>
        <w:tc>
          <w:tcPr>
            <w:tcW w:w="901" w:type="dxa"/>
            <w:shd w:val="clear" w:color="auto" w:fill="auto"/>
            <w:vAlign w:val="bottom"/>
          </w:tcPr>
          <w:p w:rsidR="000F0E00" w:rsidRPr="007503AB" w:rsidP="000F0E00">
            <w:pPr>
              <w:spacing w:after="120"/>
              <w:rPr>
                <w:b/>
                <w:bCs/>
                <w:snapToGrid/>
                <w:color w:val="000000"/>
                <w:kern w:val="0"/>
                <w:szCs w:val="22"/>
              </w:rPr>
            </w:pPr>
            <w:r>
              <w:rPr>
                <w:b/>
                <w:bCs/>
                <w:snapToGrid/>
                <w:color w:val="000000"/>
                <w:kern w:val="0"/>
                <w:szCs w:val="22"/>
              </w:rPr>
              <w:t>F</w:t>
            </w:r>
            <w:r>
              <w:rPr>
                <w:b/>
                <w:bCs/>
                <w:snapToGrid/>
                <w:color w:val="000000"/>
                <w:kern w:val="0"/>
                <w:szCs w:val="22"/>
              </w:rPr>
              <w:t>M</w:t>
            </w:r>
          </w:p>
        </w:tc>
        <w:tc>
          <w:tcPr>
            <w:tcW w:w="2365" w:type="dxa"/>
            <w:shd w:val="clear" w:color="auto" w:fill="auto"/>
            <w:vAlign w:val="bottom"/>
          </w:tcPr>
          <w:p w:rsidR="000F0E00" w:rsidRPr="007503AB" w:rsidP="000F0E00">
            <w:pPr>
              <w:spacing w:after="120"/>
              <w:rPr>
                <w:b/>
                <w:bCs/>
                <w:snapToGrid/>
                <w:color w:val="000000"/>
                <w:kern w:val="0"/>
                <w:szCs w:val="22"/>
              </w:rPr>
            </w:pPr>
            <w:r>
              <w:rPr>
                <w:b/>
                <w:bCs/>
                <w:snapToGrid/>
                <w:color w:val="000000"/>
                <w:kern w:val="0"/>
                <w:szCs w:val="22"/>
              </w:rPr>
              <w:t>LITTLE ROCK</w:t>
            </w:r>
          </w:p>
        </w:tc>
        <w:tc>
          <w:tcPr>
            <w:tcW w:w="720" w:type="dxa"/>
            <w:shd w:val="clear" w:color="auto" w:fill="auto"/>
            <w:vAlign w:val="bottom"/>
          </w:tcPr>
          <w:p w:rsidR="000F0E00" w:rsidRPr="007503AB" w:rsidP="000F0E00">
            <w:pPr>
              <w:spacing w:after="120"/>
              <w:rPr>
                <w:b/>
                <w:bCs/>
                <w:snapToGrid/>
                <w:color w:val="000000"/>
                <w:kern w:val="0"/>
                <w:szCs w:val="22"/>
              </w:rPr>
            </w:pPr>
            <w:r>
              <w:rPr>
                <w:b/>
                <w:bCs/>
                <w:snapToGrid/>
                <w:color w:val="000000"/>
                <w:kern w:val="0"/>
                <w:szCs w:val="22"/>
              </w:rPr>
              <w:t>AR</w:t>
            </w:r>
          </w:p>
        </w:tc>
        <w:tc>
          <w:tcPr>
            <w:tcW w:w="1261" w:type="dxa"/>
            <w:shd w:val="clear" w:color="auto" w:fill="auto"/>
            <w:vAlign w:val="bottom"/>
          </w:tcPr>
          <w:p w:rsidR="000F0E00" w:rsidRPr="007503AB" w:rsidP="000F0E00">
            <w:pPr>
              <w:spacing w:after="120"/>
              <w:rPr>
                <w:b/>
                <w:bCs/>
                <w:snapToGrid/>
                <w:color w:val="000000"/>
                <w:kern w:val="0"/>
                <w:szCs w:val="22"/>
              </w:rPr>
            </w:pPr>
            <w:r>
              <w:rPr>
                <w:b/>
                <w:bCs/>
                <w:snapToGrid/>
                <w:color w:val="000000"/>
                <w:kern w:val="0"/>
                <w:szCs w:val="22"/>
              </w:rPr>
              <w:t>47309</w:t>
            </w:r>
          </w:p>
        </w:tc>
        <w:tc>
          <w:tcPr>
            <w:tcW w:w="1060" w:type="dxa"/>
            <w:shd w:val="clear" w:color="auto" w:fill="auto"/>
            <w:vAlign w:val="bottom"/>
          </w:tcPr>
          <w:p w:rsidR="000F0E00" w:rsidRPr="007503AB" w:rsidP="000F0E00">
            <w:pPr>
              <w:spacing w:after="120"/>
              <w:rPr>
                <w:b/>
                <w:bCs/>
                <w:snapToGrid/>
                <w:color w:val="000000"/>
                <w:kern w:val="0"/>
                <w:szCs w:val="22"/>
              </w:rPr>
            </w:pPr>
            <w:r>
              <w:rPr>
                <w:b/>
                <w:bCs/>
                <w:snapToGrid/>
                <w:color w:val="000000"/>
                <w:kern w:val="0"/>
                <w:szCs w:val="22"/>
              </w:rPr>
              <w:t>BAL</w:t>
            </w:r>
            <w:r w:rsidR="00C01DAB">
              <w:rPr>
                <w:b/>
                <w:bCs/>
                <w:snapToGrid/>
                <w:color w:val="000000"/>
                <w:kern w:val="0"/>
                <w:szCs w:val="22"/>
              </w:rPr>
              <w:t>H</w:t>
            </w:r>
          </w:p>
        </w:tc>
        <w:tc>
          <w:tcPr>
            <w:tcW w:w="1634" w:type="dxa"/>
            <w:shd w:val="clear" w:color="auto" w:fill="auto"/>
            <w:vAlign w:val="bottom"/>
          </w:tcPr>
          <w:p w:rsidR="000F0E00" w:rsidRPr="007503AB" w:rsidP="000F0E00">
            <w:pPr>
              <w:spacing w:after="120"/>
              <w:rPr>
                <w:b/>
                <w:bCs/>
                <w:snapToGrid/>
                <w:color w:val="000000"/>
                <w:kern w:val="0"/>
                <w:szCs w:val="22"/>
              </w:rPr>
            </w:pPr>
            <w:r>
              <w:rPr>
                <w:b/>
                <w:bCs/>
                <w:snapToGrid/>
                <w:color w:val="000000"/>
                <w:kern w:val="0"/>
                <w:szCs w:val="22"/>
              </w:rPr>
              <w:t>201</w:t>
            </w:r>
            <w:r w:rsidR="00C01DAB">
              <w:rPr>
                <w:b/>
                <w:bCs/>
                <w:snapToGrid/>
                <w:color w:val="000000"/>
                <w:kern w:val="0"/>
                <w:szCs w:val="22"/>
              </w:rPr>
              <w:t>71211ADP</w:t>
            </w:r>
          </w:p>
        </w:tc>
      </w:tr>
      <w:tr w:rsidTr="000F0E00">
        <w:tblPrEx>
          <w:tblW w:w="0" w:type="auto"/>
          <w:tblLayout w:type="fixed"/>
          <w:tblLook w:val="04A0"/>
        </w:tblPrEx>
        <w:tc>
          <w:tcPr>
            <w:tcW w:w="1409" w:type="dxa"/>
            <w:shd w:val="clear" w:color="auto" w:fill="auto"/>
            <w:vAlign w:val="bottom"/>
          </w:tcPr>
          <w:p w:rsidR="000F0E00" w:rsidRPr="0026043A" w:rsidP="000F0E00">
            <w:pPr>
              <w:spacing w:after="120"/>
              <w:rPr>
                <w:bCs/>
                <w:snapToGrid/>
                <w:color w:val="000000"/>
                <w:kern w:val="0"/>
                <w:szCs w:val="22"/>
              </w:rPr>
            </w:pPr>
            <w:r>
              <w:rPr>
                <w:bCs/>
                <w:snapToGrid/>
                <w:color w:val="000000"/>
                <w:kern w:val="0"/>
                <w:szCs w:val="22"/>
              </w:rPr>
              <w:t>KKSP</w:t>
            </w:r>
          </w:p>
        </w:tc>
        <w:tc>
          <w:tcPr>
            <w:tcW w:w="901" w:type="dxa"/>
            <w:shd w:val="clear" w:color="auto" w:fill="auto"/>
            <w:vAlign w:val="bottom"/>
          </w:tcPr>
          <w:p w:rsidR="000F0E00" w:rsidRPr="0026043A" w:rsidP="000F0E00">
            <w:pPr>
              <w:spacing w:after="120"/>
              <w:rPr>
                <w:bCs/>
                <w:snapToGrid/>
                <w:color w:val="000000"/>
                <w:kern w:val="0"/>
                <w:szCs w:val="22"/>
              </w:rPr>
            </w:pPr>
            <w:r w:rsidRPr="0026043A">
              <w:rPr>
                <w:bCs/>
                <w:snapToGrid/>
                <w:color w:val="000000"/>
                <w:kern w:val="0"/>
                <w:szCs w:val="22"/>
              </w:rPr>
              <w:t>FM</w:t>
            </w:r>
          </w:p>
        </w:tc>
        <w:tc>
          <w:tcPr>
            <w:tcW w:w="2365" w:type="dxa"/>
            <w:shd w:val="clear" w:color="auto" w:fill="auto"/>
            <w:vAlign w:val="bottom"/>
          </w:tcPr>
          <w:p w:rsidR="000F0E00" w:rsidRPr="0026043A" w:rsidP="000F0E00">
            <w:pPr>
              <w:spacing w:after="120"/>
              <w:rPr>
                <w:bCs/>
                <w:snapToGrid/>
                <w:color w:val="000000"/>
                <w:kern w:val="0"/>
                <w:szCs w:val="22"/>
              </w:rPr>
            </w:pPr>
            <w:r>
              <w:rPr>
                <w:bCs/>
                <w:snapToGrid/>
                <w:color w:val="000000"/>
                <w:kern w:val="0"/>
                <w:szCs w:val="22"/>
              </w:rPr>
              <w:t>BRYANT</w:t>
            </w:r>
          </w:p>
        </w:tc>
        <w:tc>
          <w:tcPr>
            <w:tcW w:w="720" w:type="dxa"/>
            <w:shd w:val="clear" w:color="auto" w:fill="auto"/>
            <w:vAlign w:val="bottom"/>
          </w:tcPr>
          <w:p w:rsidR="000F0E00" w:rsidRPr="0026043A" w:rsidP="000F0E00">
            <w:pPr>
              <w:spacing w:after="120"/>
              <w:rPr>
                <w:bCs/>
                <w:snapToGrid/>
                <w:color w:val="000000"/>
                <w:kern w:val="0"/>
                <w:szCs w:val="22"/>
              </w:rPr>
            </w:pPr>
            <w:r>
              <w:rPr>
                <w:bCs/>
                <w:snapToGrid/>
                <w:color w:val="000000"/>
                <w:kern w:val="0"/>
                <w:szCs w:val="22"/>
              </w:rPr>
              <w:t>AR</w:t>
            </w:r>
          </w:p>
        </w:tc>
        <w:tc>
          <w:tcPr>
            <w:tcW w:w="1261" w:type="dxa"/>
            <w:shd w:val="clear" w:color="auto" w:fill="auto"/>
            <w:vAlign w:val="bottom"/>
          </w:tcPr>
          <w:p w:rsidR="000F0E00" w:rsidRPr="0026043A" w:rsidP="000F0E00">
            <w:pPr>
              <w:spacing w:after="120"/>
              <w:rPr>
                <w:bCs/>
                <w:snapToGrid/>
                <w:color w:val="000000"/>
                <w:kern w:val="0"/>
                <w:szCs w:val="22"/>
              </w:rPr>
            </w:pPr>
            <w:r>
              <w:rPr>
                <w:bCs/>
                <w:snapToGrid/>
                <w:color w:val="000000"/>
                <w:kern w:val="0"/>
                <w:szCs w:val="22"/>
              </w:rPr>
              <w:t>39751</w:t>
            </w:r>
          </w:p>
        </w:tc>
        <w:tc>
          <w:tcPr>
            <w:tcW w:w="1060" w:type="dxa"/>
            <w:shd w:val="clear" w:color="auto" w:fill="auto"/>
            <w:vAlign w:val="bottom"/>
          </w:tcPr>
          <w:p w:rsidR="000F0E00" w:rsidRPr="0026043A" w:rsidP="000F0E00">
            <w:pPr>
              <w:spacing w:after="120"/>
              <w:rPr>
                <w:bCs/>
                <w:snapToGrid/>
                <w:color w:val="000000"/>
                <w:kern w:val="0"/>
                <w:szCs w:val="22"/>
              </w:rPr>
            </w:pPr>
            <w:r w:rsidRPr="0026043A">
              <w:rPr>
                <w:bCs/>
                <w:snapToGrid/>
                <w:color w:val="000000"/>
                <w:kern w:val="0"/>
                <w:szCs w:val="22"/>
              </w:rPr>
              <w:t>BALH</w:t>
            </w:r>
          </w:p>
        </w:tc>
        <w:tc>
          <w:tcPr>
            <w:tcW w:w="1634" w:type="dxa"/>
            <w:shd w:val="clear" w:color="auto" w:fill="auto"/>
            <w:vAlign w:val="bottom"/>
          </w:tcPr>
          <w:p w:rsidR="000F0E00" w:rsidRPr="0026043A" w:rsidP="000F0E00">
            <w:pPr>
              <w:spacing w:after="120"/>
              <w:rPr>
                <w:bCs/>
                <w:snapToGrid/>
                <w:color w:val="000000"/>
                <w:kern w:val="0"/>
                <w:szCs w:val="22"/>
              </w:rPr>
            </w:pPr>
            <w:r>
              <w:rPr>
                <w:bCs/>
                <w:snapToGrid/>
                <w:color w:val="000000"/>
                <w:kern w:val="0"/>
                <w:szCs w:val="22"/>
              </w:rPr>
              <w:t>20171211ADQ</w:t>
            </w:r>
          </w:p>
        </w:tc>
      </w:tr>
      <w:tr w:rsidTr="000F0E00">
        <w:tblPrEx>
          <w:tblW w:w="0" w:type="auto"/>
          <w:tblLayout w:type="fixed"/>
          <w:tblLook w:val="04A0"/>
        </w:tblPrEx>
        <w:tc>
          <w:tcPr>
            <w:tcW w:w="1409" w:type="dxa"/>
            <w:shd w:val="clear" w:color="auto" w:fill="auto"/>
            <w:vAlign w:val="bottom"/>
          </w:tcPr>
          <w:p w:rsidR="000F0E00" w:rsidRPr="0026043A" w:rsidP="000F0E00">
            <w:pPr>
              <w:spacing w:after="120"/>
              <w:rPr>
                <w:bCs/>
                <w:snapToGrid/>
                <w:color w:val="000000"/>
                <w:kern w:val="0"/>
                <w:szCs w:val="22"/>
              </w:rPr>
            </w:pPr>
            <w:r>
              <w:rPr>
                <w:bCs/>
                <w:snapToGrid/>
                <w:color w:val="000000"/>
                <w:kern w:val="0"/>
                <w:szCs w:val="22"/>
              </w:rPr>
              <w:t>KLUP</w:t>
            </w:r>
          </w:p>
        </w:tc>
        <w:tc>
          <w:tcPr>
            <w:tcW w:w="901" w:type="dxa"/>
            <w:shd w:val="clear" w:color="auto" w:fill="auto"/>
            <w:vAlign w:val="bottom"/>
          </w:tcPr>
          <w:p w:rsidR="000F0E00" w:rsidRPr="0026043A" w:rsidP="000F0E00">
            <w:pPr>
              <w:spacing w:after="120"/>
              <w:rPr>
                <w:bCs/>
                <w:snapToGrid/>
                <w:color w:val="000000"/>
                <w:kern w:val="0"/>
                <w:szCs w:val="22"/>
              </w:rPr>
            </w:pPr>
            <w:r>
              <w:rPr>
                <w:bCs/>
                <w:snapToGrid/>
                <w:color w:val="000000"/>
                <w:kern w:val="0"/>
                <w:szCs w:val="22"/>
              </w:rPr>
              <w:t>A</w:t>
            </w:r>
            <w:r w:rsidRPr="0026043A">
              <w:rPr>
                <w:bCs/>
                <w:snapToGrid/>
                <w:color w:val="000000"/>
                <w:kern w:val="0"/>
                <w:szCs w:val="22"/>
              </w:rPr>
              <w:t>M</w:t>
            </w:r>
          </w:p>
        </w:tc>
        <w:tc>
          <w:tcPr>
            <w:tcW w:w="2365" w:type="dxa"/>
            <w:shd w:val="clear" w:color="auto" w:fill="auto"/>
            <w:vAlign w:val="bottom"/>
          </w:tcPr>
          <w:p w:rsidR="000F0E00" w:rsidRPr="0026043A" w:rsidP="000F0E00">
            <w:pPr>
              <w:spacing w:after="120"/>
              <w:rPr>
                <w:bCs/>
                <w:snapToGrid/>
                <w:color w:val="000000"/>
                <w:kern w:val="0"/>
                <w:szCs w:val="22"/>
              </w:rPr>
            </w:pPr>
            <w:r>
              <w:rPr>
                <w:bCs/>
                <w:snapToGrid/>
                <w:color w:val="000000"/>
                <w:kern w:val="0"/>
                <w:szCs w:val="22"/>
              </w:rPr>
              <w:t>TERRELL HILLS</w:t>
            </w:r>
          </w:p>
        </w:tc>
        <w:tc>
          <w:tcPr>
            <w:tcW w:w="720" w:type="dxa"/>
            <w:shd w:val="clear" w:color="auto" w:fill="auto"/>
            <w:vAlign w:val="bottom"/>
          </w:tcPr>
          <w:p w:rsidR="000F0E00" w:rsidRPr="0026043A" w:rsidP="000F0E00">
            <w:pPr>
              <w:spacing w:after="120"/>
              <w:rPr>
                <w:bCs/>
                <w:snapToGrid/>
                <w:color w:val="000000"/>
                <w:kern w:val="0"/>
                <w:szCs w:val="22"/>
              </w:rPr>
            </w:pPr>
            <w:r>
              <w:rPr>
                <w:bCs/>
                <w:snapToGrid/>
                <w:color w:val="000000"/>
                <w:kern w:val="0"/>
                <w:szCs w:val="22"/>
              </w:rPr>
              <w:t>TX</w:t>
            </w:r>
          </w:p>
        </w:tc>
        <w:tc>
          <w:tcPr>
            <w:tcW w:w="1261" w:type="dxa"/>
            <w:shd w:val="clear" w:color="auto" w:fill="auto"/>
            <w:vAlign w:val="bottom"/>
          </w:tcPr>
          <w:p w:rsidR="000F0E00" w:rsidRPr="0026043A" w:rsidP="000F0E00">
            <w:pPr>
              <w:spacing w:after="120"/>
              <w:rPr>
                <w:bCs/>
                <w:snapToGrid/>
                <w:color w:val="000000"/>
                <w:kern w:val="0"/>
                <w:szCs w:val="22"/>
              </w:rPr>
            </w:pPr>
            <w:r>
              <w:rPr>
                <w:bCs/>
                <w:snapToGrid/>
                <w:color w:val="000000"/>
                <w:kern w:val="0"/>
                <w:szCs w:val="22"/>
              </w:rPr>
              <w:t>34975</w:t>
            </w:r>
          </w:p>
        </w:tc>
        <w:tc>
          <w:tcPr>
            <w:tcW w:w="1060" w:type="dxa"/>
            <w:shd w:val="clear" w:color="auto" w:fill="auto"/>
            <w:vAlign w:val="bottom"/>
          </w:tcPr>
          <w:p w:rsidR="000F0E00" w:rsidRPr="0026043A" w:rsidP="000F0E00">
            <w:pPr>
              <w:spacing w:after="120"/>
              <w:rPr>
                <w:bCs/>
                <w:snapToGrid/>
                <w:color w:val="000000"/>
                <w:kern w:val="0"/>
                <w:szCs w:val="22"/>
              </w:rPr>
            </w:pPr>
            <w:r w:rsidRPr="0026043A">
              <w:rPr>
                <w:bCs/>
                <w:snapToGrid/>
                <w:color w:val="000000"/>
                <w:kern w:val="0"/>
                <w:szCs w:val="22"/>
              </w:rPr>
              <w:t>BAL</w:t>
            </w:r>
          </w:p>
        </w:tc>
        <w:tc>
          <w:tcPr>
            <w:tcW w:w="1634" w:type="dxa"/>
            <w:shd w:val="clear" w:color="auto" w:fill="auto"/>
            <w:vAlign w:val="bottom"/>
          </w:tcPr>
          <w:p w:rsidR="000F0E00" w:rsidRPr="0026043A" w:rsidP="000F0E00">
            <w:pPr>
              <w:spacing w:after="120"/>
              <w:rPr>
                <w:bCs/>
                <w:snapToGrid/>
                <w:color w:val="000000"/>
                <w:kern w:val="0"/>
                <w:szCs w:val="22"/>
              </w:rPr>
            </w:pPr>
            <w:r>
              <w:rPr>
                <w:bCs/>
                <w:snapToGrid/>
                <w:color w:val="000000"/>
                <w:kern w:val="0"/>
                <w:szCs w:val="22"/>
              </w:rPr>
              <w:t>20171211ADR</w:t>
            </w:r>
          </w:p>
        </w:tc>
      </w:tr>
      <w:tr w:rsidTr="000F0E00">
        <w:tblPrEx>
          <w:tblW w:w="0" w:type="auto"/>
          <w:tblLayout w:type="fixed"/>
          <w:tblLook w:val="04A0"/>
        </w:tblPrEx>
        <w:tc>
          <w:tcPr>
            <w:tcW w:w="1409" w:type="dxa"/>
            <w:shd w:val="clear" w:color="auto" w:fill="auto"/>
            <w:vAlign w:val="bottom"/>
          </w:tcPr>
          <w:p w:rsidR="00C01DAB" w:rsidP="000F0E00">
            <w:pPr>
              <w:spacing w:after="120"/>
              <w:rPr>
                <w:bCs/>
                <w:snapToGrid/>
                <w:color w:val="000000"/>
                <w:kern w:val="0"/>
                <w:szCs w:val="22"/>
              </w:rPr>
            </w:pPr>
            <w:r>
              <w:rPr>
                <w:bCs/>
                <w:snapToGrid/>
                <w:color w:val="000000"/>
                <w:kern w:val="0"/>
                <w:szCs w:val="22"/>
              </w:rPr>
              <w:t>KNTH</w:t>
            </w:r>
          </w:p>
        </w:tc>
        <w:tc>
          <w:tcPr>
            <w:tcW w:w="901" w:type="dxa"/>
            <w:shd w:val="clear" w:color="auto" w:fill="auto"/>
            <w:vAlign w:val="bottom"/>
          </w:tcPr>
          <w:p w:rsidR="00C01DAB" w:rsidP="000F0E00">
            <w:pPr>
              <w:spacing w:after="120"/>
              <w:rPr>
                <w:bCs/>
                <w:snapToGrid/>
                <w:color w:val="000000"/>
                <w:kern w:val="0"/>
                <w:szCs w:val="22"/>
              </w:rPr>
            </w:pPr>
            <w:r>
              <w:rPr>
                <w:bCs/>
                <w:snapToGrid/>
                <w:color w:val="000000"/>
                <w:kern w:val="0"/>
                <w:szCs w:val="22"/>
              </w:rPr>
              <w:t>AM</w:t>
            </w:r>
          </w:p>
        </w:tc>
        <w:tc>
          <w:tcPr>
            <w:tcW w:w="2365" w:type="dxa"/>
            <w:shd w:val="clear" w:color="auto" w:fill="auto"/>
            <w:vAlign w:val="bottom"/>
          </w:tcPr>
          <w:p w:rsidR="00C01DAB" w:rsidP="000F0E00">
            <w:pPr>
              <w:spacing w:after="120"/>
              <w:rPr>
                <w:bCs/>
                <w:snapToGrid/>
                <w:color w:val="000000"/>
                <w:kern w:val="0"/>
                <w:szCs w:val="22"/>
              </w:rPr>
            </w:pPr>
            <w:r>
              <w:rPr>
                <w:bCs/>
                <w:snapToGrid/>
                <w:color w:val="000000"/>
                <w:kern w:val="0"/>
                <w:szCs w:val="22"/>
              </w:rPr>
              <w:t>HOUSTON</w:t>
            </w:r>
          </w:p>
        </w:tc>
        <w:tc>
          <w:tcPr>
            <w:tcW w:w="720" w:type="dxa"/>
            <w:shd w:val="clear" w:color="auto" w:fill="auto"/>
            <w:vAlign w:val="bottom"/>
          </w:tcPr>
          <w:p w:rsidR="00C01DAB" w:rsidP="000F0E00">
            <w:pPr>
              <w:spacing w:after="120"/>
              <w:rPr>
                <w:bCs/>
                <w:snapToGrid/>
                <w:color w:val="000000"/>
                <w:kern w:val="0"/>
                <w:szCs w:val="22"/>
              </w:rPr>
            </w:pPr>
            <w:r>
              <w:rPr>
                <w:bCs/>
                <w:snapToGrid/>
                <w:color w:val="000000"/>
                <w:kern w:val="0"/>
                <w:szCs w:val="22"/>
              </w:rPr>
              <w:t>TX</w:t>
            </w:r>
          </w:p>
        </w:tc>
        <w:tc>
          <w:tcPr>
            <w:tcW w:w="1261" w:type="dxa"/>
            <w:shd w:val="clear" w:color="auto" w:fill="auto"/>
            <w:vAlign w:val="bottom"/>
          </w:tcPr>
          <w:p w:rsidR="00C01DAB" w:rsidP="000F0E00">
            <w:pPr>
              <w:spacing w:after="120"/>
              <w:rPr>
                <w:bCs/>
                <w:snapToGrid/>
                <w:color w:val="000000"/>
                <w:kern w:val="0"/>
                <w:szCs w:val="22"/>
              </w:rPr>
            </w:pPr>
            <w:r>
              <w:rPr>
                <w:bCs/>
                <w:snapToGrid/>
                <w:color w:val="000000"/>
                <w:kern w:val="0"/>
                <w:szCs w:val="22"/>
              </w:rPr>
              <w:t>61174</w:t>
            </w:r>
          </w:p>
        </w:tc>
        <w:tc>
          <w:tcPr>
            <w:tcW w:w="1060" w:type="dxa"/>
            <w:shd w:val="clear" w:color="auto" w:fill="auto"/>
            <w:vAlign w:val="bottom"/>
          </w:tcPr>
          <w:p w:rsidR="00C01DAB" w:rsidRPr="0026043A" w:rsidP="000F0E00">
            <w:pPr>
              <w:spacing w:after="120"/>
              <w:rPr>
                <w:bCs/>
                <w:snapToGrid/>
                <w:color w:val="000000"/>
                <w:kern w:val="0"/>
                <w:szCs w:val="22"/>
              </w:rPr>
            </w:pPr>
            <w:r>
              <w:rPr>
                <w:bCs/>
                <w:snapToGrid/>
                <w:color w:val="000000"/>
                <w:kern w:val="0"/>
                <w:szCs w:val="22"/>
              </w:rPr>
              <w:t>BAL</w:t>
            </w:r>
          </w:p>
        </w:tc>
        <w:tc>
          <w:tcPr>
            <w:tcW w:w="1634" w:type="dxa"/>
            <w:shd w:val="clear" w:color="auto" w:fill="auto"/>
            <w:vAlign w:val="bottom"/>
          </w:tcPr>
          <w:p w:rsidR="00C01DAB" w:rsidP="000F0E00">
            <w:pPr>
              <w:spacing w:after="120"/>
              <w:rPr>
                <w:bCs/>
                <w:snapToGrid/>
                <w:color w:val="000000"/>
                <w:kern w:val="0"/>
                <w:szCs w:val="22"/>
              </w:rPr>
            </w:pPr>
            <w:r>
              <w:rPr>
                <w:bCs/>
                <w:snapToGrid/>
                <w:color w:val="000000"/>
                <w:kern w:val="0"/>
                <w:szCs w:val="22"/>
              </w:rPr>
              <w:t>20171211ADS</w:t>
            </w:r>
          </w:p>
        </w:tc>
      </w:tr>
      <w:tr w:rsidTr="000F0E00">
        <w:tblPrEx>
          <w:tblW w:w="0" w:type="auto"/>
          <w:tblLayout w:type="fixed"/>
          <w:tblLook w:val="04A0"/>
        </w:tblPrEx>
        <w:tc>
          <w:tcPr>
            <w:tcW w:w="1409" w:type="dxa"/>
            <w:shd w:val="clear" w:color="auto" w:fill="auto"/>
            <w:vAlign w:val="bottom"/>
          </w:tcPr>
          <w:p w:rsidR="00C01DAB" w:rsidP="000F0E00">
            <w:pPr>
              <w:spacing w:after="120"/>
              <w:rPr>
                <w:bCs/>
                <w:snapToGrid/>
                <w:color w:val="000000"/>
                <w:kern w:val="0"/>
                <w:szCs w:val="22"/>
              </w:rPr>
            </w:pPr>
            <w:r>
              <w:rPr>
                <w:bCs/>
                <w:snapToGrid/>
                <w:color w:val="000000"/>
                <w:kern w:val="0"/>
                <w:szCs w:val="22"/>
              </w:rPr>
              <w:t>KRDY</w:t>
            </w:r>
          </w:p>
        </w:tc>
        <w:tc>
          <w:tcPr>
            <w:tcW w:w="901" w:type="dxa"/>
            <w:shd w:val="clear" w:color="auto" w:fill="auto"/>
            <w:vAlign w:val="bottom"/>
          </w:tcPr>
          <w:p w:rsidR="00C01DAB" w:rsidP="000F0E00">
            <w:pPr>
              <w:spacing w:after="120"/>
              <w:rPr>
                <w:bCs/>
                <w:snapToGrid/>
                <w:color w:val="000000"/>
                <w:kern w:val="0"/>
                <w:szCs w:val="22"/>
              </w:rPr>
            </w:pPr>
            <w:r>
              <w:rPr>
                <w:bCs/>
                <w:snapToGrid/>
                <w:color w:val="000000"/>
                <w:kern w:val="0"/>
                <w:szCs w:val="22"/>
              </w:rPr>
              <w:t>AM</w:t>
            </w:r>
          </w:p>
        </w:tc>
        <w:tc>
          <w:tcPr>
            <w:tcW w:w="2365" w:type="dxa"/>
            <w:shd w:val="clear" w:color="auto" w:fill="auto"/>
            <w:vAlign w:val="bottom"/>
          </w:tcPr>
          <w:p w:rsidR="00C01DAB" w:rsidP="000F0E00">
            <w:pPr>
              <w:spacing w:after="120"/>
              <w:rPr>
                <w:bCs/>
                <w:snapToGrid/>
                <w:color w:val="000000"/>
                <w:kern w:val="0"/>
                <w:szCs w:val="22"/>
              </w:rPr>
            </w:pPr>
            <w:r>
              <w:rPr>
                <w:bCs/>
                <w:snapToGrid/>
                <w:color w:val="000000"/>
                <w:kern w:val="0"/>
                <w:szCs w:val="22"/>
              </w:rPr>
              <w:t>SAN ANTONIO</w:t>
            </w:r>
          </w:p>
        </w:tc>
        <w:tc>
          <w:tcPr>
            <w:tcW w:w="720" w:type="dxa"/>
            <w:shd w:val="clear" w:color="auto" w:fill="auto"/>
            <w:vAlign w:val="bottom"/>
          </w:tcPr>
          <w:p w:rsidR="00C01DAB" w:rsidP="000F0E00">
            <w:pPr>
              <w:spacing w:after="120"/>
              <w:rPr>
                <w:bCs/>
                <w:snapToGrid/>
                <w:color w:val="000000"/>
                <w:kern w:val="0"/>
                <w:szCs w:val="22"/>
              </w:rPr>
            </w:pPr>
            <w:r>
              <w:rPr>
                <w:bCs/>
                <w:snapToGrid/>
                <w:color w:val="000000"/>
                <w:kern w:val="0"/>
                <w:szCs w:val="22"/>
              </w:rPr>
              <w:t>TX</w:t>
            </w:r>
          </w:p>
        </w:tc>
        <w:tc>
          <w:tcPr>
            <w:tcW w:w="1261" w:type="dxa"/>
            <w:shd w:val="clear" w:color="auto" w:fill="auto"/>
            <w:vAlign w:val="bottom"/>
          </w:tcPr>
          <w:p w:rsidR="00C01DAB" w:rsidP="000F0E00">
            <w:pPr>
              <w:spacing w:after="120"/>
              <w:rPr>
                <w:bCs/>
                <w:snapToGrid/>
                <w:color w:val="000000"/>
                <w:kern w:val="0"/>
                <w:szCs w:val="22"/>
              </w:rPr>
            </w:pPr>
            <w:r>
              <w:rPr>
                <w:bCs/>
                <w:snapToGrid/>
                <w:color w:val="000000"/>
                <w:kern w:val="0"/>
                <w:szCs w:val="22"/>
              </w:rPr>
              <w:t>26310</w:t>
            </w:r>
          </w:p>
        </w:tc>
        <w:tc>
          <w:tcPr>
            <w:tcW w:w="1060" w:type="dxa"/>
            <w:shd w:val="clear" w:color="auto" w:fill="auto"/>
            <w:vAlign w:val="bottom"/>
          </w:tcPr>
          <w:p w:rsidR="00C01DAB" w:rsidRPr="0026043A" w:rsidP="000F0E00">
            <w:pPr>
              <w:spacing w:after="120"/>
              <w:rPr>
                <w:bCs/>
                <w:snapToGrid/>
                <w:color w:val="000000"/>
                <w:kern w:val="0"/>
                <w:szCs w:val="22"/>
              </w:rPr>
            </w:pPr>
            <w:r>
              <w:rPr>
                <w:bCs/>
                <w:snapToGrid/>
                <w:color w:val="000000"/>
                <w:kern w:val="0"/>
                <w:szCs w:val="22"/>
              </w:rPr>
              <w:t>BAL</w:t>
            </w:r>
          </w:p>
        </w:tc>
        <w:tc>
          <w:tcPr>
            <w:tcW w:w="1634" w:type="dxa"/>
            <w:shd w:val="clear" w:color="auto" w:fill="auto"/>
            <w:vAlign w:val="bottom"/>
          </w:tcPr>
          <w:p w:rsidR="00C01DAB" w:rsidP="000F0E00">
            <w:pPr>
              <w:spacing w:after="120"/>
              <w:rPr>
                <w:bCs/>
                <w:snapToGrid/>
                <w:color w:val="000000"/>
                <w:kern w:val="0"/>
                <w:szCs w:val="22"/>
              </w:rPr>
            </w:pPr>
            <w:r>
              <w:rPr>
                <w:bCs/>
                <w:snapToGrid/>
                <w:color w:val="000000"/>
                <w:kern w:val="0"/>
                <w:szCs w:val="22"/>
              </w:rPr>
              <w:t>20171211ADT</w:t>
            </w:r>
          </w:p>
        </w:tc>
      </w:tr>
      <w:tr w:rsidTr="000F0E00">
        <w:tblPrEx>
          <w:tblW w:w="0" w:type="auto"/>
          <w:tblLayout w:type="fixed"/>
          <w:tblLook w:val="04A0"/>
        </w:tblPrEx>
        <w:tc>
          <w:tcPr>
            <w:tcW w:w="1409" w:type="dxa"/>
            <w:shd w:val="clear" w:color="auto" w:fill="auto"/>
            <w:vAlign w:val="bottom"/>
          </w:tcPr>
          <w:p w:rsidR="00C01DAB" w:rsidP="000F0E00">
            <w:pPr>
              <w:spacing w:after="120"/>
              <w:rPr>
                <w:bCs/>
                <w:snapToGrid/>
                <w:color w:val="000000"/>
                <w:kern w:val="0"/>
                <w:szCs w:val="22"/>
              </w:rPr>
            </w:pPr>
            <w:r>
              <w:rPr>
                <w:bCs/>
                <w:snapToGrid/>
                <w:color w:val="000000"/>
                <w:kern w:val="0"/>
                <w:szCs w:val="22"/>
              </w:rPr>
              <w:t>KTEK</w:t>
            </w:r>
          </w:p>
        </w:tc>
        <w:tc>
          <w:tcPr>
            <w:tcW w:w="901" w:type="dxa"/>
            <w:shd w:val="clear" w:color="auto" w:fill="auto"/>
            <w:vAlign w:val="bottom"/>
          </w:tcPr>
          <w:p w:rsidR="00C01DAB" w:rsidP="000F0E00">
            <w:pPr>
              <w:spacing w:after="120"/>
              <w:rPr>
                <w:bCs/>
                <w:snapToGrid/>
                <w:color w:val="000000"/>
                <w:kern w:val="0"/>
                <w:szCs w:val="22"/>
              </w:rPr>
            </w:pPr>
            <w:r>
              <w:rPr>
                <w:bCs/>
                <w:snapToGrid/>
                <w:color w:val="000000"/>
                <w:kern w:val="0"/>
                <w:szCs w:val="22"/>
              </w:rPr>
              <w:t>AM</w:t>
            </w:r>
          </w:p>
        </w:tc>
        <w:tc>
          <w:tcPr>
            <w:tcW w:w="2365" w:type="dxa"/>
            <w:shd w:val="clear" w:color="auto" w:fill="auto"/>
            <w:vAlign w:val="bottom"/>
          </w:tcPr>
          <w:p w:rsidR="00C01DAB" w:rsidP="000F0E00">
            <w:pPr>
              <w:spacing w:after="120"/>
              <w:rPr>
                <w:bCs/>
                <w:snapToGrid/>
                <w:color w:val="000000"/>
                <w:kern w:val="0"/>
                <w:szCs w:val="22"/>
              </w:rPr>
            </w:pPr>
            <w:r>
              <w:rPr>
                <w:bCs/>
                <w:snapToGrid/>
                <w:color w:val="000000"/>
                <w:kern w:val="0"/>
                <w:szCs w:val="22"/>
              </w:rPr>
              <w:t>ALVIN</w:t>
            </w:r>
          </w:p>
        </w:tc>
        <w:tc>
          <w:tcPr>
            <w:tcW w:w="720" w:type="dxa"/>
            <w:shd w:val="clear" w:color="auto" w:fill="auto"/>
            <w:vAlign w:val="bottom"/>
          </w:tcPr>
          <w:p w:rsidR="00C01DAB" w:rsidP="000F0E00">
            <w:pPr>
              <w:spacing w:after="120"/>
              <w:rPr>
                <w:bCs/>
                <w:snapToGrid/>
                <w:color w:val="000000"/>
                <w:kern w:val="0"/>
                <w:szCs w:val="22"/>
              </w:rPr>
            </w:pPr>
            <w:r>
              <w:rPr>
                <w:bCs/>
                <w:snapToGrid/>
                <w:color w:val="000000"/>
                <w:kern w:val="0"/>
                <w:szCs w:val="22"/>
              </w:rPr>
              <w:t>TX</w:t>
            </w:r>
          </w:p>
        </w:tc>
        <w:tc>
          <w:tcPr>
            <w:tcW w:w="1261" w:type="dxa"/>
            <w:shd w:val="clear" w:color="auto" w:fill="auto"/>
            <w:vAlign w:val="bottom"/>
          </w:tcPr>
          <w:p w:rsidR="00C01DAB" w:rsidP="000F0E00">
            <w:pPr>
              <w:spacing w:after="120"/>
              <w:rPr>
                <w:bCs/>
                <w:snapToGrid/>
                <w:color w:val="000000"/>
                <w:kern w:val="0"/>
                <w:szCs w:val="22"/>
              </w:rPr>
            </w:pPr>
            <w:r>
              <w:rPr>
                <w:bCs/>
                <w:snapToGrid/>
                <w:color w:val="000000"/>
                <w:kern w:val="0"/>
                <w:szCs w:val="22"/>
              </w:rPr>
              <w:t>10827</w:t>
            </w:r>
          </w:p>
        </w:tc>
        <w:tc>
          <w:tcPr>
            <w:tcW w:w="1060" w:type="dxa"/>
            <w:shd w:val="clear" w:color="auto" w:fill="auto"/>
            <w:vAlign w:val="bottom"/>
          </w:tcPr>
          <w:p w:rsidR="00C01DAB" w:rsidRPr="0026043A" w:rsidP="000F0E00">
            <w:pPr>
              <w:spacing w:after="120"/>
              <w:rPr>
                <w:bCs/>
                <w:snapToGrid/>
                <w:color w:val="000000"/>
                <w:kern w:val="0"/>
                <w:szCs w:val="22"/>
              </w:rPr>
            </w:pPr>
            <w:r>
              <w:rPr>
                <w:bCs/>
                <w:snapToGrid/>
                <w:color w:val="000000"/>
                <w:kern w:val="0"/>
                <w:szCs w:val="22"/>
              </w:rPr>
              <w:t>BAL</w:t>
            </w:r>
          </w:p>
        </w:tc>
        <w:tc>
          <w:tcPr>
            <w:tcW w:w="1634" w:type="dxa"/>
            <w:shd w:val="clear" w:color="auto" w:fill="auto"/>
            <w:vAlign w:val="bottom"/>
          </w:tcPr>
          <w:p w:rsidR="00C01DAB" w:rsidP="000F0E00">
            <w:pPr>
              <w:spacing w:after="120"/>
              <w:rPr>
                <w:bCs/>
                <w:snapToGrid/>
                <w:color w:val="000000"/>
                <w:kern w:val="0"/>
                <w:szCs w:val="22"/>
              </w:rPr>
            </w:pPr>
            <w:r>
              <w:rPr>
                <w:bCs/>
                <w:snapToGrid/>
                <w:color w:val="000000"/>
                <w:kern w:val="0"/>
                <w:szCs w:val="22"/>
              </w:rPr>
              <w:t>20171211ADU</w:t>
            </w:r>
          </w:p>
        </w:tc>
      </w:tr>
      <w:tr w:rsidTr="000F0E00">
        <w:tblPrEx>
          <w:tblW w:w="0" w:type="auto"/>
          <w:tblLayout w:type="fixed"/>
          <w:tblLook w:val="04A0"/>
        </w:tblPrEx>
        <w:tc>
          <w:tcPr>
            <w:tcW w:w="1409" w:type="dxa"/>
            <w:shd w:val="clear" w:color="auto" w:fill="auto"/>
            <w:vAlign w:val="bottom"/>
          </w:tcPr>
          <w:p w:rsidR="00C01DAB" w:rsidP="000F0E00">
            <w:pPr>
              <w:spacing w:after="120"/>
              <w:rPr>
                <w:bCs/>
                <w:snapToGrid/>
                <w:color w:val="000000"/>
                <w:kern w:val="0"/>
                <w:szCs w:val="22"/>
              </w:rPr>
            </w:pPr>
            <w:r>
              <w:rPr>
                <w:bCs/>
                <w:snapToGrid/>
                <w:color w:val="000000"/>
                <w:kern w:val="0"/>
                <w:szCs w:val="22"/>
              </w:rPr>
              <w:t>WAFS</w:t>
            </w:r>
          </w:p>
        </w:tc>
        <w:tc>
          <w:tcPr>
            <w:tcW w:w="901" w:type="dxa"/>
            <w:shd w:val="clear" w:color="auto" w:fill="auto"/>
            <w:vAlign w:val="bottom"/>
          </w:tcPr>
          <w:p w:rsidR="00C01DAB" w:rsidP="000F0E00">
            <w:pPr>
              <w:spacing w:after="120"/>
              <w:rPr>
                <w:bCs/>
                <w:snapToGrid/>
                <w:color w:val="000000"/>
                <w:kern w:val="0"/>
                <w:szCs w:val="22"/>
              </w:rPr>
            </w:pPr>
            <w:r>
              <w:rPr>
                <w:bCs/>
                <w:snapToGrid/>
                <w:color w:val="000000"/>
                <w:kern w:val="0"/>
                <w:szCs w:val="22"/>
              </w:rPr>
              <w:t>AM</w:t>
            </w:r>
          </w:p>
        </w:tc>
        <w:tc>
          <w:tcPr>
            <w:tcW w:w="2365" w:type="dxa"/>
            <w:shd w:val="clear" w:color="auto" w:fill="auto"/>
            <w:vAlign w:val="bottom"/>
          </w:tcPr>
          <w:p w:rsidR="00C01DAB" w:rsidP="000F0E00">
            <w:pPr>
              <w:spacing w:after="120"/>
              <w:rPr>
                <w:bCs/>
                <w:snapToGrid/>
                <w:color w:val="000000"/>
                <w:kern w:val="0"/>
                <w:szCs w:val="22"/>
              </w:rPr>
            </w:pPr>
            <w:r>
              <w:rPr>
                <w:bCs/>
                <w:snapToGrid/>
                <w:color w:val="000000"/>
                <w:kern w:val="0"/>
                <w:szCs w:val="22"/>
              </w:rPr>
              <w:t>ATLANTA</w:t>
            </w:r>
          </w:p>
        </w:tc>
        <w:tc>
          <w:tcPr>
            <w:tcW w:w="720" w:type="dxa"/>
            <w:shd w:val="clear" w:color="auto" w:fill="auto"/>
            <w:vAlign w:val="bottom"/>
          </w:tcPr>
          <w:p w:rsidR="00C01DAB" w:rsidP="000F0E00">
            <w:pPr>
              <w:spacing w:after="120"/>
              <w:rPr>
                <w:bCs/>
                <w:snapToGrid/>
                <w:color w:val="000000"/>
                <w:kern w:val="0"/>
                <w:szCs w:val="22"/>
              </w:rPr>
            </w:pPr>
            <w:r>
              <w:rPr>
                <w:bCs/>
                <w:snapToGrid/>
                <w:color w:val="000000"/>
                <w:kern w:val="0"/>
                <w:szCs w:val="22"/>
              </w:rPr>
              <w:t>GA</w:t>
            </w:r>
          </w:p>
        </w:tc>
        <w:tc>
          <w:tcPr>
            <w:tcW w:w="1261" w:type="dxa"/>
            <w:shd w:val="clear" w:color="auto" w:fill="auto"/>
            <w:vAlign w:val="bottom"/>
          </w:tcPr>
          <w:p w:rsidR="00C01DAB" w:rsidP="000F0E00">
            <w:pPr>
              <w:spacing w:after="120"/>
              <w:rPr>
                <w:bCs/>
                <w:snapToGrid/>
                <w:color w:val="000000"/>
                <w:kern w:val="0"/>
                <w:szCs w:val="22"/>
              </w:rPr>
            </w:pPr>
            <w:r>
              <w:rPr>
                <w:bCs/>
                <w:snapToGrid/>
                <w:color w:val="000000"/>
                <w:kern w:val="0"/>
                <w:szCs w:val="22"/>
              </w:rPr>
              <w:t>72111</w:t>
            </w:r>
          </w:p>
        </w:tc>
        <w:tc>
          <w:tcPr>
            <w:tcW w:w="1060" w:type="dxa"/>
            <w:shd w:val="clear" w:color="auto" w:fill="auto"/>
            <w:vAlign w:val="bottom"/>
          </w:tcPr>
          <w:p w:rsidR="00C01DAB" w:rsidRPr="0026043A" w:rsidP="000F0E00">
            <w:pPr>
              <w:spacing w:after="120"/>
              <w:rPr>
                <w:bCs/>
                <w:snapToGrid/>
                <w:color w:val="000000"/>
                <w:kern w:val="0"/>
                <w:szCs w:val="22"/>
              </w:rPr>
            </w:pPr>
            <w:r>
              <w:rPr>
                <w:bCs/>
                <w:snapToGrid/>
                <w:color w:val="000000"/>
                <w:kern w:val="0"/>
                <w:szCs w:val="22"/>
              </w:rPr>
              <w:t>BAL</w:t>
            </w:r>
          </w:p>
        </w:tc>
        <w:tc>
          <w:tcPr>
            <w:tcW w:w="1634" w:type="dxa"/>
            <w:shd w:val="clear" w:color="auto" w:fill="auto"/>
            <w:vAlign w:val="bottom"/>
          </w:tcPr>
          <w:p w:rsidR="00C01DAB" w:rsidP="000F0E00">
            <w:pPr>
              <w:spacing w:after="120"/>
              <w:rPr>
                <w:bCs/>
                <w:snapToGrid/>
                <w:color w:val="000000"/>
                <w:kern w:val="0"/>
                <w:szCs w:val="22"/>
              </w:rPr>
            </w:pPr>
            <w:r>
              <w:rPr>
                <w:bCs/>
                <w:snapToGrid/>
                <w:color w:val="000000"/>
                <w:kern w:val="0"/>
                <w:szCs w:val="22"/>
              </w:rPr>
              <w:t>20171211ADV</w:t>
            </w:r>
          </w:p>
        </w:tc>
      </w:tr>
      <w:tr w:rsidTr="000F0E00">
        <w:tblPrEx>
          <w:tblW w:w="0" w:type="auto"/>
          <w:tblLayout w:type="fixed"/>
          <w:tblLook w:val="04A0"/>
        </w:tblPrEx>
        <w:tc>
          <w:tcPr>
            <w:tcW w:w="1409" w:type="dxa"/>
            <w:shd w:val="clear" w:color="auto" w:fill="auto"/>
            <w:vAlign w:val="bottom"/>
          </w:tcPr>
          <w:p w:rsidR="00C01DAB" w:rsidP="000F0E00">
            <w:pPr>
              <w:spacing w:after="120"/>
              <w:rPr>
                <w:bCs/>
                <w:snapToGrid/>
                <w:color w:val="000000"/>
                <w:kern w:val="0"/>
                <w:szCs w:val="22"/>
              </w:rPr>
            </w:pPr>
            <w:r>
              <w:rPr>
                <w:bCs/>
                <w:snapToGrid/>
                <w:color w:val="000000"/>
                <w:kern w:val="0"/>
                <w:szCs w:val="22"/>
              </w:rPr>
              <w:t>WDWD</w:t>
            </w:r>
          </w:p>
        </w:tc>
        <w:tc>
          <w:tcPr>
            <w:tcW w:w="901" w:type="dxa"/>
            <w:shd w:val="clear" w:color="auto" w:fill="auto"/>
            <w:vAlign w:val="bottom"/>
          </w:tcPr>
          <w:p w:rsidR="00C01DAB" w:rsidP="000F0E00">
            <w:pPr>
              <w:spacing w:after="120"/>
              <w:rPr>
                <w:bCs/>
                <w:snapToGrid/>
                <w:color w:val="000000"/>
                <w:kern w:val="0"/>
                <w:szCs w:val="22"/>
              </w:rPr>
            </w:pPr>
            <w:r>
              <w:rPr>
                <w:bCs/>
                <w:snapToGrid/>
                <w:color w:val="000000"/>
                <w:kern w:val="0"/>
                <w:szCs w:val="22"/>
              </w:rPr>
              <w:t>AM</w:t>
            </w:r>
          </w:p>
        </w:tc>
        <w:tc>
          <w:tcPr>
            <w:tcW w:w="2365" w:type="dxa"/>
            <w:shd w:val="clear" w:color="auto" w:fill="auto"/>
            <w:vAlign w:val="bottom"/>
          </w:tcPr>
          <w:p w:rsidR="00C01DAB" w:rsidP="000F0E00">
            <w:pPr>
              <w:spacing w:after="120"/>
              <w:rPr>
                <w:bCs/>
                <w:snapToGrid/>
                <w:color w:val="000000"/>
                <w:kern w:val="0"/>
                <w:szCs w:val="22"/>
              </w:rPr>
            </w:pPr>
            <w:r>
              <w:rPr>
                <w:bCs/>
                <w:snapToGrid/>
                <w:color w:val="000000"/>
                <w:kern w:val="0"/>
                <w:szCs w:val="22"/>
              </w:rPr>
              <w:t>ATLANTA</w:t>
            </w:r>
          </w:p>
        </w:tc>
        <w:tc>
          <w:tcPr>
            <w:tcW w:w="720" w:type="dxa"/>
            <w:shd w:val="clear" w:color="auto" w:fill="auto"/>
            <w:vAlign w:val="bottom"/>
          </w:tcPr>
          <w:p w:rsidR="00C01DAB" w:rsidP="000F0E00">
            <w:pPr>
              <w:spacing w:after="120"/>
              <w:rPr>
                <w:bCs/>
                <w:snapToGrid/>
                <w:color w:val="000000"/>
                <w:kern w:val="0"/>
                <w:szCs w:val="22"/>
              </w:rPr>
            </w:pPr>
            <w:r>
              <w:rPr>
                <w:bCs/>
                <w:snapToGrid/>
                <w:color w:val="000000"/>
                <w:kern w:val="0"/>
                <w:szCs w:val="22"/>
              </w:rPr>
              <w:t>GA</w:t>
            </w:r>
          </w:p>
        </w:tc>
        <w:tc>
          <w:tcPr>
            <w:tcW w:w="1261" w:type="dxa"/>
            <w:shd w:val="clear" w:color="auto" w:fill="auto"/>
            <w:vAlign w:val="bottom"/>
          </w:tcPr>
          <w:p w:rsidR="00C01DAB" w:rsidP="000F0E00">
            <w:pPr>
              <w:spacing w:after="120"/>
              <w:rPr>
                <w:bCs/>
                <w:snapToGrid/>
                <w:color w:val="000000"/>
                <w:kern w:val="0"/>
                <w:szCs w:val="22"/>
              </w:rPr>
            </w:pPr>
            <w:r>
              <w:rPr>
                <w:bCs/>
                <w:snapToGrid/>
                <w:color w:val="000000"/>
                <w:kern w:val="0"/>
                <w:szCs w:val="22"/>
              </w:rPr>
              <w:t>8623</w:t>
            </w:r>
          </w:p>
        </w:tc>
        <w:tc>
          <w:tcPr>
            <w:tcW w:w="1060" w:type="dxa"/>
            <w:shd w:val="clear" w:color="auto" w:fill="auto"/>
            <w:vAlign w:val="bottom"/>
          </w:tcPr>
          <w:p w:rsidR="00C01DAB" w:rsidRPr="0026043A" w:rsidP="000F0E00">
            <w:pPr>
              <w:spacing w:after="120"/>
              <w:rPr>
                <w:bCs/>
                <w:snapToGrid/>
                <w:color w:val="000000"/>
                <w:kern w:val="0"/>
                <w:szCs w:val="22"/>
              </w:rPr>
            </w:pPr>
            <w:r>
              <w:rPr>
                <w:bCs/>
                <w:snapToGrid/>
                <w:color w:val="000000"/>
                <w:kern w:val="0"/>
                <w:szCs w:val="22"/>
              </w:rPr>
              <w:t>BAL</w:t>
            </w:r>
          </w:p>
        </w:tc>
        <w:tc>
          <w:tcPr>
            <w:tcW w:w="1634" w:type="dxa"/>
            <w:shd w:val="clear" w:color="auto" w:fill="auto"/>
            <w:vAlign w:val="bottom"/>
          </w:tcPr>
          <w:p w:rsidR="00C01DAB" w:rsidP="000F0E00">
            <w:pPr>
              <w:spacing w:after="120"/>
              <w:rPr>
                <w:bCs/>
                <w:snapToGrid/>
                <w:color w:val="000000"/>
                <w:kern w:val="0"/>
                <w:szCs w:val="22"/>
              </w:rPr>
            </w:pPr>
            <w:r>
              <w:rPr>
                <w:bCs/>
                <w:snapToGrid/>
                <w:color w:val="000000"/>
                <w:kern w:val="0"/>
                <w:szCs w:val="22"/>
              </w:rPr>
              <w:t>20171211ADW</w:t>
            </w:r>
          </w:p>
        </w:tc>
      </w:tr>
      <w:tr w:rsidTr="000F0E00">
        <w:tblPrEx>
          <w:tblW w:w="0" w:type="auto"/>
          <w:tblLayout w:type="fixed"/>
          <w:tblLook w:val="04A0"/>
        </w:tblPrEx>
        <w:tc>
          <w:tcPr>
            <w:tcW w:w="1409" w:type="dxa"/>
            <w:shd w:val="clear" w:color="auto" w:fill="auto"/>
            <w:vAlign w:val="bottom"/>
          </w:tcPr>
          <w:p w:rsidR="00C01DAB" w:rsidP="000F0E00">
            <w:pPr>
              <w:spacing w:after="120"/>
              <w:rPr>
                <w:bCs/>
                <w:snapToGrid/>
                <w:color w:val="000000"/>
                <w:kern w:val="0"/>
                <w:szCs w:val="22"/>
              </w:rPr>
            </w:pPr>
            <w:r>
              <w:rPr>
                <w:bCs/>
                <w:snapToGrid/>
                <w:color w:val="000000"/>
                <w:kern w:val="0"/>
                <w:szCs w:val="22"/>
              </w:rPr>
              <w:t>WFSH-FM</w:t>
            </w:r>
          </w:p>
        </w:tc>
        <w:tc>
          <w:tcPr>
            <w:tcW w:w="901" w:type="dxa"/>
            <w:shd w:val="clear" w:color="auto" w:fill="auto"/>
            <w:vAlign w:val="bottom"/>
          </w:tcPr>
          <w:p w:rsidR="00C01DAB" w:rsidP="000F0E00">
            <w:pPr>
              <w:spacing w:after="120"/>
              <w:rPr>
                <w:bCs/>
                <w:snapToGrid/>
                <w:color w:val="000000"/>
                <w:kern w:val="0"/>
                <w:szCs w:val="22"/>
              </w:rPr>
            </w:pPr>
            <w:r>
              <w:rPr>
                <w:bCs/>
                <w:snapToGrid/>
                <w:color w:val="000000"/>
                <w:kern w:val="0"/>
                <w:szCs w:val="22"/>
              </w:rPr>
              <w:t>FM</w:t>
            </w:r>
          </w:p>
        </w:tc>
        <w:tc>
          <w:tcPr>
            <w:tcW w:w="2365" w:type="dxa"/>
            <w:shd w:val="clear" w:color="auto" w:fill="auto"/>
            <w:vAlign w:val="bottom"/>
          </w:tcPr>
          <w:p w:rsidR="00C01DAB" w:rsidP="000F0E00">
            <w:pPr>
              <w:spacing w:after="120"/>
              <w:rPr>
                <w:bCs/>
                <w:snapToGrid/>
                <w:color w:val="000000"/>
                <w:kern w:val="0"/>
                <w:szCs w:val="22"/>
              </w:rPr>
            </w:pPr>
            <w:r>
              <w:rPr>
                <w:bCs/>
                <w:snapToGrid/>
                <w:color w:val="000000"/>
                <w:kern w:val="0"/>
                <w:szCs w:val="22"/>
              </w:rPr>
              <w:t>ATHENS</w:t>
            </w:r>
          </w:p>
        </w:tc>
        <w:tc>
          <w:tcPr>
            <w:tcW w:w="720" w:type="dxa"/>
            <w:shd w:val="clear" w:color="auto" w:fill="auto"/>
            <w:vAlign w:val="bottom"/>
          </w:tcPr>
          <w:p w:rsidR="00C01DAB" w:rsidP="000F0E00">
            <w:pPr>
              <w:spacing w:after="120"/>
              <w:rPr>
                <w:bCs/>
                <w:snapToGrid/>
                <w:color w:val="000000"/>
                <w:kern w:val="0"/>
                <w:szCs w:val="22"/>
              </w:rPr>
            </w:pPr>
            <w:r>
              <w:rPr>
                <w:bCs/>
                <w:snapToGrid/>
                <w:color w:val="000000"/>
                <w:kern w:val="0"/>
                <w:szCs w:val="22"/>
              </w:rPr>
              <w:t>GA</w:t>
            </w:r>
          </w:p>
        </w:tc>
        <w:tc>
          <w:tcPr>
            <w:tcW w:w="1261" w:type="dxa"/>
            <w:shd w:val="clear" w:color="auto" w:fill="auto"/>
            <w:vAlign w:val="bottom"/>
          </w:tcPr>
          <w:p w:rsidR="00C01DAB" w:rsidP="000F0E00">
            <w:pPr>
              <w:spacing w:after="120"/>
              <w:rPr>
                <w:bCs/>
                <w:snapToGrid/>
                <w:color w:val="000000"/>
                <w:kern w:val="0"/>
                <w:szCs w:val="22"/>
              </w:rPr>
            </w:pPr>
            <w:r>
              <w:rPr>
                <w:bCs/>
                <w:snapToGrid/>
                <w:color w:val="000000"/>
                <w:kern w:val="0"/>
                <w:szCs w:val="22"/>
              </w:rPr>
              <w:t>56390</w:t>
            </w:r>
          </w:p>
        </w:tc>
        <w:tc>
          <w:tcPr>
            <w:tcW w:w="1060" w:type="dxa"/>
            <w:shd w:val="clear" w:color="auto" w:fill="auto"/>
            <w:vAlign w:val="bottom"/>
          </w:tcPr>
          <w:p w:rsidR="00C01DAB" w:rsidRPr="0026043A" w:rsidP="000F0E00">
            <w:pPr>
              <w:spacing w:after="120"/>
              <w:rPr>
                <w:bCs/>
                <w:snapToGrid/>
                <w:color w:val="000000"/>
                <w:kern w:val="0"/>
                <w:szCs w:val="22"/>
              </w:rPr>
            </w:pPr>
            <w:r>
              <w:rPr>
                <w:bCs/>
                <w:snapToGrid/>
                <w:color w:val="000000"/>
                <w:kern w:val="0"/>
                <w:szCs w:val="22"/>
              </w:rPr>
              <w:t>BALH</w:t>
            </w:r>
          </w:p>
        </w:tc>
        <w:tc>
          <w:tcPr>
            <w:tcW w:w="1634" w:type="dxa"/>
            <w:shd w:val="clear" w:color="auto" w:fill="auto"/>
            <w:vAlign w:val="bottom"/>
          </w:tcPr>
          <w:p w:rsidR="00C01DAB" w:rsidP="000F0E00">
            <w:pPr>
              <w:spacing w:after="120"/>
              <w:rPr>
                <w:bCs/>
                <w:snapToGrid/>
                <w:color w:val="000000"/>
                <w:kern w:val="0"/>
                <w:szCs w:val="22"/>
              </w:rPr>
            </w:pPr>
            <w:r>
              <w:rPr>
                <w:bCs/>
                <w:snapToGrid/>
                <w:color w:val="000000"/>
                <w:kern w:val="0"/>
                <w:szCs w:val="22"/>
              </w:rPr>
              <w:t>20171211ADX</w:t>
            </w:r>
          </w:p>
        </w:tc>
      </w:tr>
      <w:tr w:rsidTr="000F0E00">
        <w:tblPrEx>
          <w:tblW w:w="0" w:type="auto"/>
          <w:tblLayout w:type="fixed"/>
          <w:tblLook w:val="04A0"/>
        </w:tblPrEx>
        <w:tc>
          <w:tcPr>
            <w:tcW w:w="1409" w:type="dxa"/>
            <w:shd w:val="clear" w:color="auto" w:fill="auto"/>
            <w:vAlign w:val="bottom"/>
          </w:tcPr>
          <w:p w:rsidR="00C01DAB" w:rsidP="000F0E00">
            <w:pPr>
              <w:spacing w:after="120"/>
              <w:rPr>
                <w:bCs/>
                <w:snapToGrid/>
                <w:color w:val="000000"/>
                <w:kern w:val="0"/>
                <w:szCs w:val="22"/>
              </w:rPr>
            </w:pPr>
            <w:r>
              <w:rPr>
                <w:bCs/>
                <w:snapToGrid/>
                <w:color w:val="000000"/>
                <w:kern w:val="0"/>
                <w:szCs w:val="22"/>
              </w:rPr>
              <w:t>WLCC</w:t>
            </w:r>
          </w:p>
        </w:tc>
        <w:tc>
          <w:tcPr>
            <w:tcW w:w="901" w:type="dxa"/>
            <w:shd w:val="clear" w:color="auto" w:fill="auto"/>
            <w:vAlign w:val="bottom"/>
          </w:tcPr>
          <w:p w:rsidR="00C01DAB" w:rsidP="000F0E00">
            <w:pPr>
              <w:spacing w:after="120"/>
              <w:rPr>
                <w:bCs/>
                <w:snapToGrid/>
                <w:color w:val="000000"/>
                <w:kern w:val="0"/>
                <w:szCs w:val="22"/>
              </w:rPr>
            </w:pPr>
            <w:r>
              <w:rPr>
                <w:bCs/>
                <w:snapToGrid/>
                <w:color w:val="000000"/>
                <w:kern w:val="0"/>
                <w:szCs w:val="22"/>
              </w:rPr>
              <w:t>AM</w:t>
            </w:r>
          </w:p>
        </w:tc>
        <w:tc>
          <w:tcPr>
            <w:tcW w:w="2365" w:type="dxa"/>
            <w:shd w:val="clear" w:color="auto" w:fill="auto"/>
            <w:vAlign w:val="bottom"/>
          </w:tcPr>
          <w:p w:rsidR="00C01DAB" w:rsidP="000F0E00">
            <w:pPr>
              <w:spacing w:after="120"/>
              <w:rPr>
                <w:bCs/>
                <w:snapToGrid/>
                <w:color w:val="000000"/>
                <w:kern w:val="0"/>
                <w:szCs w:val="22"/>
              </w:rPr>
            </w:pPr>
            <w:r>
              <w:rPr>
                <w:bCs/>
                <w:snapToGrid/>
                <w:color w:val="000000"/>
                <w:kern w:val="0"/>
                <w:szCs w:val="22"/>
              </w:rPr>
              <w:t>BRANDON</w:t>
            </w:r>
          </w:p>
        </w:tc>
        <w:tc>
          <w:tcPr>
            <w:tcW w:w="720" w:type="dxa"/>
            <w:shd w:val="clear" w:color="auto" w:fill="auto"/>
            <w:vAlign w:val="bottom"/>
          </w:tcPr>
          <w:p w:rsidR="00C01DAB" w:rsidP="000F0E00">
            <w:pPr>
              <w:spacing w:after="120"/>
              <w:rPr>
                <w:bCs/>
                <w:snapToGrid/>
                <w:color w:val="000000"/>
                <w:kern w:val="0"/>
                <w:szCs w:val="22"/>
              </w:rPr>
            </w:pPr>
            <w:r>
              <w:rPr>
                <w:bCs/>
                <w:snapToGrid/>
                <w:color w:val="000000"/>
                <w:kern w:val="0"/>
                <w:szCs w:val="22"/>
              </w:rPr>
              <w:t>FL</w:t>
            </w:r>
          </w:p>
        </w:tc>
        <w:tc>
          <w:tcPr>
            <w:tcW w:w="1261" w:type="dxa"/>
            <w:shd w:val="clear" w:color="auto" w:fill="auto"/>
            <w:vAlign w:val="bottom"/>
          </w:tcPr>
          <w:p w:rsidR="00C01DAB" w:rsidP="000F0E00">
            <w:pPr>
              <w:spacing w:after="120"/>
              <w:rPr>
                <w:bCs/>
                <w:snapToGrid/>
                <w:color w:val="000000"/>
                <w:kern w:val="0"/>
                <w:szCs w:val="22"/>
              </w:rPr>
            </w:pPr>
            <w:r>
              <w:rPr>
                <w:bCs/>
                <w:snapToGrid/>
                <w:color w:val="000000"/>
                <w:kern w:val="0"/>
                <w:szCs w:val="22"/>
              </w:rPr>
              <w:t>71212</w:t>
            </w:r>
          </w:p>
        </w:tc>
        <w:tc>
          <w:tcPr>
            <w:tcW w:w="1060" w:type="dxa"/>
            <w:shd w:val="clear" w:color="auto" w:fill="auto"/>
            <w:vAlign w:val="bottom"/>
          </w:tcPr>
          <w:p w:rsidR="00C01DAB" w:rsidRPr="0026043A" w:rsidP="000F0E00">
            <w:pPr>
              <w:spacing w:after="120"/>
              <w:rPr>
                <w:bCs/>
                <w:snapToGrid/>
                <w:color w:val="000000"/>
                <w:kern w:val="0"/>
                <w:szCs w:val="22"/>
              </w:rPr>
            </w:pPr>
            <w:r>
              <w:rPr>
                <w:bCs/>
                <w:snapToGrid/>
                <w:color w:val="000000"/>
                <w:kern w:val="0"/>
                <w:szCs w:val="22"/>
              </w:rPr>
              <w:t>BAL</w:t>
            </w:r>
          </w:p>
        </w:tc>
        <w:tc>
          <w:tcPr>
            <w:tcW w:w="1634" w:type="dxa"/>
            <w:shd w:val="clear" w:color="auto" w:fill="auto"/>
            <w:vAlign w:val="bottom"/>
          </w:tcPr>
          <w:p w:rsidR="00C01DAB" w:rsidP="000F0E00">
            <w:pPr>
              <w:spacing w:after="120"/>
              <w:rPr>
                <w:bCs/>
                <w:snapToGrid/>
                <w:color w:val="000000"/>
                <w:kern w:val="0"/>
                <w:szCs w:val="22"/>
              </w:rPr>
            </w:pPr>
            <w:r>
              <w:rPr>
                <w:bCs/>
                <w:snapToGrid/>
                <w:color w:val="000000"/>
                <w:kern w:val="0"/>
                <w:szCs w:val="22"/>
              </w:rPr>
              <w:t>20171211ADY</w:t>
            </w:r>
          </w:p>
        </w:tc>
      </w:tr>
      <w:tr w:rsidTr="000F0E00">
        <w:tblPrEx>
          <w:tblW w:w="0" w:type="auto"/>
          <w:tblLayout w:type="fixed"/>
          <w:tblLook w:val="04A0"/>
        </w:tblPrEx>
        <w:tc>
          <w:tcPr>
            <w:tcW w:w="1409" w:type="dxa"/>
            <w:shd w:val="clear" w:color="auto" w:fill="auto"/>
            <w:vAlign w:val="bottom"/>
          </w:tcPr>
          <w:p w:rsidR="00C01DAB" w:rsidP="000F0E00">
            <w:pPr>
              <w:spacing w:after="120"/>
              <w:rPr>
                <w:bCs/>
                <w:snapToGrid/>
                <w:color w:val="000000"/>
                <w:kern w:val="0"/>
                <w:szCs w:val="22"/>
              </w:rPr>
            </w:pPr>
            <w:r>
              <w:rPr>
                <w:bCs/>
                <w:snapToGrid/>
                <w:color w:val="000000"/>
                <w:kern w:val="0"/>
                <w:szCs w:val="22"/>
              </w:rPr>
              <w:t>WLTA</w:t>
            </w:r>
          </w:p>
        </w:tc>
        <w:tc>
          <w:tcPr>
            <w:tcW w:w="901" w:type="dxa"/>
            <w:shd w:val="clear" w:color="auto" w:fill="auto"/>
            <w:vAlign w:val="bottom"/>
          </w:tcPr>
          <w:p w:rsidR="00C01DAB" w:rsidP="000F0E00">
            <w:pPr>
              <w:spacing w:after="120"/>
              <w:rPr>
                <w:bCs/>
                <w:snapToGrid/>
                <w:color w:val="000000"/>
                <w:kern w:val="0"/>
                <w:szCs w:val="22"/>
              </w:rPr>
            </w:pPr>
            <w:r>
              <w:rPr>
                <w:bCs/>
                <w:snapToGrid/>
                <w:color w:val="000000"/>
                <w:kern w:val="0"/>
                <w:szCs w:val="22"/>
              </w:rPr>
              <w:t>AM</w:t>
            </w:r>
          </w:p>
        </w:tc>
        <w:tc>
          <w:tcPr>
            <w:tcW w:w="2365" w:type="dxa"/>
            <w:shd w:val="clear" w:color="auto" w:fill="auto"/>
            <w:vAlign w:val="bottom"/>
          </w:tcPr>
          <w:p w:rsidR="00C01DAB" w:rsidP="000F0E00">
            <w:pPr>
              <w:spacing w:after="120"/>
              <w:rPr>
                <w:bCs/>
                <w:snapToGrid/>
                <w:color w:val="000000"/>
                <w:kern w:val="0"/>
                <w:szCs w:val="22"/>
              </w:rPr>
            </w:pPr>
            <w:r>
              <w:rPr>
                <w:bCs/>
                <w:snapToGrid/>
                <w:color w:val="000000"/>
                <w:kern w:val="0"/>
                <w:szCs w:val="22"/>
              </w:rPr>
              <w:t>ALPHARETTA</w:t>
            </w:r>
          </w:p>
        </w:tc>
        <w:tc>
          <w:tcPr>
            <w:tcW w:w="720" w:type="dxa"/>
            <w:shd w:val="clear" w:color="auto" w:fill="auto"/>
            <w:vAlign w:val="bottom"/>
          </w:tcPr>
          <w:p w:rsidR="00C01DAB" w:rsidP="000F0E00">
            <w:pPr>
              <w:spacing w:after="120"/>
              <w:rPr>
                <w:bCs/>
                <w:snapToGrid/>
                <w:color w:val="000000"/>
                <w:kern w:val="0"/>
                <w:szCs w:val="22"/>
              </w:rPr>
            </w:pPr>
            <w:r>
              <w:rPr>
                <w:bCs/>
                <w:snapToGrid/>
                <w:color w:val="000000"/>
                <w:kern w:val="0"/>
                <w:szCs w:val="22"/>
              </w:rPr>
              <w:t>GA</w:t>
            </w:r>
          </w:p>
        </w:tc>
        <w:tc>
          <w:tcPr>
            <w:tcW w:w="1261" w:type="dxa"/>
            <w:shd w:val="clear" w:color="auto" w:fill="auto"/>
            <w:vAlign w:val="bottom"/>
          </w:tcPr>
          <w:p w:rsidR="00C01DAB" w:rsidP="000F0E00">
            <w:pPr>
              <w:spacing w:after="120"/>
              <w:rPr>
                <w:bCs/>
                <w:snapToGrid/>
                <w:color w:val="000000"/>
                <w:kern w:val="0"/>
                <w:szCs w:val="22"/>
              </w:rPr>
            </w:pPr>
            <w:r>
              <w:rPr>
                <w:bCs/>
                <w:snapToGrid/>
                <w:color w:val="000000"/>
                <w:kern w:val="0"/>
                <w:szCs w:val="22"/>
              </w:rPr>
              <w:t>42660</w:t>
            </w:r>
          </w:p>
        </w:tc>
        <w:tc>
          <w:tcPr>
            <w:tcW w:w="1060" w:type="dxa"/>
            <w:shd w:val="clear" w:color="auto" w:fill="auto"/>
            <w:vAlign w:val="bottom"/>
          </w:tcPr>
          <w:p w:rsidR="00C01DAB" w:rsidRPr="0026043A" w:rsidP="000F0E00">
            <w:pPr>
              <w:spacing w:after="120"/>
              <w:rPr>
                <w:bCs/>
                <w:snapToGrid/>
                <w:color w:val="000000"/>
                <w:kern w:val="0"/>
                <w:szCs w:val="22"/>
              </w:rPr>
            </w:pPr>
            <w:r>
              <w:rPr>
                <w:bCs/>
                <w:snapToGrid/>
                <w:color w:val="000000"/>
                <w:kern w:val="0"/>
                <w:szCs w:val="22"/>
              </w:rPr>
              <w:t>BAL</w:t>
            </w:r>
          </w:p>
        </w:tc>
        <w:tc>
          <w:tcPr>
            <w:tcW w:w="1634" w:type="dxa"/>
            <w:shd w:val="clear" w:color="auto" w:fill="auto"/>
            <w:vAlign w:val="bottom"/>
          </w:tcPr>
          <w:p w:rsidR="00C01DAB" w:rsidP="000F0E00">
            <w:pPr>
              <w:spacing w:after="120"/>
              <w:rPr>
                <w:bCs/>
                <w:snapToGrid/>
                <w:color w:val="000000"/>
                <w:kern w:val="0"/>
                <w:szCs w:val="22"/>
              </w:rPr>
            </w:pPr>
            <w:r>
              <w:rPr>
                <w:bCs/>
                <w:snapToGrid/>
                <w:color w:val="000000"/>
                <w:kern w:val="0"/>
                <w:szCs w:val="22"/>
              </w:rPr>
              <w:t>20171211ADZ</w:t>
            </w:r>
          </w:p>
        </w:tc>
      </w:tr>
      <w:tr w:rsidTr="000F0E00">
        <w:tblPrEx>
          <w:tblW w:w="0" w:type="auto"/>
          <w:tblLayout w:type="fixed"/>
          <w:tblLook w:val="04A0"/>
        </w:tblPrEx>
        <w:tc>
          <w:tcPr>
            <w:tcW w:w="1409" w:type="dxa"/>
            <w:shd w:val="clear" w:color="auto" w:fill="auto"/>
            <w:vAlign w:val="bottom"/>
          </w:tcPr>
          <w:p w:rsidR="00C01DAB" w:rsidP="000F0E00">
            <w:pPr>
              <w:spacing w:after="120"/>
              <w:rPr>
                <w:bCs/>
                <w:snapToGrid/>
                <w:color w:val="000000"/>
                <w:kern w:val="0"/>
                <w:szCs w:val="22"/>
              </w:rPr>
            </w:pPr>
            <w:r>
              <w:rPr>
                <w:bCs/>
                <w:snapToGrid/>
                <w:color w:val="000000"/>
                <w:kern w:val="0"/>
                <w:szCs w:val="22"/>
              </w:rPr>
              <w:t>WNIV</w:t>
            </w:r>
          </w:p>
        </w:tc>
        <w:tc>
          <w:tcPr>
            <w:tcW w:w="901" w:type="dxa"/>
            <w:shd w:val="clear" w:color="auto" w:fill="auto"/>
            <w:vAlign w:val="bottom"/>
          </w:tcPr>
          <w:p w:rsidR="00C01DAB" w:rsidP="000F0E00">
            <w:pPr>
              <w:spacing w:after="120"/>
              <w:rPr>
                <w:bCs/>
                <w:snapToGrid/>
                <w:color w:val="000000"/>
                <w:kern w:val="0"/>
                <w:szCs w:val="22"/>
              </w:rPr>
            </w:pPr>
            <w:r>
              <w:rPr>
                <w:bCs/>
                <w:snapToGrid/>
                <w:color w:val="000000"/>
                <w:kern w:val="0"/>
                <w:szCs w:val="22"/>
              </w:rPr>
              <w:t>AM</w:t>
            </w:r>
          </w:p>
        </w:tc>
        <w:tc>
          <w:tcPr>
            <w:tcW w:w="2365" w:type="dxa"/>
            <w:shd w:val="clear" w:color="auto" w:fill="auto"/>
            <w:vAlign w:val="bottom"/>
          </w:tcPr>
          <w:p w:rsidR="00C01DAB" w:rsidP="000F0E00">
            <w:pPr>
              <w:spacing w:after="120"/>
              <w:rPr>
                <w:bCs/>
                <w:snapToGrid/>
                <w:color w:val="000000"/>
                <w:kern w:val="0"/>
                <w:szCs w:val="22"/>
              </w:rPr>
            </w:pPr>
            <w:r>
              <w:rPr>
                <w:bCs/>
                <w:snapToGrid/>
                <w:color w:val="000000"/>
                <w:kern w:val="0"/>
                <w:szCs w:val="22"/>
              </w:rPr>
              <w:t>ATLANTA</w:t>
            </w:r>
          </w:p>
        </w:tc>
        <w:tc>
          <w:tcPr>
            <w:tcW w:w="720" w:type="dxa"/>
            <w:shd w:val="clear" w:color="auto" w:fill="auto"/>
            <w:vAlign w:val="bottom"/>
          </w:tcPr>
          <w:p w:rsidR="00C01DAB" w:rsidP="000F0E00">
            <w:pPr>
              <w:spacing w:after="120"/>
              <w:rPr>
                <w:bCs/>
                <w:snapToGrid/>
                <w:color w:val="000000"/>
                <w:kern w:val="0"/>
                <w:szCs w:val="22"/>
              </w:rPr>
            </w:pPr>
            <w:r>
              <w:rPr>
                <w:bCs/>
                <w:snapToGrid/>
                <w:color w:val="000000"/>
                <w:kern w:val="0"/>
                <w:szCs w:val="22"/>
              </w:rPr>
              <w:t>GA</w:t>
            </w:r>
          </w:p>
        </w:tc>
        <w:tc>
          <w:tcPr>
            <w:tcW w:w="1261" w:type="dxa"/>
            <w:shd w:val="clear" w:color="auto" w:fill="auto"/>
            <w:vAlign w:val="bottom"/>
          </w:tcPr>
          <w:p w:rsidR="00C01DAB" w:rsidP="000F0E00">
            <w:pPr>
              <w:spacing w:after="120"/>
              <w:rPr>
                <w:bCs/>
                <w:snapToGrid/>
                <w:color w:val="000000"/>
                <w:kern w:val="0"/>
                <w:szCs w:val="22"/>
              </w:rPr>
            </w:pPr>
            <w:r>
              <w:rPr>
                <w:bCs/>
                <w:snapToGrid/>
                <w:color w:val="000000"/>
                <w:kern w:val="0"/>
                <w:szCs w:val="22"/>
              </w:rPr>
              <w:t>23607</w:t>
            </w:r>
          </w:p>
        </w:tc>
        <w:tc>
          <w:tcPr>
            <w:tcW w:w="1060" w:type="dxa"/>
            <w:shd w:val="clear" w:color="auto" w:fill="auto"/>
            <w:vAlign w:val="bottom"/>
          </w:tcPr>
          <w:p w:rsidR="00C01DAB" w:rsidRPr="0026043A" w:rsidP="000F0E00">
            <w:pPr>
              <w:spacing w:after="120"/>
              <w:rPr>
                <w:bCs/>
                <w:snapToGrid/>
                <w:color w:val="000000"/>
                <w:kern w:val="0"/>
                <w:szCs w:val="22"/>
              </w:rPr>
            </w:pPr>
            <w:r>
              <w:rPr>
                <w:bCs/>
                <w:snapToGrid/>
                <w:color w:val="000000"/>
                <w:kern w:val="0"/>
                <w:szCs w:val="22"/>
              </w:rPr>
              <w:t>BAL</w:t>
            </w:r>
          </w:p>
        </w:tc>
        <w:tc>
          <w:tcPr>
            <w:tcW w:w="1634" w:type="dxa"/>
            <w:shd w:val="clear" w:color="auto" w:fill="auto"/>
            <w:vAlign w:val="bottom"/>
          </w:tcPr>
          <w:p w:rsidR="00C01DAB" w:rsidP="000F0E00">
            <w:pPr>
              <w:spacing w:after="120"/>
              <w:rPr>
                <w:bCs/>
                <w:snapToGrid/>
                <w:color w:val="000000"/>
                <w:kern w:val="0"/>
                <w:szCs w:val="22"/>
              </w:rPr>
            </w:pPr>
            <w:r>
              <w:rPr>
                <w:bCs/>
                <w:snapToGrid/>
                <w:color w:val="000000"/>
                <w:kern w:val="0"/>
                <w:szCs w:val="22"/>
              </w:rPr>
              <w:t>20171211AEA</w:t>
            </w:r>
          </w:p>
        </w:tc>
      </w:tr>
      <w:tr w:rsidTr="000F0E00">
        <w:tblPrEx>
          <w:tblW w:w="0" w:type="auto"/>
          <w:tblLayout w:type="fixed"/>
          <w:tblLook w:val="04A0"/>
        </w:tblPrEx>
        <w:tc>
          <w:tcPr>
            <w:tcW w:w="1409" w:type="dxa"/>
            <w:shd w:val="clear" w:color="auto" w:fill="auto"/>
            <w:vAlign w:val="bottom"/>
          </w:tcPr>
          <w:p w:rsidR="00C01DAB" w:rsidP="000F0E00">
            <w:pPr>
              <w:spacing w:after="120"/>
              <w:rPr>
                <w:bCs/>
                <w:snapToGrid/>
                <w:color w:val="000000"/>
                <w:kern w:val="0"/>
                <w:szCs w:val="22"/>
              </w:rPr>
            </w:pPr>
            <w:r>
              <w:rPr>
                <w:bCs/>
                <w:snapToGrid/>
                <w:color w:val="000000"/>
                <w:kern w:val="0"/>
                <w:szCs w:val="22"/>
              </w:rPr>
              <w:t>WTWD</w:t>
            </w:r>
          </w:p>
        </w:tc>
        <w:tc>
          <w:tcPr>
            <w:tcW w:w="901" w:type="dxa"/>
            <w:shd w:val="clear" w:color="auto" w:fill="auto"/>
            <w:vAlign w:val="bottom"/>
          </w:tcPr>
          <w:p w:rsidR="00C01DAB" w:rsidP="000F0E00">
            <w:pPr>
              <w:spacing w:after="120"/>
              <w:rPr>
                <w:bCs/>
                <w:snapToGrid/>
                <w:color w:val="000000"/>
                <w:kern w:val="0"/>
                <w:szCs w:val="22"/>
              </w:rPr>
            </w:pPr>
            <w:r>
              <w:rPr>
                <w:bCs/>
                <w:snapToGrid/>
                <w:color w:val="000000"/>
                <w:kern w:val="0"/>
                <w:szCs w:val="22"/>
              </w:rPr>
              <w:t>AM</w:t>
            </w:r>
          </w:p>
        </w:tc>
        <w:tc>
          <w:tcPr>
            <w:tcW w:w="2365" w:type="dxa"/>
            <w:shd w:val="clear" w:color="auto" w:fill="auto"/>
            <w:vAlign w:val="bottom"/>
          </w:tcPr>
          <w:p w:rsidR="00C01DAB" w:rsidP="000F0E00">
            <w:pPr>
              <w:spacing w:after="120"/>
              <w:rPr>
                <w:bCs/>
                <w:snapToGrid/>
                <w:color w:val="000000"/>
                <w:kern w:val="0"/>
                <w:szCs w:val="22"/>
              </w:rPr>
            </w:pPr>
            <w:r>
              <w:rPr>
                <w:bCs/>
                <w:snapToGrid/>
                <w:color w:val="000000"/>
                <w:kern w:val="0"/>
                <w:szCs w:val="22"/>
              </w:rPr>
              <w:t>PLANT CITY</w:t>
            </w:r>
          </w:p>
        </w:tc>
        <w:tc>
          <w:tcPr>
            <w:tcW w:w="720" w:type="dxa"/>
            <w:shd w:val="clear" w:color="auto" w:fill="auto"/>
            <w:vAlign w:val="bottom"/>
          </w:tcPr>
          <w:p w:rsidR="00C01DAB" w:rsidP="000F0E00">
            <w:pPr>
              <w:spacing w:after="120"/>
              <w:rPr>
                <w:bCs/>
                <w:snapToGrid/>
                <w:color w:val="000000"/>
                <w:kern w:val="0"/>
                <w:szCs w:val="22"/>
              </w:rPr>
            </w:pPr>
            <w:r>
              <w:rPr>
                <w:bCs/>
                <w:snapToGrid/>
                <w:color w:val="000000"/>
                <w:kern w:val="0"/>
                <w:szCs w:val="22"/>
              </w:rPr>
              <w:t>FL</w:t>
            </w:r>
          </w:p>
        </w:tc>
        <w:tc>
          <w:tcPr>
            <w:tcW w:w="1261" w:type="dxa"/>
            <w:shd w:val="clear" w:color="auto" w:fill="auto"/>
            <w:vAlign w:val="bottom"/>
          </w:tcPr>
          <w:p w:rsidR="00C01DAB" w:rsidP="000F0E00">
            <w:pPr>
              <w:spacing w:after="120"/>
              <w:rPr>
                <w:bCs/>
                <w:snapToGrid/>
                <w:color w:val="000000"/>
                <w:kern w:val="0"/>
                <w:szCs w:val="22"/>
              </w:rPr>
            </w:pPr>
            <w:r>
              <w:rPr>
                <w:bCs/>
                <w:snapToGrid/>
                <w:color w:val="000000"/>
                <w:kern w:val="0"/>
                <w:szCs w:val="22"/>
              </w:rPr>
              <w:t>26145</w:t>
            </w:r>
          </w:p>
        </w:tc>
        <w:tc>
          <w:tcPr>
            <w:tcW w:w="1060" w:type="dxa"/>
            <w:shd w:val="clear" w:color="auto" w:fill="auto"/>
            <w:vAlign w:val="bottom"/>
          </w:tcPr>
          <w:p w:rsidR="00C01DAB" w:rsidRPr="0026043A" w:rsidP="000F0E00">
            <w:pPr>
              <w:spacing w:after="120"/>
              <w:rPr>
                <w:bCs/>
                <w:snapToGrid/>
                <w:color w:val="000000"/>
                <w:kern w:val="0"/>
                <w:szCs w:val="22"/>
              </w:rPr>
            </w:pPr>
            <w:r>
              <w:rPr>
                <w:bCs/>
                <w:snapToGrid/>
                <w:color w:val="000000"/>
                <w:kern w:val="0"/>
                <w:szCs w:val="22"/>
              </w:rPr>
              <w:t>BAL</w:t>
            </w:r>
          </w:p>
        </w:tc>
        <w:tc>
          <w:tcPr>
            <w:tcW w:w="1634" w:type="dxa"/>
            <w:shd w:val="clear" w:color="auto" w:fill="auto"/>
            <w:vAlign w:val="bottom"/>
          </w:tcPr>
          <w:p w:rsidR="00C01DAB" w:rsidP="000F0E00">
            <w:pPr>
              <w:spacing w:after="120"/>
              <w:rPr>
                <w:bCs/>
                <w:snapToGrid/>
                <w:color w:val="000000"/>
                <w:kern w:val="0"/>
                <w:szCs w:val="22"/>
              </w:rPr>
            </w:pPr>
            <w:r>
              <w:rPr>
                <w:bCs/>
                <w:snapToGrid/>
                <w:color w:val="000000"/>
                <w:kern w:val="0"/>
                <w:szCs w:val="22"/>
              </w:rPr>
              <w:t>20171211AEB</w:t>
            </w:r>
          </w:p>
        </w:tc>
      </w:tr>
      <w:tr w:rsidTr="000F0E00">
        <w:tblPrEx>
          <w:tblW w:w="0" w:type="auto"/>
          <w:tblLayout w:type="fixed"/>
          <w:tblLook w:val="04A0"/>
        </w:tblPrEx>
        <w:tc>
          <w:tcPr>
            <w:tcW w:w="1409" w:type="dxa"/>
            <w:shd w:val="clear" w:color="auto" w:fill="auto"/>
            <w:vAlign w:val="bottom"/>
          </w:tcPr>
          <w:p w:rsidR="00C01DAB" w:rsidP="000F0E00">
            <w:pPr>
              <w:spacing w:after="120"/>
              <w:rPr>
                <w:bCs/>
                <w:snapToGrid/>
                <w:color w:val="000000"/>
                <w:kern w:val="0"/>
                <w:szCs w:val="22"/>
              </w:rPr>
            </w:pPr>
            <w:r>
              <w:rPr>
                <w:bCs/>
                <w:snapToGrid/>
                <w:color w:val="000000"/>
                <w:kern w:val="0"/>
                <w:szCs w:val="22"/>
              </w:rPr>
              <w:t>WWMI</w:t>
            </w:r>
          </w:p>
        </w:tc>
        <w:tc>
          <w:tcPr>
            <w:tcW w:w="901" w:type="dxa"/>
            <w:shd w:val="clear" w:color="auto" w:fill="auto"/>
            <w:vAlign w:val="bottom"/>
          </w:tcPr>
          <w:p w:rsidR="00C01DAB" w:rsidP="000F0E00">
            <w:pPr>
              <w:spacing w:after="120"/>
              <w:rPr>
                <w:bCs/>
                <w:snapToGrid/>
                <w:color w:val="000000"/>
                <w:kern w:val="0"/>
                <w:szCs w:val="22"/>
              </w:rPr>
            </w:pPr>
            <w:r>
              <w:rPr>
                <w:bCs/>
                <w:snapToGrid/>
                <w:color w:val="000000"/>
                <w:kern w:val="0"/>
                <w:szCs w:val="22"/>
              </w:rPr>
              <w:t>AM</w:t>
            </w:r>
          </w:p>
        </w:tc>
        <w:tc>
          <w:tcPr>
            <w:tcW w:w="2365" w:type="dxa"/>
            <w:shd w:val="clear" w:color="auto" w:fill="auto"/>
            <w:vAlign w:val="bottom"/>
          </w:tcPr>
          <w:p w:rsidR="00C01DAB" w:rsidP="000F0E00">
            <w:pPr>
              <w:spacing w:after="120"/>
              <w:rPr>
                <w:bCs/>
                <w:snapToGrid/>
                <w:color w:val="000000"/>
                <w:kern w:val="0"/>
                <w:szCs w:val="22"/>
              </w:rPr>
            </w:pPr>
            <w:r>
              <w:rPr>
                <w:bCs/>
                <w:snapToGrid/>
                <w:color w:val="000000"/>
                <w:kern w:val="0"/>
                <w:szCs w:val="22"/>
              </w:rPr>
              <w:t>ST. PETERSBURG</w:t>
            </w:r>
          </w:p>
        </w:tc>
        <w:tc>
          <w:tcPr>
            <w:tcW w:w="720" w:type="dxa"/>
            <w:shd w:val="clear" w:color="auto" w:fill="auto"/>
            <w:vAlign w:val="bottom"/>
          </w:tcPr>
          <w:p w:rsidR="00C01DAB" w:rsidP="000F0E00">
            <w:pPr>
              <w:spacing w:after="120"/>
              <w:rPr>
                <w:bCs/>
                <w:snapToGrid/>
                <w:color w:val="000000"/>
                <w:kern w:val="0"/>
                <w:szCs w:val="22"/>
              </w:rPr>
            </w:pPr>
            <w:r>
              <w:rPr>
                <w:bCs/>
                <w:snapToGrid/>
                <w:color w:val="000000"/>
                <w:kern w:val="0"/>
                <w:szCs w:val="22"/>
              </w:rPr>
              <w:t>FL</w:t>
            </w:r>
          </w:p>
        </w:tc>
        <w:tc>
          <w:tcPr>
            <w:tcW w:w="1261" w:type="dxa"/>
            <w:shd w:val="clear" w:color="auto" w:fill="auto"/>
            <w:vAlign w:val="bottom"/>
          </w:tcPr>
          <w:p w:rsidR="00C01DAB" w:rsidP="000F0E00">
            <w:pPr>
              <w:spacing w:after="120"/>
              <w:rPr>
                <w:bCs/>
                <w:snapToGrid/>
                <w:color w:val="000000"/>
                <w:kern w:val="0"/>
                <w:szCs w:val="22"/>
              </w:rPr>
            </w:pPr>
            <w:r>
              <w:rPr>
                <w:bCs/>
                <w:snapToGrid/>
                <w:color w:val="000000"/>
                <w:kern w:val="0"/>
                <w:szCs w:val="22"/>
              </w:rPr>
              <w:t>11954</w:t>
            </w:r>
          </w:p>
        </w:tc>
        <w:tc>
          <w:tcPr>
            <w:tcW w:w="1060" w:type="dxa"/>
            <w:shd w:val="clear" w:color="auto" w:fill="auto"/>
            <w:vAlign w:val="bottom"/>
          </w:tcPr>
          <w:p w:rsidR="00C01DAB" w:rsidRPr="0026043A" w:rsidP="000F0E00">
            <w:pPr>
              <w:spacing w:after="120"/>
              <w:rPr>
                <w:bCs/>
                <w:snapToGrid/>
                <w:color w:val="000000"/>
                <w:kern w:val="0"/>
                <w:szCs w:val="22"/>
              </w:rPr>
            </w:pPr>
            <w:r>
              <w:rPr>
                <w:bCs/>
                <w:snapToGrid/>
                <w:color w:val="000000"/>
                <w:kern w:val="0"/>
                <w:szCs w:val="22"/>
              </w:rPr>
              <w:t>BAL</w:t>
            </w:r>
          </w:p>
        </w:tc>
        <w:tc>
          <w:tcPr>
            <w:tcW w:w="1634" w:type="dxa"/>
            <w:shd w:val="clear" w:color="auto" w:fill="auto"/>
            <w:vAlign w:val="bottom"/>
          </w:tcPr>
          <w:p w:rsidR="00C01DAB" w:rsidP="000F0E00">
            <w:pPr>
              <w:spacing w:after="120"/>
              <w:rPr>
                <w:bCs/>
                <w:snapToGrid/>
                <w:color w:val="000000"/>
                <w:kern w:val="0"/>
                <w:szCs w:val="22"/>
              </w:rPr>
            </w:pPr>
            <w:r>
              <w:rPr>
                <w:bCs/>
                <w:snapToGrid/>
                <w:color w:val="000000"/>
                <w:kern w:val="0"/>
                <w:szCs w:val="22"/>
              </w:rPr>
              <w:t>20171211AEC</w:t>
            </w:r>
          </w:p>
        </w:tc>
      </w:tr>
      <w:tr w:rsidTr="000F0E00">
        <w:tblPrEx>
          <w:tblW w:w="0" w:type="auto"/>
          <w:tblLayout w:type="fixed"/>
          <w:tblLook w:val="04A0"/>
        </w:tblPrEx>
        <w:tc>
          <w:tcPr>
            <w:tcW w:w="1409" w:type="dxa"/>
            <w:shd w:val="clear" w:color="auto" w:fill="auto"/>
            <w:vAlign w:val="bottom"/>
          </w:tcPr>
          <w:p w:rsidR="00C01DAB" w:rsidP="000F0E00">
            <w:pPr>
              <w:spacing w:after="120"/>
              <w:rPr>
                <w:bCs/>
                <w:snapToGrid/>
                <w:color w:val="000000"/>
                <w:kern w:val="0"/>
                <w:szCs w:val="22"/>
              </w:rPr>
            </w:pPr>
            <w:r>
              <w:rPr>
                <w:bCs/>
                <w:snapToGrid/>
                <w:color w:val="000000"/>
                <w:kern w:val="0"/>
                <w:szCs w:val="22"/>
              </w:rPr>
              <w:t>K277DE</w:t>
            </w:r>
          </w:p>
        </w:tc>
        <w:tc>
          <w:tcPr>
            <w:tcW w:w="901" w:type="dxa"/>
            <w:shd w:val="clear" w:color="auto" w:fill="auto"/>
            <w:vAlign w:val="bottom"/>
          </w:tcPr>
          <w:p w:rsidR="00C01DAB" w:rsidP="000F0E00">
            <w:pPr>
              <w:spacing w:after="120"/>
              <w:rPr>
                <w:bCs/>
                <w:snapToGrid/>
                <w:color w:val="000000"/>
                <w:kern w:val="0"/>
                <w:szCs w:val="22"/>
              </w:rPr>
            </w:pPr>
            <w:r>
              <w:rPr>
                <w:bCs/>
                <w:snapToGrid/>
                <w:color w:val="000000"/>
                <w:kern w:val="0"/>
                <w:szCs w:val="22"/>
              </w:rPr>
              <w:t>FX</w:t>
            </w:r>
          </w:p>
        </w:tc>
        <w:tc>
          <w:tcPr>
            <w:tcW w:w="2365" w:type="dxa"/>
            <w:shd w:val="clear" w:color="auto" w:fill="auto"/>
            <w:vAlign w:val="bottom"/>
          </w:tcPr>
          <w:p w:rsidR="00C01DAB" w:rsidP="000F0E00">
            <w:pPr>
              <w:spacing w:after="120"/>
              <w:rPr>
                <w:bCs/>
                <w:snapToGrid/>
                <w:color w:val="000000"/>
                <w:kern w:val="0"/>
                <w:szCs w:val="22"/>
              </w:rPr>
            </w:pPr>
            <w:r>
              <w:rPr>
                <w:bCs/>
                <w:snapToGrid/>
                <w:color w:val="000000"/>
                <w:kern w:val="0"/>
                <w:szCs w:val="22"/>
              </w:rPr>
              <w:t>HOUSTON</w:t>
            </w:r>
          </w:p>
        </w:tc>
        <w:tc>
          <w:tcPr>
            <w:tcW w:w="720" w:type="dxa"/>
            <w:shd w:val="clear" w:color="auto" w:fill="auto"/>
            <w:vAlign w:val="bottom"/>
          </w:tcPr>
          <w:p w:rsidR="00C01DAB" w:rsidP="000F0E00">
            <w:pPr>
              <w:spacing w:after="120"/>
              <w:rPr>
                <w:bCs/>
                <w:snapToGrid/>
                <w:color w:val="000000"/>
                <w:kern w:val="0"/>
                <w:szCs w:val="22"/>
              </w:rPr>
            </w:pPr>
            <w:r>
              <w:rPr>
                <w:bCs/>
                <w:snapToGrid/>
                <w:color w:val="000000"/>
                <w:kern w:val="0"/>
                <w:szCs w:val="22"/>
              </w:rPr>
              <w:t>TX</w:t>
            </w:r>
          </w:p>
        </w:tc>
        <w:tc>
          <w:tcPr>
            <w:tcW w:w="1261" w:type="dxa"/>
            <w:shd w:val="clear" w:color="auto" w:fill="auto"/>
            <w:vAlign w:val="bottom"/>
          </w:tcPr>
          <w:p w:rsidR="00C01DAB" w:rsidP="000F0E00">
            <w:pPr>
              <w:spacing w:after="120"/>
              <w:rPr>
                <w:bCs/>
                <w:snapToGrid/>
                <w:color w:val="000000"/>
                <w:kern w:val="0"/>
                <w:szCs w:val="22"/>
              </w:rPr>
            </w:pPr>
            <w:r>
              <w:rPr>
                <w:bCs/>
                <w:snapToGrid/>
                <w:color w:val="000000"/>
                <w:kern w:val="0"/>
                <w:szCs w:val="22"/>
              </w:rPr>
              <w:t>138173</w:t>
            </w:r>
          </w:p>
        </w:tc>
        <w:tc>
          <w:tcPr>
            <w:tcW w:w="1060" w:type="dxa"/>
            <w:shd w:val="clear" w:color="auto" w:fill="auto"/>
            <w:vAlign w:val="bottom"/>
          </w:tcPr>
          <w:p w:rsidR="00C01DAB" w:rsidRPr="0026043A" w:rsidP="000F0E00">
            <w:pPr>
              <w:spacing w:after="120"/>
              <w:rPr>
                <w:bCs/>
                <w:snapToGrid/>
                <w:color w:val="000000"/>
                <w:kern w:val="0"/>
                <w:szCs w:val="22"/>
              </w:rPr>
            </w:pPr>
            <w:r>
              <w:rPr>
                <w:bCs/>
                <w:snapToGrid/>
                <w:color w:val="000000"/>
                <w:kern w:val="0"/>
                <w:szCs w:val="22"/>
              </w:rPr>
              <w:t>BALFT</w:t>
            </w:r>
          </w:p>
        </w:tc>
        <w:tc>
          <w:tcPr>
            <w:tcW w:w="1634" w:type="dxa"/>
            <w:shd w:val="clear" w:color="auto" w:fill="auto"/>
            <w:vAlign w:val="bottom"/>
          </w:tcPr>
          <w:p w:rsidR="00C01DAB" w:rsidP="000F0E00">
            <w:pPr>
              <w:spacing w:after="120"/>
              <w:rPr>
                <w:bCs/>
                <w:snapToGrid/>
                <w:color w:val="000000"/>
                <w:kern w:val="0"/>
                <w:szCs w:val="22"/>
              </w:rPr>
            </w:pPr>
            <w:r>
              <w:rPr>
                <w:bCs/>
                <w:snapToGrid/>
                <w:color w:val="000000"/>
                <w:kern w:val="0"/>
                <w:szCs w:val="22"/>
              </w:rPr>
              <w:t>20171211AED</w:t>
            </w:r>
          </w:p>
        </w:tc>
      </w:tr>
      <w:tr w:rsidTr="000F0E00">
        <w:tblPrEx>
          <w:tblW w:w="0" w:type="auto"/>
          <w:tblLayout w:type="fixed"/>
          <w:tblLook w:val="04A0"/>
        </w:tblPrEx>
        <w:tc>
          <w:tcPr>
            <w:tcW w:w="1409" w:type="dxa"/>
            <w:shd w:val="clear" w:color="auto" w:fill="auto"/>
            <w:vAlign w:val="bottom"/>
          </w:tcPr>
          <w:p w:rsidR="00C01DAB" w:rsidP="000F0E00">
            <w:pPr>
              <w:spacing w:after="120"/>
              <w:rPr>
                <w:bCs/>
                <w:snapToGrid/>
                <w:color w:val="000000"/>
                <w:kern w:val="0"/>
                <w:szCs w:val="22"/>
              </w:rPr>
            </w:pPr>
            <w:r>
              <w:rPr>
                <w:bCs/>
                <w:snapToGrid/>
                <w:color w:val="000000"/>
                <w:kern w:val="0"/>
                <w:szCs w:val="22"/>
              </w:rPr>
              <w:t>K241CM</w:t>
            </w:r>
          </w:p>
        </w:tc>
        <w:tc>
          <w:tcPr>
            <w:tcW w:w="901" w:type="dxa"/>
            <w:shd w:val="clear" w:color="auto" w:fill="auto"/>
            <w:vAlign w:val="bottom"/>
          </w:tcPr>
          <w:p w:rsidR="00C01DAB" w:rsidP="000F0E00">
            <w:pPr>
              <w:spacing w:after="120"/>
              <w:rPr>
                <w:bCs/>
                <w:snapToGrid/>
                <w:color w:val="000000"/>
                <w:kern w:val="0"/>
                <w:szCs w:val="22"/>
              </w:rPr>
            </w:pPr>
            <w:r>
              <w:rPr>
                <w:bCs/>
                <w:snapToGrid/>
                <w:color w:val="000000"/>
                <w:kern w:val="0"/>
                <w:szCs w:val="22"/>
              </w:rPr>
              <w:t>FX</w:t>
            </w:r>
          </w:p>
        </w:tc>
        <w:tc>
          <w:tcPr>
            <w:tcW w:w="2365" w:type="dxa"/>
            <w:shd w:val="clear" w:color="auto" w:fill="auto"/>
            <w:vAlign w:val="bottom"/>
          </w:tcPr>
          <w:p w:rsidR="00C01DAB" w:rsidP="000F0E00">
            <w:pPr>
              <w:spacing w:after="120"/>
              <w:rPr>
                <w:bCs/>
                <w:snapToGrid/>
                <w:color w:val="000000"/>
                <w:kern w:val="0"/>
                <w:szCs w:val="22"/>
              </w:rPr>
            </w:pPr>
            <w:r>
              <w:rPr>
                <w:bCs/>
                <w:snapToGrid/>
                <w:color w:val="000000"/>
                <w:kern w:val="0"/>
                <w:szCs w:val="22"/>
              </w:rPr>
              <w:t>HOUSTON</w:t>
            </w:r>
          </w:p>
        </w:tc>
        <w:tc>
          <w:tcPr>
            <w:tcW w:w="720" w:type="dxa"/>
            <w:shd w:val="clear" w:color="auto" w:fill="auto"/>
            <w:vAlign w:val="bottom"/>
          </w:tcPr>
          <w:p w:rsidR="00C01DAB" w:rsidP="000F0E00">
            <w:pPr>
              <w:spacing w:after="120"/>
              <w:rPr>
                <w:bCs/>
                <w:snapToGrid/>
                <w:color w:val="000000"/>
                <w:kern w:val="0"/>
                <w:szCs w:val="22"/>
              </w:rPr>
            </w:pPr>
            <w:r>
              <w:rPr>
                <w:bCs/>
                <w:snapToGrid/>
                <w:color w:val="000000"/>
                <w:kern w:val="0"/>
                <w:szCs w:val="22"/>
              </w:rPr>
              <w:t>TX</w:t>
            </w:r>
          </w:p>
        </w:tc>
        <w:tc>
          <w:tcPr>
            <w:tcW w:w="1261" w:type="dxa"/>
            <w:shd w:val="clear" w:color="auto" w:fill="auto"/>
            <w:vAlign w:val="bottom"/>
          </w:tcPr>
          <w:p w:rsidR="00C01DAB" w:rsidP="000F0E00">
            <w:pPr>
              <w:spacing w:after="120"/>
              <w:rPr>
                <w:bCs/>
                <w:snapToGrid/>
                <w:color w:val="000000"/>
                <w:kern w:val="0"/>
                <w:szCs w:val="22"/>
              </w:rPr>
            </w:pPr>
            <w:r>
              <w:rPr>
                <w:bCs/>
                <w:snapToGrid/>
                <w:color w:val="000000"/>
                <w:kern w:val="0"/>
                <w:szCs w:val="22"/>
              </w:rPr>
              <w:t>140620</w:t>
            </w:r>
          </w:p>
        </w:tc>
        <w:tc>
          <w:tcPr>
            <w:tcW w:w="1060" w:type="dxa"/>
            <w:shd w:val="clear" w:color="auto" w:fill="auto"/>
            <w:vAlign w:val="bottom"/>
          </w:tcPr>
          <w:p w:rsidR="00C01DAB" w:rsidRPr="0026043A" w:rsidP="000F0E00">
            <w:pPr>
              <w:spacing w:after="120"/>
              <w:rPr>
                <w:bCs/>
                <w:snapToGrid/>
                <w:color w:val="000000"/>
                <w:kern w:val="0"/>
                <w:szCs w:val="22"/>
              </w:rPr>
            </w:pPr>
            <w:r>
              <w:rPr>
                <w:bCs/>
                <w:snapToGrid/>
                <w:color w:val="000000"/>
                <w:kern w:val="0"/>
                <w:szCs w:val="22"/>
              </w:rPr>
              <w:t>BALFT</w:t>
            </w:r>
          </w:p>
        </w:tc>
        <w:tc>
          <w:tcPr>
            <w:tcW w:w="1634" w:type="dxa"/>
            <w:shd w:val="clear" w:color="auto" w:fill="auto"/>
            <w:vAlign w:val="bottom"/>
          </w:tcPr>
          <w:p w:rsidR="00C01DAB" w:rsidP="000F0E00">
            <w:pPr>
              <w:spacing w:after="120"/>
              <w:rPr>
                <w:bCs/>
                <w:snapToGrid/>
                <w:color w:val="000000"/>
                <w:kern w:val="0"/>
                <w:szCs w:val="22"/>
              </w:rPr>
            </w:pPr>
            <w:r>
              <w:rPr>
                <w:bCs/>
                <w:snapToGrid/>
                <w:color w:val="000000"/>
                <w:kern w:val="0"/>
                <w:szCs w:val="22"/>
              </w:rPr>
              <w:t>20171211AEE</w:t>
            </w:r>
          </w:p>
        </w:tc>
      </w:tr>
      <w:tr w:rsidTr="000F0E00">
        <w:tblPrEx>
          <w:tblW w:w="0" w:type="auto"/>
          <w:tblLayout w:type="fixed"/>
          <w:tblLook w:val="04A0"/>
        </w:tblPrEx>
        <w:tc>
          <w:tcPr>
            <w:tcW w:w="1409" w:type="dxa"/>
            <w:shd w:val="clear" w:color="auto" w:fill="auto"/>
            <w:vAlign w:val="bottom"/>
          </w:tcPr>
          <w:p w:rsidR="00C01DAB" w:rsidP="000F0E00">
            <w:pPr>
              <w:spacing w:after="120"/>
              <w:rPr>
                <w:bCs/>
                <w:snapToGrid/>
                <w:color w:val="000000"/>
                <w:kern w:val="0"/>
                <w:szCs w:val="22"/>
              </w:rPr>
            </w:pPr>
            <w:r>
              <w:rPr>
                <w:bCs/>
                <w:snapToGrid/>
                <w:color w:val="000000"/>
                <w:kern w:val="0"/>
                <w:szCs w:val="22"/>
              </w:rPr>
              <w:t>W28CI</w:t>
            </w:r>
          </w:p>
        </w:tc>
        <w:tc>
          <w:tcPr>
            <w:tcW w:w="901" w:type="dxa"/>
            <w:shd w:val="clear" w:color="auto" w:fill="auto"/>
            <w:vAlign w:val="bottom"/>
          </w:tcPr>
          <w:p w:rsidR="00C01DAB" w:rsidP="000F0E00">
            <w:pPr>
              <w:spacing w:after="120"/>
              <w:rPr>
                <w:bCs/>
                <w:snapToGrid/>
                <w:color w:val="000000"/>
                <w:kern w:val="0"/>
                <w:szCs w:val="22"/>
              </w:rPr>
            </w:pPr>
            <w:r>
              <w:rPr>
                <w:bCs/>
                <w:snapToGrid/>
                <w:color w:val="000000"/>
                <w:kern w:val="0"/>
                <w:szCs w:val="22"/>
              </w:rPr>
              <w:t>FX</w:t>
            </w:r>
          </w:p>
        </w:tc>
        <w:tc>
          <w:tcPr>
            <w:tcW w:w="2365" w:type="dxa"/>
            <w:shd w:val="clear" w:color="auto" w:fill="auto"/>
            <w:vAlign w:val="bottom"/>
          </w:tcPr>
          <w:p w:rsidR="00C01DAB" w:rsidP="000F0E00">
            <w:pPr>
              <w:spacing w:after="120"/>
              <w:rPr>
                <w:bCs/>
                <w:snapToGrid/>
                <w:color w:val="000000"/>
                <w:kern w:val="0"/>
                <w:szCs w:val="22"/>
              </w:rPr>
            </w:pPr>
            <w:r>
              <w:rPr>
                <w:bCs/>
                <w:snapToGrid/>
                <w:color w:val="000000"/>
                <w:kern w:val="0"/>
                <w:szCs w:val="22"/>
              </w:rPr>
              <w:t>TAMPA</w:t>
            </w:r>
          </w:p>
        </w:tc>
        <w:tc>
          <w:tcPr>
            <w:tcW w:w="720" w:type="dxa"/>
            <w:shd w:val="clear" w:color="auto" w:fill="auto"/>
            <w:vAlign w:val="bottom"/>
          </w:tcPr>
          <w:p w:rsidR="00C01DAB" w:rsidP="000F0E00">
            <w:pPr>
              <w:spacing w:after="120"/>
              <w:rPr>
                <w:bCs/>
                <w:snapToGrid/>
                <w:color w:val="000000"/>
                <w:kern w:val="0"/>
                <w:szCs w:val="22"/>
              </w:rPr>
            </w:pPr>
            <w:r>
              <w:rPr>
                <w:bCs/>
                <w:snapToGrid/>
                <w:color w:val="000000"/>
                <w:kern w:val="0"/>
                <w:szCs w:val="22"/>
              </w:rPr>
              <w:t>FL</w:t>
            </w:r>
          </w:p>
        </w:tc>
        <w:tc>
          <w:tcPr>
            <w:tcW w:w="1261" w:type="dxa"/>
            <w:shd w:val="clear" w:color="auto" w:fill="auto"/>
            <w:vAlign w:val="bottom"/>
          </w:tcPr>
          <w:p w:rsidR="00C01DAB" w:rsidP="000F0E00">
            <w:pPr>
              <w:spacing w:after="120"/>
              <w:rPr>
                <w:bCs/>
                <w:snapToGrid/>
                <w:color w:val="000000"/>
                <w:kern w:val="0"/>
                <w:szCs w:val="22"/>
              </w:rPr>
            </w:pPr>
            <w:r>
              <w:rPr>
                <w:bCs/>
                <w:snapToGrid/>
                <w:color w:val="000000"/>
                <w:kern w:val="0"/>
                <w:szCs w:val="22"/>
              </w:rPr>
              <w:t>145074</w:t>
            </w:r>
          </w:p>
        </w:tc>
        <w:tc>
          <w:tcPr>
            <w:tcW w:w="1060" w:type="dxa"/>
            <w:shd w:val="clear" w:color="auto" w:fill="auto"/>
            <w:vAlign w:val="bottom"/>
          </w:tcPr>
          <w:p w:rsidR="00C01DAB" w:rsidRPr="0026043A" w:rsidP="000F0E00">
            <w:pPr>
              <w:spacing w:after="120"/>
              <w:rPr>
                <w:bCs/>
                <w:snapToGrid/>
                <w:color w:val="000000"/>
                <w:kern w:val="0"/>
                <w:szCs w:val="22"/>
              </w:rPr>
            </w:pPr>
            <w:r>
              <w:rPr>
                <w:bCs/>
                <w:snapToGrid/>
                <w:color w:val="000000"/>
                <w:kern w:val="0"/>
                <w:szCs w:val="22"/>
              </w:rPr>
              <w:t>BALFT</w:t>
            </w:r>
          </w:p>
        </w:tc>
        <w:tc>
          <w:tcPr>
            <w:tcW w:w="1634" w:type="dxa"/>
            <w:shd w:val="clear" w:color="auto" w:fill="auto"/>
            <w:vAlign w:val="bottom"/>
          </w:tcPr>
          <w:p w:rsidR="00C01DAB" w:rsidP="000F0E00">
            <w:pPr>
              <w:spacing w:after="120"/>
              <w:rPr>
                <w:bCs/>
                <w:snapToGrid/>
                <w:color w:val="000000"/>
                <w:kern w:val="0"/>
                <w:szCs w:val="22"/>
              </w:rPr>
            </w:pPr>
            <w:r>
              <w:rPr>
                <w:bCs/>
                <w:snapToGrid/>
                <w:color w:val="000000"/>
                <w:kern w:val="0"/>
                <w:szCs w:val="22"/>
              </w:rPr>
              <w:t>20171211AEF</w:t>
            </w:r>
          </w:p>
        </w:tc>
      </w:tr>
      <w:tr w:rsidTr="000F0E00">
        <w:tblPrEx>
          <w:tblW w:w="0" w:type="auto"/>
          <w:tblLayout w:type="fixed"/>
          <w:tblLook w:val="04A0"/>
        </w:tblPrEx>
        <w:tc>
          <w:tcPr>
            <w:tcW w:w="1409" w:type="dxa"/>
            <w:shd w:val="clear" w:color="auto" w:fill="auto"/>
            <w:vAlign w:val="bottom"/>
          </w:tcPr>
          <w:p w:rsidR="00C01DAB" w:rsidP="000F0E00">
            <w:pPr>
              <w:spacing w:after="120"/>
              <w:rPr>
                <w:bCs/>
                <w:snapToGrid/>
                <w:color w:val="000000"/>
                <w:kern w:val="0"/>
                <w:szCs w:val="22"/>
              </w:rPr>
            </w:pPr>
            <w:r>
              <w:rPr>
                <w:bCs/>
                <w:snapToGrid/>
                <w:color w:val="000000"/>
                <w:kern w:val="0"/>
                <w:szCs w:val="22"/>
              </w:rPr>
              <w:t>W271CY</w:t>
            </w:r>
          </w:p>
        </w:tc>
        <w:tc>
          <w:tcPr>
            <w:tcW w:w="901" w:type="dxa"/>
            <w:shd w:val="clear" w:color="auto" w:fill="auto"/>
            <w:vAlign w:val="bottom"/>
          </w:tcPr>
          <w:p w:rsidR="00C01DAB" w:rsidP="000F0E00">
            <w:pPr>
              <w:spacing w:after="120"/>
              <w:rPr>
                <w:bCs/>
                <w:snapToGrid/>
                <w:color w:val="000000"/>
                <w:kern w:val="0"/>
                <w:szCs w:val="22"/>
              </w:rPr>
            </w:pPr>
            <w:r>
              <w:rPr>
                <w:bCs/>
                <w:snapToGrid/>
                <w:color w:val="000000"/>
                <w:kern w:val="0"/>
                <w:szCs w:val="22"/>
              </w:rPr>
              <w:t>FX</w:t>
            </w:r>
          </w:p>
        </w:tc>
        <w:tc>
          <w:tcPr>
            <w:tcW w:w="2365" w:type="dxa"/>
            <w:shd w:val="clear" w:color="auto" w:fill="auto"/>
            <w:vAlign w:val="bottom"/>
          </w:tcPr>
          <w:p w:rsidR="00C01DAB" w:rsidP="000F0E00">
            <w:pPr>
              <w:spacing w:after="120"/>
              <w:rPr>
                <w:bCs/>
                <w:snapToGrid/>
                <w:color w:val="000000"/>
                <w:kern w:val="0"/>
                <w:szCs w:val="22"/>
              </w:rPr>
            </w:pPr>
            <w:r>
              <w:rPr>
                <w:bCs/>
                <w:snapToGrid/>
                <w:color w:val="000000"/>
                <w:kern w:val="0"/>
                <w:szCs w:val="22"/>
              </w:rPr>
              <w:t>LAKELAND</w:t>
            </w:r>
          </w:p>
        </w:tc>
        <w:tc>
          <w:tcPr>
            <w:tcW w:w="720" w:type="dxa"/>
            <w:shd w:val="clear" w:color="auto" w:fill="auto"/>
            <w:vAlign w:val="bottom"/>
          </w:tcPr>
          <w:p w:rsidR="00C01DAB" w:rsidP="000F0E00">
            <w:pPr>
              <w:spacing w:after="120"/>
              <w:rPr>
                <w:bCs/>
                <w:snapToGrid/>
                <w:color w:val="000000"/>
                <w:kern w:val="0"/>
                <w:szCs w:val="22"/>
              </w:rPr>
            </w:pPr>
            <w:r>
              <w:rPr>
                <w:bCs/>
                <w:snapToGrid/>
                <w:color w:val="000000"/>
                <w:kern w:val="0"/>
                <w:szCs w:val="22"/>
              </w:rPr>
              <w:t>FL</w:t>
            </w:r>
          </w:p>
        </w:tc>
        <w:tc>
          <w:tcPr>
            <w:tcW w:w="1261" w:type="dxa"/>
            <w:shd w:val="clear" w:color="auto" w:fill="auto"/>
            <w:vAlign w:val="bottom"/>
          </w:tcPr>
          <w:p w:rsidR="00C01DAB" w:rsidP="000F0E00">
            <w:pPr>
              <w:spacing w:after="120"/>
              <w:rPr>
                <w:bCs/>
                <w:snapToGrid/>
                <w:color w:val="000000"/>
                <w:kern w:val="0"/>
                <w:szCs w:val="22"/>
              </w:rPr>
            </w:pPr>
            <w:r>
              <w:rPr>
                <w:bCs/>
                <w:snapToGrid/>
                <w:color w:val="000000"/>
                <w:kern w:val="0"/>
                <w:szCs w:val="22"/>
              </w:rPr>
              <w:t>142973</w:t>
            </w:r>
          </w:p>
        </w:tc>
        <w:tc>
          <w:tcPr>
            <w:tcW w:w="1060" w:type="dxa"/>
            <w:shd w:val="clear" w:color="auto" w:fill="auto"/>
            <w:vAlign w:val="bottom"/>
          </w:tcPr>
          <w:p w:rsidR="00C01DAB" w:rsidRPr="0026043A" w:rsidP="000F0E00">
            <w:pPr>
              <w:spacing w:after="120"/>
              <w:rPr>
                <w:bCs/>
                <w:snapToGrid/>
                <w:color w:val="000000"/>
                <w:kern w:val="0"/>
                <w:szCs w:val="22"/>
              </w:rPr>
            </w:pPr>
            <w:r>
              <w:rPr>
                <w:bCs/>
                <w:snapToGrid/>
                <w:color w:val="000000"/>
                <w:kern w:val="0"/>
                <w:szCs w:val="22"/>
              </w:rPr>
              <w:t>BALFT</w:t>
            </w:r>
          </w:p>
        </w:tc>
        <w:tc>
          <w:tcPr>
            <w:tcW w:w="1634" w:type="dxa"/>
            <w:shd w:val="clear" w:color="auto" w:fill="auto"/>
            <w:vAlign w:val="bottom"/>
          </w:tcPr>
          <w:p w:rsidR="00C01DAB" w:rsidP="000F0E00">
            <w:pPr>
              <w:spacing w:after="120"/>
              <w:rPr>
                <w:bCs/>
                <w:snapToGrid/>
                <w:color w:val="000000"/>
                <w:kern w:val="0"/>
                <w:szCs w:val="22"/>
              </w:rPr>
            </w:pPr>
            <w:r>
              <w:rPr>
                <w:bCs/>
                <w:snapToGrid/>
                <w:color w:val="000000"/>
                <w:kern w:val="0"/>
                <w:szCs w:val="22"/>
              </w:rPr>
              <w:t>20171211AEG</w:t>
            </w:r>
          </w:p>
        </w:tc>
      </w:tr>
    </w:tbl>
    <w:p w:rsidR="000F0E00" w:rsidP="000F0E00">
      <w:bookmarkEnd w:id="4"/>
    </w:p>
    <w:p w:rsidR="008D3F61">
      <w:pPr>
        <w:widowControl/>
        <w:rPr>
          <w:szCs w:val="22"/>
        </w:rPr>
      </w:pPr>
    </w:p>
    <w:sectPr w:rsidSect="00C80DF5">
      <w:headerReference w:type="default" r:id="rId5"/>
      <w:footerReference w:type="even" r:id="rId6"/>
      <w:footerReference w:type="default" r:id="rId7"/>
      <w:headerReference w:type="first" r:id="rId8"/>
      <w:pgSz w:w="12240" w:h="15840"/>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02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F02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02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9</w:t>
    </w:r>
    <w:r>
      <w:rPr>
        <w:rStyle w:val="PageNumber"/>
      </w:rPr>
      <w:fldChar w:fldCharType="end"/>
    </w:r>
  </w:p>
  <w:p w:rsidR="00DF0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21CA5">
      <w:r>
        <w:separator/>
      </w:r>
    </w:p>
  </w:footnote>
  <w:footnote w:type="continuationSeparator" w:id="1">
    <w:p w:rsidR="00D21CA5">
      <w:r>
        <w:continuationSeparator/>
      </w:r>
    </w:p>
  </w:footnote>
  <w:footnote w:type="continuationNotice" w:id="2">
    <w:p w:rsidR="00D21CA5" w:rsidRPr="008038F1">
      <w:pPr>
        <w:rPr>
          <w:sz w:val="20"/>
        </w:rPr>
      </w:pPr>
      <w:r>
        <w:t xml:space="preserve">                                                                                                                                </w:t>
      </w:r>
      <w:r w:rsidRPr="008038F1">
        <w:rPr>
          <w:sz w:val="20"/>
        </w:rPr>
        <w:t>(footnote continued)</w:t>
      </w:r>
    </w:p>
  </w:footnote>
  <w:footnote w:id="3">
    <w:p w:rsidR="00DF0229">
      <w:pPr>
        <w:pStyle w:val="FootnoteText"/>
      </w:pPr>
      <w:r>
        <w:rPr>
          <w:rStyle w:val="FootnoteReference"/>
        </w:rPr>
        <w:footnoteRef/>
      </w:r>
      <w:r>
        <w:t xml:space="preserve"> </w:t>
      </w:r>
      <w:r w:rsidRPr="007A7DE4">
        <w:rPr>
          <w:i/>
        </w:rPr>
        <w:t xml:space="preserve">See </w:t>
      </w:r>
      <w:r>
        <w:t>Consummation Notice dated February 28, 2018.</w:t>
      </w:r>
    </w:p>
  </w:footnote>
  <w:footnote w:id="4">
    <w:p w:rsidR="00DF0229" w:rsidP="00BF5547">
      <w:pPr>
        <w:pStyle w:val="FootnoteText"/>
      </w:pPr>
      <w:r>
        <w:rPr>
          <w:rStyle w:val="FootnoteReference"/>
        </w:rPr>
        <w:footnoteRef/>
      </w:r>
      <w:r>
        <w:t xml:space="preserve"> 47 U.S.C. § 310.</w:t>
      </w:r>
    </w:p>
  </w:footnote>
  <w:footnote w:id="5">
    <w:p w:rsidR="00DF0229" w:rsidP="00BF5547">
      <w:pPr>
        <w:pStyle w:val="FootnoteText"/>
      </w:pPr>
      <w:r>
        <w:rPr>
          <w:rStyle w:val="FootnoteReference"/>
        </w:rPr>
        <w:footnoteRef/>
      </w:r>
      <w:r>
        <w:t xml:space="preserve"> 47 CFR § 73.3540.</w:t>
      </w:r>
    </w:p>
  </w:footnote>
  <w:footnote w:id="6">
    <w:p w:rsidR="00DF0229" w:rsidP="00912AE1">
      <w:pPr>
        <w:pStyle w:val="FootnoteText"/>
      </w:pPr>
      <w:r>
        <w:rPr>
          <w:rStyle w:val="FootnoteReference"/>
        </w:rPr>
        <w:footnoteRef/>
      </w:r>
      <w:r>
        <w:t xml:space="preserve"> 47 U.S.C. § 4(i).</w:t>
      </w:r>
    </w:p>
  </w:footnote>
  <w:footnote w:id="7">
    <w:p w:rsidR="00DF0229" w:rsidP="00912AE1">
      <w:pPr>
        <w:pStyle w:val="FootnoteText"/>
      </w:pPr>
      <w:r>
        <w:rPr>
          <w:rStyle w:val="FootnoteReference"/>
        </w:rPr>
        <w:footnoteRef/>
      </w:r>
      <w:r>
        <w:t xml:space="preserve"> 47 CFR §§ 0.61, 0.283. </w:t>
      </w:r>
    </w:p>
  </w:footnote>
  <w:footnote w:id="8">
    <w:p w:rsidR="00DF0229" w:rsidP="000F0E00">
      <w:pPr>
        <w:pStyle w:val="FootnoteText"/>
      </w:pPr>
      <w:r>
        <w:rPr>
          <w:rStyle w:val="FootnoteReference"/>
        </w:rPr>
        <w:footnoteRef/>
      </w:r>
      <w:r>
        <w:t xml:space="preserve"> 47 U.S.C. § 310(d).</w:t>
      </w:r>
    </w:p>
  </w:footnote>
  <w:footnote w:id="9">
    <w:p w:rsidR="009E0A6E" w:rsidP="00261112">
      <w:pPr>
        <w:pStyle w:val="FootnoteText"/>
      </w:pPr>
      <w:r>
        <w:rPr>
          <w:rStyle w:val="FootnoteReference"/>
        </w:rPr>
        <w:footnoteRef/>
      </w:r>
      <w:r>
        <w:t xml:space="preserve"> </w:t>
      </w:r>
      <w:r w:rsidRPr="00261112" w:rsidR="00261112">
        <w:t xml:space="preserve"> </w:t>
      </w:r>
      <w:r w:rsidR="00261112">
        <w:t xml:space="preserve">The other Salem licensees were the subject of separate FCC Form 316 Applications.  </w:t>
      </w:r>
      <w:r w:rsidRPr="009E0A6E" w:rsidR="00261112">
        <w:rPr>
          <w:i/>
        </w:rPr>
        <w:t>See</w:t>
      </w:r>
      <w:r w:rsidR="00261112">
        <w:rPr>
          <w:i/>
        </w:rPr>
        <w:t xml:space="preserve"> </w:t>
      </w:r>
      <w:r w:rsidR="00261112">
        <w:t>File Nos.  BALH-20171211AEI</w:t>
      </w:r>
      <w:r w:rsidR="00F63A61">
        <w:t>,</w:t>
      </w:r>
      <w:r w:rsidR="00261112">
        <w:t xml:space="preserve"> </w:t>
      </w:r>
      <w:r w:rsidRPr="00065829" w:rsidR="00261112">
        <w:rPr>
          <w:i/>
        </w:rPr>
        <w:t xml:space="preserve">et. </w:t>
      </w:r>
      <w:r w:rsidR="00CB54B9">
        <w:rPr>
          <w:i/>
        </w:rPr>
        <w:t>al</w:t>
      </w:r>
      <w:r w:rsidR="00261112">
        <w:t>.; BAL-20171211ADK</w:t>
      </w:r>
      <w:r w:rsidR="00F63A61">
        <w:t>,</w:t>
      </w:r>
      <w:r w:rsidR="00261112">
        <w:t xml:space="preserve"> </w:t>
      </w:r>
      <w:r w:rsidRPr="00065829" w:rsidR="00261112">
        <w:rPr>
          <w:i/>
        </w:rPr>
        <w:t xml:space="preserve">et. </w:t>
      </w:r>
      <w:r w:rsidR="00CB54B9">
        <w:rPr>
          <w:i/>
        </w:rPr>
        <w:t>al</w:t>
      </w:r>
      <w:r w:rsidR="00261112">
        <w:t>.; BALH-20171211AEK</w:t>
      </w:r>
      <w:r w:rsidR="00F63A61">
        <w:t>,</w:t>
      </w:r>
      <w:r w:rsidR="00261112">
        <w:t xml:space="preserve"> </w:t>
      </w:r>
      <w:r w:rsidRPr="00065829" w:rsidR="00261112">
        <w:rPr>
          <w:i/>
        </w:rPr>
        <w:t xml:space="preserve">et. </w:t>
      </w:r>
      <w:r w:rsidR="00CB54B9">
        <w:rPr>
          <w:i/>
        </w:rPr>
        <w:t>al</w:t>
      </w:r>
      <w:r w:rsidR="00261112">
        <w:t>.; and BAL-20171211AFG</w:t>
      </w:r>
      <w:r w:rsidR="00F63A61">
        <w:t>,</w:t>
      </w:r>
      <w:r w:rsidR="00261112">
        <w:t xml:space="preserve"> </w:t>
      </w:r>
      <w:r w:rsidRPr="00065829" w:rsidR="00261112">
        <w:rPr>
          <w:i/>
        </w:rPr>
        <w:t xml:space="preserve">et. </w:t>
      </w:r>
      <w:r w:rsidR="00CB54B9">
        <w:rPr>
          <w:i/>
        </w:rPr>
        <w:t>al</w:t>
      </w:r>
      <w:r w:rsidR="001C1CD7">
        <w:t>.</w:t>
      </w:r>
    </w:p>
  </w:footnote>
  <w:footnote w:id="10">
    <w:p w:rsidR="000E7D27">
      <w:pPr>
        <w:pStyle w:val="FootnoteText"/>
      </w:pPr>
      <w:r>
        <w:rPr>
          <w:rStyle w:val="FootnoteReference"/>
        </w:rPr>
        <w:footnoteRef/>
      </w:r>
      <w:r>
        <w:t xml:space="preserve"> </w:t>
      </w:r>
      <w:r w:rsidRPr="000E7D27">
        <w:rPr>
          <w:i/>
        </w:rPr>
        <w:t>See</w:t>
      </w:r>
      <w:r>
        <w:t xml:space="preserve"> Exh. 2, Applications.</w:t>
      </w:r>
    </w:p>
  </w:footnote>
  <w:footnote w:id="11">
    <w:p w:rsidR="00DF0229" w:rsidP="000F0E00">
      <w:pPr>
        <w:pStyle w:val="FootnoteText"/>
      </w:pPr>
      <w:r>
        <w:rPr>
          <w:rStyle w:val="FootnoteReference"/>
        </w:rPr>
        <w:footnoteRef/>
      </w:r>
      <w:r>
        <w:t xml:space="preserve"> </w:t>
      </w:r>
      <w:r w:rsidRPr="009E0A6E" w:rsidR="009E0A6E">
        <w:rPr>
          <w:i/>
        </w:rPr>
        <w:t>See</w:t>
      </w:r>
      <w:r w:rsidR="009E0A6E">
        <w:t xml:space="preserve"> </w:t>
      </w:r>
      <w:r w:rsidRPr="001C1CD7" w:rsidR="009E0A6E">
        <w:rPr>
          <w:i/>
        </w:rPr>
        <w:t>Broadcast Actions</w:t>
      </w:r>
      <w:r w:rsidR="00127A69">
        <w:rPr>
          <w:i/>
        </w:rPr>
        <w:t>,</w:t>
      </w:r>
      <w:r w:rsidR="009E0A6E">
        <w:t xml:space="preserve"> Public Notice</w:t>
      </w:r>
      <w:r w:rsidR="00127A69">
        <w:t>, Report No. 49141, pp. 7-30</w:t>
      </w:r>
      <w:r w:rsidR="00F526C7">
        <w:t xml:space="preserve"> (Dec.28, 2017)</w:t>
      </w:r>
      <w:r w:rsidR="00121249">
        <w:t>.</w:t>
      </w:r>
    </w:p>
  </w:footnote>
  <w:footnote w:id="12">
    <w:p w:rsidR="00121249">
      <w:pPr>
        <w:pStyle w:val="FootnoteText"/>
      </w:pPr>
      <w:r>
        <w:rPr>
          <w:rStyle w:val="FootnoteReference"/>
        </w:rPr>
        <w:footnoteRef/>
      </w:r>
      <w:r>
        <w:t xml:space="preserve"> </w:t>
      </w:r>
      <w:r w:rsidRPr="007A7DE4">
        <w:rPr>
          <w:i/>
        </w:rPr>
        <w:t xml:space="preserve">See </w:t>
      </w:r>
      <w:r>
        <w:t>Consummation Notice dated February 28, 2018.</w:t>
      </w:r>
    </w:p>
  </w:footnote>
  <w:footnote w:id="13">
    <w:p w:rsidR="00DF0229" w:rsidP="000F0E00">
      <w:pPr>
        <w:pStyle w:val="FootnoteText"/>
      </w:pPr>
      <w:r>
        <w:rPr>
          <w:rStyle w:val="FootnoteReference"/>
        </w:rPr>
        <w:footnoteRef/>
      </w:r>
      <w:r>
        <w:t xml:space="preserve"> Debt Collection Improvement Act of 1996, Pub. L. No. 104-134, 110 Stat. 1321, 1358 (Apr. 26,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0229" w:rsidP="00FD25AF">
    <w:pPr>
      <w:pStyle w:val="Header"/>
      <w:rPr>
        <w:b w:val="0"/>
      </w:rPr>
    </w:pPr>
    <w:r>
      <w:rPr>
        <w:noProof/>
        <w:snapToGrid/>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t>DA 18-</w:t>
    </w:r>
    <w:r w:rsidR="00BC3EC3">
      <w:t>615</w:t>
    </w:r>
  </w:p>
  <w:p w:rsidR="00DF0229">
    <w:pPr>
      <w:pStyle w:val="Header"/>
      <w:rPr>
        <w:b w:val="0"/>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0229" w:rsidP="00FD25A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DA 18-</w:t>
    </w:r>
    <w:r w:rsidR="00BC3EC3">
      <w:t>615</w:t>
    </w:r>
  </w:p>
  <w:p w:rsidR="00DF0229" w:rsidRPr="00FD25AF" w:rsidP="00FD2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5F7AE1"/>
    <w:multiLevelType w:val="hybridMultilevel"/>
    <w:tmpl w:val="8F74EE06"/>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3297A47"/>
    <w:multiLevelType w:val="hybridMultilevel"/>
    <w:tmpl w:val="A66E7CA6"/>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057755EB"/>
    <w:multiLevelType w:val="multilevel"/>
    <w:tmpl w:val="FBAED848"/>
    <w:lvl w:ilvl="0">
      <w:start w:val="12"/>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8752423"/>
    <w:multiLevelType w:val="multilevel"/>
    <w:tmpl w:val="9F248E38"/>
    <w:lvl w:ilvl="0">
      <w:start w:val="3"/>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B6776C4"/>
    <w:multiLevelType w:val="hybridMultilevel"/>
    <w:tmpl w:val="649C0A4E"/>
    <w:lvl w:ilvl="0">
      <w:start w:val="1"/>
      <w:numFmt w:val="upperRoman"/>
      <w:lvlText w:val="%1."/>
      <w:lvlJc w:val="left"/>
      <w:pPr>
        <w:ind w:left="780" w:hanging="72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6">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31D730C8"/>
    <w:multiLevelType w:val="hybridMultilevel"/>
    <w:tmpl w:val="FA0A1C02"/>
    <w:lvl w:ilvl="0">
      <w:start w:val="1"/>
      <w:numFmt w:val="upp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3D0F1B3D"/>
    <w:multiLevelType w:val="singleLevel"/>
    <w:tmpl w:val="079AE5A0"/>
    <w:lvl w:ilvl="0">
      <w:start w:val="3"/>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r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4FDF649F"/>
    <w:multiLevelType w:val="hybridMultilevel"/>
    <w:tmpl w:val="CD666EF8"/>
    <w:lvl w:ilvl="0">
      <w:start w:val="1"/>
      <w:numFmt w:val="lowerLetter"/>
      <w:lvlText w:val="(%1)"/>
      <w:lvlJc w:val="left"/>
      <w:pPr>
        <w:ind w:left="2160" w:hanging="360"/>
      </w:pPr>
      <w:rPr>
        <w:rFonts w:hint="default"/>
      </w:rPr>
    </w:lvl>
    <w:lvl w:ilvl="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4">
    <w:nsid w:val="50C963E9"/>
    <w:multiLevelType w:val="hybridMultilevel"/>
    <w:tmpl w:val="72A2546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71FB7B6B"/>
    <w:multiLevelType w:val="hybridMultilevel"/>
    <w:tmpl w:val="7852513A"/>
    <w:lvl w:ilvl="0">
      <w:start w:val="1"/>
      <w:numFmt w:val="decimal"/>
      <w:lvlText w:val="%1."/>
      <w:lvlJc w:val="left"/>
      <w:pPr>
        <w:ind w:left="0" w:firstLine="720"/>
      </w:pPr>
      <w:rPr>
        <w:rFonts w:ascii="Times New Roman" w:hAnsi="Times New Roman" w:cs="Times New Roman"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D53267E"/>
    <w:multiLevelType w:val="hybridMultilevel"/>
    <w:tmpl w:val="DC4E3AFE"/>
    <w:lvl w:ilvl="0">
      <w:start w:val="1"/>
      <w:numFmt w:val="decimal"/>
      <w:lvlText w:val="%1."/>
      <w:lvlJc w:val="left"/>
      <w:pPr>
        <w:ind w:left="0" w:firstLine="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F581C91"/>
    <w:multiLevelType w:val="hybridMultilevel"/>
    <w:tmpl w:val="3DF8BFC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1"/>
  </w:num>
  <w:num w:numId="2">
    <w:abstractNumId w:val="17"/>
  </w:num>
  <w:num w:numId="3">
    <w:abstractNumId w:val="16"/>
  </w:num>
  <w:num w:numId="4">
    <w:abstractNumId w:val="10"/>
  </w:num>
  <w:num w:numId="5">
    <w:abstractNumId w:val="6"/>
  </w:num>
  <w:num w:numId="6">
    <w:abstractNumId w:val="0"/>
  </w:num>
  <w:num w:numId="7">
    <w:abstractNumId w:val="7"/>
  </w:num>
  <w:num w:numId="8">
    <w:abstractNumId w:val="15"/>
  </w:num>
  <w:num w:numId="9">
    <w:abstractNumId w:val="9"/>
  </w:num>
  <w:num w:numId="10">
    <w:abstractNumId w:val="12"/>
  </w:num>
  <w:num w:numId="11">
    <w:abstractNumId w:val="8"/>
  </w:num>
  <w:num w:numId="12">
    <w:abstractNumId w:val="3"/>
  </w:num>
  <w:num w:numId="13">
    <w:abstractNumId w:val="1"/>
  </w:num>
  <w:num w:numId="14">
    <w:abstractNumId w:val="13"/>
  </w:num>
  <w:num w:numId="15">
    <w:abstractNumId w:val="14"/>
  </w:num>
  <w:num w:numId="16">
    <w:abstractNumId w:val="2"/>
  </w:num>
  <w:num w:numId="17">
    <w:abstractNumId w:val="4"/>
  </w:num>
  <w:num w:numId="18">
    <w:abstractNumId w:val="18"/>
  </w:num>
  <w:num w:numId="19">
    <w:abstractNumId w:val="15"/>
    <w:lvlOverride w:ilvl="0">
      <w:startOverride w:val="13"/>
    </w:lvlOverride>
  </w:num>
  <w:num w:numId="20">
    <w:abstractNumId w:val="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attachedTemplate r:id="rId1"/>
  <w:linkStyles/>
  <w:stylePaneFormatFilter w:val="3701" w:allStyles="1" w:alternateStyleNames="0" w:clearFormatting="1" w:customStyles="0" w:directFormattingOnNumbering="1" w:directFormattingOnParagraphs="1" w:directFormattingOnRuns="1" w:directFormattingOnTables="0"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17A"/>
    <w:pPr>
      <w:widowControl w:val="0"/>
    </w:pPr>
    <w:rPr>
      <w:snapToGrid w:val="0"/>
      <w:kern w:val="28"/>
      <w:sz w:val="22"/>
    </w:rPr>
  </w:style>
  <w:style w:type="paragraph" w:styleId="Heading1">
    <w:name w:val="heading 1"/>
    <w:basedOn w:val="Normal"/>
    <w:next w:val="ParaNum"/>
    <w:link w:val="Heading1Char"/>
    <w:qFormat/>
    <w:rsid w:val="00EE517A"/>
    <w:pPr>
      <w:keepNext/>
      <w:numPr>
        <w:numId w:val="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E517A"/>
    <w:pPr>
      <w:keepNext/>
      <w:numPr>
        <w:ilvl w:val="1"/>
        <w:numId w:val="9"/>
      </w:numPr>
      <w:spacing w:after="120"/>
      <w:outlineLvl w:val="1"/>
    </w:pPr>
    <w:rPr>
      <w:b/>
    </w:rPr>
  </w:style>
  <w:style w:type="paragraph" w:styleId="Heading3">
    <w:name w:val="heading 3"/>
    <w:basedOn w:val="Normal"/>
    <w:next w:val="ParaNum"/>
    <w:link w:val="Heading3Char"/>
    <w:qFormat/>
    <w:rsid w:val="00EE517A"/>
    <w:pPr>
      <w:keepNext/>
      <w:numPr>
        <w:ilvl w:val="2"/>
        <w:numId w:val="9"/>
      </w:numPr>
      <w:tabs>
        <w:tab w:val="left" w:pos="2160"/>
      </w:tabs>
      <w:spacing w:after="120"/>
      <w:outlineLvl w:val="2"/>
    </w:pPr>
    <w:rPr>
      <w:b/>
    </w:rPr>
  </w:style>
  <w:style w:type="paragraph" w:styleId="Heading4">
    <w:name w:val="heading 4"/>
    <w:basedOn w:val="Normal"/>
    <w:next w:val="ParaNum"/>
    <w:link w:val="Heading4Char"/>
    <w:qFormat/>
    <w:rsid w:val="00EE517A"/>
    <w:pPr>
      <w:keepNext/>
      <w:numPr>
        <w:ilvl w:val="3"/>
        <w:numId w:val="9"/>
      </w:numPr>
      <w:tabs>
        <w:tab w:val="left" w:pos="2880"/>
      </w:tabs>
      <w:spacing w:after="120"/>
      <w:outlineLvl w:val="3"/>
    </w:pPr>
    <w:rPr>
      <w:b/>
    </w:rPr>
  </w:style>
  <w:style w:type="paragraph" w:styleId="Heading5">
    <w:name w:val="heading 5"/>
    <w:basedOn w:val="Normal"/>
    <w:next w:val="ParaNum"/>
    <w:link w:val="Heading5Char"/>
    <w:qFormat/>
    <w:rsid w:val="00EE517A"/>
    <w:pPr>
      <w:keepNext/>
      <w:numPr>
        <w:ilvl w:val="4"/>
        <w:numId w:val="9"/>
      </w:numPr>
      <w:tabs>
        <w:tab w:val="left" w:pos="3600"/>
      </w:tabs>
      <w:suppressAutoHyphens/>
      <w:spacing w:after="120"/>
      <w:outlineLvl w:val="4"/>
    </w:pPr>
    <w:rPr>
      <w:b/>
    </w:rPr>
  </w:style>
  <w:style w:type="paragraph" w:styleId="Heading6">
    <w:name w:val="heading 6"/>
    <w:basedOn w:val="Normal"/>
    <w:next w:val="ParaNum"/>
    <w:link w:val="Heading6Char"/>
    <w:qFormat/>
    <w:rsid w:val="00EE517A"/>
    <w:pPr>
      <w:numPr>
        <w:ilvl w:val="5"/>
        <w:numId w:val="9"/>
      </w:numPr>
      <w:tabs>
        <w:tab w:val="left" w:pos="4320"/>
      </w:tabs>
      <w:spacing w:after="120"/>
      <w:outlineLvl w:val="5"/>
    </w:pPr>
    <w:rPr>
      <w:b/>
    </w:rPr>
  </w:style>
  <w:style w:type="paragraph" w:styleId="Heading7">
    <w:name w:val="heading 7"/>
    <w:basedOn w:val="Normal"/>
    <w:next w:val="ParaNum"/>
    <w:link w:val="Heading7Char"/>
    <w:qFormat/>
    <w:rsid w:val="00EE517A"/>
    <w:pPr>
      <w:numPr>
        <w:ilvl w:val="6"/>
        <w:numId w:val="9"/>
      </w:numPr>
      <w:tabs>
        <w:tab w:val="left" w:pos="5040"/>
      </w:tabs>
      <w:spacing w:after="120"/>
      <w:ind w:left="5040" w:hanging="720"/>
      <w:outlineLvl w:val="6"/>
    </w:pPr>
    <w:rPr>
      <w:b/>
    </w:rPr>
  </w:style>
  <w:style w:type="paragraph" w:styleId="Heading8">
    <w:name w:val="heading 8"/>
    <w:basedOn w:val="Normal"/>
    <w:next w:val="ParaNum"/>
    <w:link w:val="Heading8Char"/>
    <w:qFormat/>
    <w:rsid w:val="00EE517A"/>
    <w:pPr>
      <w:numPr>
        <w:ilvl w:val="7"/>
        <w:numId w:val="9"/>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E517A"/>
    <w:pPr>
      <w:numPr>
        <w:ilvl w:val="8"/>
        <w:numId w:val="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E51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E517A"/>
  </w:style>
  <w:style w:type="paragraph" w:styleId="Header">
    <w:name w:val="header"/>
    <w:basedOn w:val="Normal"/>
    <w:link w:val="HeaderChar"/>
    <w:autoRedefine/>
    <w:rsid w:val="00EE517A"/>
    <w:pPr>
      <w:tabs>
        <w:tab w:val="center" w:pos="4680"/>
        <w:tab w:val="right" w:pos="9360"/>
      </w:tabs>
    </w:pPr>
    <w:rPr>
      <w:b/>
    </w:rPr>
  </w:style>
  <w:style w:type="paragraph" w:styleId="BodyText">
    <w:name w:val="Body Text"/>
    <w:basedOn w:val="Normal"/>
    <w:link w:val="BodyTextChar"/>
    <w:pPr>
      <w:tabs>
        <w:tab w:val="left" w:pos="720"/>
        <w:tab w:val="left" w:pos="4680"/>
      </w:tabs>
      <w:jc w:val="both"/>
    </w:pPr>
  </w:style>
  <w:style w:type="character" w:styleId="PageNumber">
    <w:name w:val="page number"/>
    <w:basedOn w:val="DefaultParagraphFont"/>
    <w:rsid w:val="00EE517A"/>
  </w:style>
  <w:style w:type="paragraph" w:styleId="Footer">
    <w:name w:val="footer"/>
    <w:basedOn w:val="Normal"/>
    <w:link w:val="FooterChar"/>
    <w:rsid w:val="00EE517A"/>
    <w:pPr>
      <w:tabs>
        <w:tab w:val="center" w:pos="4320"/>
        <w:tab w:val="right" w:pos="8640"/>
      </w:tabs>
    </w:pPr>
  </w:style>
  <w:style w:type="paragraph" w:styleId="FootnoteText">
    <w:name w:val="footnote text"/>
    <w:aliases w:val="Footnote Text Char,Footnote Text Char Char Char4 Char Char,Footnote Text Char1,Footnote Text Char1 Char,Footnote Text Char4 Char1 Char Char,Footnote Text Char7 Char,Footnote Text Char7 Char Char,Footnote Text Char7 Char Char Char Char Char"/>
    <w:link w:val="FootnoteTextChar2"/>
    <w:rsid w:val="00EE517A"/>
    <w:pPr>
      <w:spacing w:after="120"/>
    </w:pPr>
  </w:style>
  <w:style w:type="character" w:styleId="FootnoteReference">
    <w:name w:val="footnote reference"/>
    <w:aliases w:val="(NECG) Footnote Reference,Appel note de bas de p,FR,Footnote Reference/,Style 12,Style 124,Style 13,Style 17,Style 3,Style 4,Style 6,fr,o"/>
    <w:rsid w:val="00EE517A"/>
    <w:rPr>
      <w:rFonts w:ascii="Times New Roman" w:hAnsi="Times New Roman"/>
      <w:dstrike w:val="0"/>
      <w:color w:val="auto"/>
      <w:sz w:val="20"/>
      <w:vertAlign w:val="superscript"/>
    </w:rPr>
  </w:style>
  <w:style w:type="paragraph" w:customStyle="1" w:styleId="ParaNum">
    <w:name w:val="ParaNum"/>
    <w:basedOn w:val="Normal"/>
    <w:link w:val="ParaNumChar"/>
    <w:rsid w:val="00EE517A"/>
    <w:pPr>
      <w:numPr>
        <w:numId w:val="8"/>
      </w:numPr>
      <w:tabs>
        <w:tab w:val="clear" w:pos="1080"/>
        <w:tab w:val="num" w:pos="1440"/>
      </w:tabs>
      <w:spacing w:after="120"/>
    </w:pPr>
  </w:style>
  <w:style w:type="character" w:customStyle="1" w:styleId="FootnoteTextChar2">
    <w:name w:val="Footnote Text Char2"/>
    <w:aliases w:val="Footnote Text Char Char,Footnote Text Char Char Char4 Char Char Char,Footnote Text Char1 Char Char,Footnote Text Char4 Char1 Char Char Char,Footnote Text Char7 Char Char Char,Footnote Text Char7 Char Char Char Char Char Char"/>
    <w:link w:val="FootnoteText"/>
  </w:style>
  <w:style w:type="character" w:customStyle="1" w:styleId="FootnoteTextChar4Char1CharCharCharCharChar">
    <w:name w:val="Footnote Text Char4 Char1 Char Char Char Char Char"/>
    <w:rPr>
      <w:lang w:val="en-US" w:eastAsia="en-US" w:bidi="ar-SA"/>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rrfootnoteChar">
    <w:name w:val="rrfootnote Char"/>
    <w:aliases w:val="Footnote Text C Char,Footnote Text Char Char Char,Footnote Text Char Char Char Char Char,Footnote Text Char1 Char Char Char,rrfootnote Char Char Char,rrfootnote Char Char Char Char Char"/>
    <w:rsid w:val="00031BAC"/>
    <w:rPr>
      <w:sz w:val="20"/>
      <w:szCs w:val="20"/>
    </w:rPr>
  </w:style>
  <w:style w:type="character" w:customStyle="1" w:styleId="documentbody1">
    <w:name w:val="documentbody1"/>
    <w:uiPriority w:val="99"/>
    <w:rsid w:val="00031BAC"/>
    <w:rPr>
      <w:rFonts w:ascii="Verdana" w:hAnsi="Verdana"/>
      <w:sz w:val="19"/>
    </w:rPr>
  </w:style>
  <w:style w:type="character" w:customStyle="1" w:styleId="ParaNumChar">
    <w:name w:val="ParaNum Char"/>
    <w:link w:val="ParaNum"/>
    <w:locked/>
    <w:rsid w:val="00031BAC"/>
    <w:rPr>
      <w:snapToGrid w:val="0"/>
      <w:kern w:val="28"/>
      <w:sz w:val="22"/>
    </w:rPr>
  </w:style>
  <w:style w:type="paragraph" w:styleId="ListParagraph">
    <w:name w:val="List Paragraph"/>
    <w:basedOn w:val="Normal"/>
    <w:uiPriority w:val="34"/>
    <w:qFormat/>
    <w:rsid w:val="00E52A2B"/>
    <w:pPr>
      <w:ind w:left="720"/>
      <w:contextualSpacing/>
    </w:pPr>
  </w:style>
  <w:style w:type="character" w:styleId="CommentReference">
    <w:name w:val="annotation reference"/>
    <w:basedOn w:val="DefaultParagraphFont"/>
    <w:uiPriority w:val="99"/>
    <w:rsid w:val="000F3548"/>
    <w:rPr>
      <w:sz w:val="16"/>
      <w:szCs w:val="16"/>
    </w:rPr>
  </w:style>
  <w:style w:type="paragraph" w:styleId="CommentText">
    <w:name w:val="annotation text"/>
    <w:basedOn w:val="Normal"/>
    <w:link w:val="CommentTextChar"/>
    <w:uiPriority w:val="99"/>
    <w:rsid w:val="000F3548"/>
    <w:rPr>
      <w:sz w:val="20"/>
    </w:rPr>
  </w:style>
  <w:style w:type="character" w:customStyle="1" w:styleId="CommentTextChar">
    <w:name w:val="Comment Text Char"/>
    <w:basedOn w:val="DefaultParagraphFont"/>
    <w:link w:val="CommentText"/>
    <w:uiPriority w:val="99"/>
    <w:rsid w:val="000F3548"/>
  </w:style>
  <w:style w:type="paragraph" w:styleId="CommentSubject">
    <w:name w:val="annotation subject"/>
    <w:basedOn w:val="CommentText"/>
    <w:next w:val="CommentText"/>
    <w:link w:val="CommentSubjectChar"/>
    <w:uiPriority w:val="99"/>
    <w:rsid w:val="000F3548"/>
    <w:rPr>
      <w:b/>
      <w:bCs/>
    </w:rPr>
  </w:style>
  <w:style w:type="character" w:customStyle="1" w:styleId="CommentSubjectChar">
    <w:name w:val="Comment Subject Char"/>
    <w:basedOn w:val="CommentTextChar"/>
    <w:link w:val="CommentSubject"/>
    <w:uiPriority w:val="99"/>
    <w:rsid w:val="000F3548"/>
    <w:rPr>
      <w:b/>
      <w:bCs/>
    </w:rPr>
  </w:style>
  <w:style w:type="paragraph" w:styleId="PlainText">
    <w:name w:val="Plain Text"/>
    <w:basedOn w:val="Normal"/>
    <w:link w:val="PlainTextChar"/>
    <w:uiPriority w:val="99"/>
    <w:unhideWhenUsed/>
    <w:rsid w:val="00C4345B"/>
    <w:rPr>
      <w:rFonts w:ascii="Calibri" w:hAnsi="Calibri" w:eastAsiaTheme="minorHAnsi" w:cs="Consolas"/>
      <w:szCs w:val="21"/>
    </w:rPr>
  </w:style>
  <w:style w:type="character" w:customStyle="1" w:styleId="PlainTextChar">
    <w:name w:val="Plain Text Char"/>
    <w:basedOn w:val="DefaultParagraphFont"/>
    <w:link w:val="PlainText"/>
    <w:uiPriority w:val="99"/>
    <w:rsid w:val="00C4345B"/>
    <w:rPr>
      <w:rFonts w:ascii="Calibri" w:hAnsi="Calibri" w:eastAsiaTheme="minorHAnsi" w:cs="Consolas"/>
      <w:sz w:val="22"/>
      <w:szCs w:val="21"/>
    </w:rPr>
  </w:style>
  <w:style w:type="character" w:customStyle="1" w:styleId="Heading2Char">
    <w:name w:val="Heading 2 Char"/>
    <w:basedOn w:val="DefaultParagraphFont"/>
    <w:link w:val="Heading2"/>
    <w:rsid w:val="008C6920"/>
    <w:rPr>
      <w:b/>
      <w:snapToGrid w:val="0"/>
      <w:kern w:val="28"/>
      <w:sz w:val="22"/>
    </w:rPr>
  </w:style>
  <w:style w:type="character" w:customStyle="1" w:styleId="Heading3Char">
    <w:name w:val="Heading 3 Char"/>
    <w:basedOn w:val="DefaultParagraphFont"/>
    <w:link w:val="Heading3"/>
    <w:rsid w:val="008C6920"/>
    <w:rPr>
      <w:b/>
      <w:snapToGrid w:val="0"/>
      <w:kern w:val="28"/>
      <w:sz w:val="22"/>
    </w:rPr>
  </w:style>
  <w:style w:type="character" w:customStyle="1" w:styleId="Heading4Char">
    <w:name w:val="Heading 4 Char"/>
    <w:basedOn w:val="DefaultParagraphFont"/>
    <w:link w:val="Heading4"/>
    <w:rsid w:val="008C6920"/>
    <w:rPr>
      <w:b/>
      <w:snapToGrid w:val="0"/>
      <w:kern w:val="28"/>
      <w:sz w:val="22"/>
    </w:rPr>
  </w:style>
  <w:style w:type="character" w:customStyle="1" w:styleId="Heading5Char">
    <w:name w:val="Heading 5 Char"/>
    <w:basedOn w:val="DefaultParagraphFont"/>
    <w:link w:val="Heading5"/>
    <w:rsid w:val="008C6920"/>
    <w:rPr>
      <w:b/>
      <w:snapToGrid w:val="0"/>
      <w:kern w:val="28"/>
      <w:sz w:val="22"/>
    </w:rPr>
  </w:style>
  <w:style w:type="character" w:customStyle="1" w:styleId="Heading6Char">
    <w:name w:val="Heading 6 Char"/>
    <w:basedOn w:val="DefaultParagraphFont"/>
    <w:link w:val="Heading6"/>
    <w:rsid w:val="008C6920"/>
    <w:rPr>
      <w:b/>
      <w:snapToGrid w:val="0"/>
      <w:kern w:val="28"/>
      <w:sz w:val="22"/>
    </w:rPr>
  </w:style>
  <w:style w:type="character" w:customStyle="1" w:styleId="Heading7Char">
    <w:name w:val="Heading 7 Char"/>
    <w:basedOn w:val="DefaultParagraphFont"/>
    <w:link w:val="Heading7"/>
    <w:rsid w:val="008C6920"/>
    <w:rPr>
      <w:b/>
      <w:snapToGrid w:val="0"/>
      <w:kern w:val="28"/>
      <w:sz w:val="22"/>
    </w:rPr>
  </w:style>
  <w:style w:type="character" w:customStyle="1" w:styleId="Heading8Char">
    <w:name w:val="Heading 8 Char"/>
    <w:basedOn w:val="DefaultParagraphFont"/>
    <w:link w:val="Heading8"/>
    <w:rsid w:val="008C6920"/>
    <w:rPr>
      <w:b/>
      <w:snapToGrid w:val="0"/>
      <w:kern w:val="28"/>
      <w:sz w:val="22"/>
    </w:rPr>
  </w:style>
  <w:style w:type="character" w:customStyle="1" w:styleId="Heading9Char">
    <w:name w:val="Heading 9 Char"/>
    <w:basedOn w:val="DefaultParagraphFont"/>
    <w:link w:val="Heading9"/>
    <w:rsid w:val="008C6920"/>
    <w:rPr>
      <w:b/>
      <w:snapToGrid w:val="0"/>
      <w:kern w:val="28"/>
      <w:sz w:val="22"/>
    </w:rPr>
  </w:style>
  <w:style w:type="paragraph" w:styleId="EndnoteText">
    <w:name w:val="endnote text"/>
    <w:basedOn w:val="Normal"/>
    <w:link w:val="EndnoteTextChar"/>
    <w:rsid w:val="00EE517A"/>
    <w:rPr>
      <w:sz w:val="20"/>
    </w:rPr>
  </w:style>
  <w:style w:type="character" w:customStyle="1" w:styleId="EndnoteTextChar">
    <w:name w:val="Endnote Text Char"/>
    <w:basedOn w:val="DefaultParagraphFont"/>
    <w:link w:val="EndnoteText"/>
    <w:rsid w:val="008C6920"/>
    <w:rPr>
      <w:snapToGrid w:val="0"/>
      <w:kern w:val="28"/>
    </w:rPr>
  </w:style>
  <w:style w:type="character" w:styleId="EndnoteReference">
    <w:name w:val="endnote reference"/>
    <w:rsid w:val="00EE517A"/>
    <w:rPr>
      <w:vertAlign w:val="superscript"/>
    </w:rPr>
  </w:style>
  <w:style w:type="paragraph" w:styleId="TOC1">
    <w:name w:val="toc 1"/>
    <w:basedOn w:val="Normal"/>
    <w:next w:val="Normal"/>
    <w:rsid w:val="00EE517A"/>
    <w:pPr>
      <w:tabs>
        <w:tab w:val="left" w:pos="360"/>
        <w:tab w:val="right" w:leader="dot" w:pos="9360"/>
      </w:tabs>
      <w:suppressAutoHyphens/>
      <w:ind w:left="360" w:right="720" w:hanging="360"/>
    </w:pPr>
    <w:rPr>
      <w:caps/>
      <w:noProof/>
    </w:rPr>
  </w:style>
  <w:style w:type="paragraph" w:styleId="TOC2">
    <w:name w:val="toc 2"/>
    <w:basedOn w:val="Normal"/>
    <w:next w:val="Normal"/>
    <w:rsid w:val="00EE517A"/>
    <w:pPr>
      <w:tabs>
        <w:tab w:val="left" w:pos="720"/>
        <w:tab w:val="right" w:leader="dot" w:pos="9360"/>
      </w:tabs>
      <w:suppressAutoHyphens/>
      <w:ind w:left="720" w:right="720" w:hanging="360"/>
    </w:pPr>
    <w:rPr>
      <w:noProof/>
    </w:rPr>
  </w:style>
  <w:style w:type="paragraph" w:styleId="TOC3">
    <w:name w:val="toc 3"/>
    <w:basedOn w:val="Normal"/>
    <w:next w:val="Normal"/>
    <w:rsid w:val="00EE517A"/>
    <w:pPr>
      <w:tabs>
        <w:tab w:val="left" w:pos="1080"/>
        <w:tab w:val="right" w:leader="dot" w:pos="9360"/>
      </w:tabs>
      <w:suppressAutoHyphens/>
      <w:ind w:left="1080" w:right="720" w:hanging="360"/>
    </w:pPr>
    <w:rPr>
      <w:noProof/>
    </w:rPr>
  </w:style>
  <w:style w:type="paragraph" w:styleId="TOC4">
    <w:name w:val="toc 4"/>
    <w:basedOn w:val="Normal"/>
    <w:next w:val="Normal"/>
    <w:autoRedefine/>
    <w:rsid w:val="00EE517A"/>
    <w:pPr>
      <w:tabs>
        <w:tab w:val="left" w:pos="1440"/>
        <w:tab w:val="right" w:leader="dot" w:pos="9360"/>
      </w:tabs>
      <w:suppressAutoHyphens/>
      <w:ind w:left="1440" w:right="720" w:hanging="360"/>
    </w:pPr>
    <w:rPr>
      <w:noProof/>
    </w:rPr>
  </w:style>
  <w:style w:type="paragraph" w:styleId="TOC5">
    <w:name w:val="toc 5"/>
    <w:basedOn w:val="Normal"/>
    <w:next w:val="Normal"/>
    <w:autoRedefine/>
    <w:rsid w:val="00EE517A"/>
    <w:pPr>
      <w:tabs>
        <w:tab w:val="left" w:pos="1800"/>
        <w:tab w:val="right" w:leader="dot" w:pos="9360"/>
      </w:tabs>
      <w:suppressAutoHyphens/>
      <w:ind w:left="1800" w:right="720" w:hanging="360"/>
    </w:pPr>
    <w:rPr>
      <w:noProof/>
    </w:rPr>
  </w:style>
  <w:style w:type="paragraph" w:styleId="TOC6">
    <w:name w:val="toc 6"/>
    <w:basedOn w:val="Normal"/>
    <w:next w:val="Normal"/>
    <w:autoRedefine/>
    <w:rsid w:val="00EE517A"/>
    <w:pPr>
      <w:tabs>
        <w:tab w:val="left" w:pos="2160"/>
        <w:tab w:val="right" w:leader="dot" w:pos="9360"/>
      </w:tabs>
      <w:suppressAutoHyphens/>
      <w:ind w:left="2160" w:hanging="360"/>
    </w:pPr>
    <w:rPr>
      <w:noProof/>
    </w:rPr>
  </w:style>
  <w:style w:type="paragraph" w:styleId="TOC7">
    <w:name w:val="toc 7"/>
    <w:basedOn w:val="Normal"/>
    <w:next w:val="Normal"/>
    <w:autoRedefine/>
    <w:rsid w:val="00EE517A"/>
    <w:pPr>
      <w:tabs>
        <w:tab w:val="left" w:pos="2520"/>
        <w:tab w:val="right" w:leader="dot" w:pos="9360"/>
      </w:tabs>
      <w:suppressAutoHyphens/>
      <w:ind w:left="2520" w:hanging="360"/>
    </w:pPr>
    <w:rPr>
      <w:noProof/>
    </w:rPr>
  </w:style>
  <w:style w:type="paragraph" w:styleId="TOC8">
    <w:name w:val="toc 8"/>
    <w:basedOn w:val="Normal"/>
    <w:next w:val="Normal"/>
    <w:autoRedefine/>
    <w:rsid w:val="00EE517A"/>
    <w:pPr>
      <w:tabs>
        <w:tab w:val="left" w:pos="2880"/>
        <w:tab w:val="right" w:leader="dot" w:pos="9360"/>
      </w:tabs>
      <w:suppressAutoHyphens/>
      <w:ind w:left="2880" w:hanging="360"/>
    </w:pPr>
    <w:rPr>
      <w:noProof/>
    </w:rPr>
  </w:style>
  <w:style w:type="paragraph" w:styleId="TOC9">
    <w:name w:val="toc 9"/>
    <w:basedOn w:val="Normal"/>
    <w:next w:val="Normal"/>
    <w:autoRedefine/>
    <w:rsid w:val="00EE517A"/>
    <w:pPr>
      <w:tabs>
        <w:tab w:val="left" w:pos="3240"/>
        <w:tab w:val="right" w:leader="dot" w:pos="9360"/>
      </w:tabs>
      <w:suppressAutoHyphens/>
      <w:ind w:left="3240" w:hanging="360"/>
    </w:pPr>
    <w:rPr>
      <w:noProof/>
    </w:rPr>
  </w:style>
  <w:style w:type="paragraph" w:styleId="TOAHeading">
    <w:name w:val="toa heading"/>
    <w:basedOn w:val="Normal"/>
    <w:next w:val="Normal"/>
    <w:rsid w:val="00EE517A"/>
    <w:pPr>
      <w:tabs>
        <w:tab w:val="right" w:pos="9360"/>
      </w:tabs>
      <w:suppressAutoHyphens/>
    </w:pPr>
  </w:style>
  <w:style w:type="character" w:customStyle="1" w:styleId="EquationCaption">
    <w:name w:val="_Equation Caption"/>
    <w:rsid w:val="00EE517A"/>
  </w:style>
  <w:style w:type="paragraph" w:styleId="BlockText">
    <w:name w:val="Block Text"/>
    <w:basedOn w:val="Normal"/>
    <w:rsid w:val="00EE517A"/>
    <w:pPr>
      <w:spacing w:after="240"/>
      <w:ind w:left="1440" w:right="1440"/>
    </w:pPr>
  </w:style>
  <w:style w:type="paragraph" w:customStyle="1" w:styleId="Paratitle">
    <w:name w:val="Para title"/>
    <w:basedOn w:val="Normal"/>
    <w:rsid w:val="00EE517A"/>
    <w:pPr>
      <w:tabs>
        <w:tab w:val="center" w:pos="9270"/>
      </w:tabs>
      <w:spacing w:after="240"/>
    </w:pPr>
    <w:rPr>
      <w:spacing w:val="-2"/>
    </w:rPr>
  </w:style>
  <w:style w:type="paragraph" w:customStyle="1" w:styleId="Bullet">
    <w:name w:val="Bullet"/>
    <w:basedOn w:val="Normal"/>
    <w:rsid w:val="00EE517A"/>
    <w:pPr>
      <w:tabs>
        <w:tab w:val="left" w:pos="2160"/>
      </w:tabs>
      <w:spacing w:after="220"/>
      <w:ind w:left="2160" w:hanging="720"/>
    </w:pPr>
  </w:style>
  <w:style w:type="paragraph" w:customStyle="1" w:styleId="TableFormat">
    <w:name w:val="TableFormat"/>
    <w:basedOn w:val="Bullet"/>
    <w:rsid w:val="00EE517A"/>
    <w:pPr>
      <w:tabs>
        <w:tab w:val="clear" w:pos="2160"/>
        <w:tab w:val="left" w:pos="5040"/>
      </w:tabs>
      <w:ind w:left="5040" w:hanging="3600"/>
    </w:pPr>
  </w:style>
  <w:style w:type="paragraph" w:customStyle="1" w:styleId="TOCTitle">
    <w:name w:val="TOC Title"/>
    <w:basedOn w:val="Normal"/>
    <w:rsid w:val="00EE517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E517A"/>
    <w:pPr>
      <w:jc w:val="center"/>
    </w:pPr>
    <w:rPr>
      <w:rFonts w:ascii="Times New Roman Bold" w:hAnsi="Times New Roman Bold"/>
      <w:b/>
      <w:bCs/>
      <w:caps/>
      <w:szCs w:val="22"/>
    </w:rPr>
  </w:style>
  <w:style w:type="character" w:styleId="Hyperlink">
    <w:name w:val="Hyperlink"/>
    <w:rsid w:val="00EE517A"/>
    <w:rPr>
      <w:color w:val="0000FF"/>
      <w:u w:val="single"/>
    </w:rPr>
  </w:style>
  <w:style w:type="character" w:customStyle="1" w:styleId="Heading1Char">
    <w:name w:val="Heading 1 Char"/>
    <w:basedOn w:val="DefaultParagraphFont"/>
    <w:link w:val="Heading1"/>
    <w:rsid w:val="008D3F61"/>
    <w:rPr>
      <w:rFonts w:ascii="Times New Roman Bold" w:hAnsi="Times New Roman Bold"/>
      <w:b/>
      <w:caps/>
      <w:snapToGrid w:val="0"/>
      <w:kern w:val="28"/>
      <w:sz w:val="22"/>
    </w:rPr>
  </w:style>
  <w:style w:type="character" w:customStyle="1" w:styleId="HeaderChar">
    <w:name w:val="Header Char"/>
    <w:basedOn w:val="DefaultParagraphFont"/>
    <w:link w:val="Header"/>
    <w:rsid w:val="008D3F61"/>
    <w:rPr>
      <w:b/>
      <w:snapToGrid w:val="0"/>
      <w:kern w:val="28"/>
      <w:sz w:val="22"/>
    </w:rPr>
  </w:style>
  <w:style w:type="character" w:customStyle="1" w:styleId="BodyTextChar">
    <w:name w:val="Body Text Char"/>
    <w:basedOn w:val="DefaultParagraphFont"/>
    <w:link w:val="BodyText"/>
    <w:rsid w:val="008D3F61"/>
    <w:rPr>
      <w:snapToGrid w:val="0"/>
      <w:kern w:val="28"/>
      <w:sz w:val="22"/>
    </w:rPr>
  </w:style>
  <w:style w:type="character" w:customStyle="1" w:styleId="FooterChar">
    <w:name w:val="Footer Char"/>
    <w:basedOn w:val="DefaultParagraphFont"/>
    <w:link w:val="Footer"/>
    <w:rsid w:val="008D3F61"/>
    <w:rPr>
      <w:snapToGrid w:val="0"/>
      <w:kern w:val="28"/>
      <w:sz w:val="22"/>
    </w:rPr>
  </w:style>
  <w:style w:type="character" w:customStyle="1" w:styleId="BalloonTextChar">
    <w:name w:val="Balloon Text Char"/>
    <w:basedOn w:val="DefaultParagraphFont"/>
    <w:link w:val="BalloonText"/>
    <w:uiPriority w:val="99"/>
    <w:semiHidden/>
    <w:rsid w:val="008D3F61"/>
    <w:rPr>
      <w:rFonts w:ascii="Tahoma" w:hAnsi="Tahoma" w:cs="Tahoma"/>
      <w:snapToGrid w:val="0"/>
      <w:kern w:val="28"/>
      <w:sz w:val="16"/>
      <w:szCs w:val="16"/>
    </w:rPr>
  </w:style>
  <w:style w:type="paragraph" w:styleId="BodyText2">
    <w:name w:val="Body Text 2"/>
    <w:basedOn w:val="Normal"/>
    <w:link w:val="BodyText2Char"/>
    <w:rsid w:val="00BF1343"/>
    <w:pPr>
      <w:widowControl/>
      <w:spacing w:after="120" w:line="480" w:lineRule="auto"/>
    </w:pPr>
    <w:rPr>
      <w:snapToGrid/>
      <w:kern w:val="0"/>
    </w:rPr>
  </w:style>
  <w:style w:type="character" w:customStyle="1" w:styleId="BodyText2Char">
    <w:name w:val="Body Text 2 Char"/>
    <w:basedOn w:val="DefaultParagraphFont"/>
    <w:link w:val="BodyText2"/>
    <w:rsid w:val="00BF1343"/>
    <w:rPr>
      <w:sz w:val="22"/>
    </w:rPr>
  </w:style>
  <w:style w:type="character" w:customStyle="1" w:styleId="apple-converted-space">
    <w:name w:val="apple-converted-space"/>
    <w:basedOn w:val="DefaultParagraphFont"/>
    <w:rsid w:val="00091CEE"/>
  </w:style>
  <w:style w:type="character" w:customStyle="1" w:styleId="cosearchterm">
    <w:name w:val="co_searchterm"/>
    <w:basedOn w:val="DefaultParagraphFont"/>
    <w:rsid w:val="008C1207"/>
  </w:style>
  <w:style w:type="character" w:styleId="Emphasis">
    <w:name w:val="Emphasis"/>
    <w:basedOn w:val="DefaultParagraphFont"/>
    <w:uiPriority w:val="20"/>
    <w:qFormat/>
    <w:rsid w:val="008C1207"/>
    <w:rPr>
      <w:i/>
      <w:iCs/>
    </w:rPr>
  </w:style>
  <w:style w:type="paragraph" w:styleId="Revision">
    <w:name w:val="Revision"/>
    <w:hidden/>
    <w:uiPriority w:val="99"/>
    <w:semiHidden/>
    <w:rsid w:val="001C1CD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9</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