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FEDERAL AVIATION ADMINISTRATION</w:t>
            </w:r>
          </w:p>
          <w:p w:rsidR="005F24D0" w:rsidP="007115F7">
            <w:pPr>
              <w:tabs>
                <w:tab w:val="center" w:pos="4680"/>
              </w:tabs>
              <w:suppressAutoHyphens/>
              <w:rPr>
                <w:spacing w:val="-2"/>
              </w:rPr>
            </w:pPr>
          </w:p>
          <w:p w:rsidR="005F24D0" w:rsidP="007115F7">
            <w:pPr>
              <w:tabs>
                <w:tab w:val="center" w:pos="4680"/>
              </w:tabs>
              <w:suppressAutoHyphens/>
              <w:rPr>
                <w:spacing w:val="-2"/>
              </w:rPr>
            </w:pPr>
            <w:r>
              <w:rPr>
                <w:spacing w:val="-2"/>
              </w:rPr>
              <w:t xml:space="preserve">Request Regarding </w:t>
            </w:r>
            <w:r>
              <w:rPr>
                <w:spacing w:val="-2"/>
              </w:rPr>
              <w:t xml:space="preserve">Aeronautical </w:t>
            </w:r>
            <w:r>
              <w:rPr>
                <w:spacing w:val="-2"/>
              </w:rPr>
              <w:t>Enroute</w:t>
            </w:r>
            <w:r>
              <w:rPr>
                <w:spacing w:val="-2"/>
              </w:rPr>
              <w:t xml:space="preserve"> Stations and Air Traffic Control</w:t>
            </w:r>
          </w:p>
          <w:p w:rsidR="005F24D0"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p>
        </w:tc>
      </w:tr>
    </w:tbl>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810C5">
        <w:rPr>
          <w:b/>
          <w:spacing w:val="-2"/>
        </w:rPr>
        <w:t>June 15</w:t>
      </w:r>
      <w:r w:rsidR="00EC3DE7">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10C5">
        <w:rPr>
          <w:b/>
          <w:spacing w:val="-2"/>
        </w:rPr>
        <w:t>June 15</w:t>
      </w:r>
      <w:r w:rsidR="00EC3DE7">
        <w:rPr>
          <w:b/>
          <w:spacing w:val="-2"/>
        </w:rPr>
        <w:t>, 2018</w:t>
      </w:r>
    </w:p>
    <w:p w:rsidR="00822CE0"/>
    <w:p w:rsidR="004C2EE3">
      <w:pPr>
        <w:rPr>
          <w:spacing w:val="-2"/>
        </w:rPr>
      </w:pPr>
      <w:r>
        <w:t xml:space="preserve">By </w:t>
      </w:r>
      <w:r w:rsidR="004E4A22">
        <w:t>the</w:t>
      </w:r>
      <w:r w:rsidR="002A2D2E">
        <w:t xml:space="preserve"> </w:t>
      </w:r>
      <w:r w:rsidR="005F24D0">
        <w:rPr>
          <w:spacing w:val="-2"/>
        </w:rPr>
        <w:t xml:space="preserve">Deputy Chief, Mobility Division, </w:t>
      </w:r>
      <w:r w:rsidR="005F24D0">
        <w:rPr>
          <w:spacing w:val="-2"/>
        </w:rPr>
        <w:t>Wireless</w:t>
      </w:r>
      <w:r w:rsidR="005F24D0">
        <w:rPr>
          <w:spacing w:val="-2"/>
        </w:rPr>
        <w:t xml:space="preserve"> Telecommunications Bureau</w:t>
      </w:r>
      <w:r>
        <w:rPr>
          <w:spacing w:val="-2"/>
        </w:rPr>
        <w:t>:</w:t>
      </w:r>
    </w:p>
    <w:p w:rsidR="00822CE0">
      <w:pPr>
        <w:rPr>
          <w:spacing w:val="-2"/>
        </w:rPr>
      </w:pPr>
    </w:p>
    <w:p w:rsidR="007F0F6D" w:rsidP="007F0F6D">
      <w:pPr>
        <w:pStyle w:val="ParaNum"/>
        <w:widowControl/>
        <w:numPr>
          <w:ilvl w:val="0"/>
          <w:numId w:val="7"/>
        </w:numPr>
        <w:tabs>
          <w:tab w:val="left" w:pos="1440"/>
        </w:tabs>
        <w:ind w:left="0" w:firstLine="720"/>
        <w:rPr>
          <w:spacing w:val="-2"/>
          <w:szCs w:val="22"/>
        </w:rPr>
      </w:pPr>
      <w:r w:rsidRPr="00CE116C">
        <w:rPr>
          <w:i/>
          <w:spacing w:val="-2"/>
          <w:szCs w:val="22"/>
        </w:rPr>
        <w:t>Introduction</w:t>
      </w:r>
      <w:r w:rsidRPr="00CE116C">
        <w:rPr>
          <w:spacing w:val="-2"/>
          <w:szCs w:val="22"/>
        </w:rPr>
        <w:t xml:space="preserve">.  The Federal Aviation Administration (FAA) has requested </w:t>
      </w:r>
      <w:r w:rsidRPr="00CE116C" w:rsidR="00275F4D">
        <w:rPr>
          <w:spacing w:val="-2"/>
          <w:szCs w:val="22"/>
        </w:rPr>
        <w:t>that we confirm</w:t>
      </w:r>
      <w:r w:rsidRPr="00CE116C">
        <w:rPr>
          <w:spacing w:val="-2"/>
          <w:szCs w:val="22"/>
        </w:rPr>
        <w:t xml:space="preserve"> that the </w:t>
      </w:r>
      <w:r w:rsidRPr="00CE116C" w:rsidR="005131AA">
        <w:rPr>
          <w:spacing w:val="-2"/>
          <w:szCs w:val="22"/>
        </w:rPr>
        <w:t xml:space="preserve">Commission’s </w:t>
      </w:r>
      <w:r w:rsidRPr="00CE116C" w:rsidR="00D75BA0">
        <w:rPr>
          <w:spacing w:val="-2"/>
          <w:szCs w:val="22"/>
        </w:rPr>
        <w:t>part</w:t>
      </w:r>
      <w:r w:rsidRPr="00CE116C">
        <w:rPr>
          <w:spacing w:val="-2"/>
          <w:szCs w:val="22"/>
        </w:rPr>
        <w:t xml:space="preserve"> 87 </w:t>
      </w:r>
      <w:r w:rsidRPr="00CE116C" w:rsidR="00275F4D">
        <w:rPr>
          <w:spacing w:val="-2"/>
          <w:szCs w:val="22"/>
        </w:rPr>
        <w:t>r</w:t>
      </w:r>
      <w:r w:rsidRPr="00CE116C">
        <w:rPr>
          <w:spacing w:val="-2"/>
          <w:szCs w:val="22"/>
        </w:rPr>
        <w:t xml:space="preserve">ules permit aeronautical </w:t>
      </w:r>
      <w:r w:rsidRPr="00CE116C">
        <w:rPr>
          <w:spacing w:val="-2"/>
          <w:szCs w:val="22"/>
        </w:rPr>
        <w:t>enroute</w:t>
      </w:r>
      <w:r w:rsidRPr="00CE116C">
        <w:rPr>
          <w:spacing w:val="-2"/>
          <w:szCs w:val="22"/>
        </w:rPr>
        <w:t xml:space="preserve"> stations to transmit </w:t>
      </w:r>
      <w:r w:rsidRPr="00CE116C" w:rsidR="000752C7">
        <w:rPr>
          <w:spacing w:val="-2"/>
          <w:szCs w:val="22"/>
        </w:rPr>
        <w:t xml:space="preserve">both </w:t>
      </w:r>
      <w:r w:rsidRPr="00CE116C" w:rsidR="00275F4D">
        <w:rPr>
          <w:spacing w:val="-2"/>
          <w:szCs w:val="22"/>
        </w:rPr>
        <w:t xml:space="preserve">aircraft </w:t>
      </w:r>
      <w:r w:rsidRPr="00CE116C" w:rsidR="00275F4D">
        <w:rPr>
          <w:snapToGrid/>
          <w:kern w:val="0"/>
          <w:szCs w:val="22"/>
        </w:rPr>
        <w:t>operational</w:t>
      </w:r>
      <w:r w:rsidRPr="00CE116C" w:rsidR="00275F4D">
        <w:rPr>
          <w:spacing w:val="-2"/>
          <w:szCs w:val="22"/>
        </w:rPr>
        <w:t xml:space="preserve"> control (AOC) and </w:t>
      </w:r>
      <w:r w:rsidRPr="00CE116C">
        <w:rPr>
          <w:spacing w:val="-2"/>
          <w:szCs w:val="22"/>
        </w:rPr>
        <w:t xml:space="preserve">air traffic control (ATC) </w:t>
      </w:r>
      <w:r w:rsidRPr="00CE116C" w:rsidR="00275F4D">
        <w:rPr>
          <w:spacing w:val="-2"/>
          <w:szCs w:val="22"/>
        </w:rPr>
        <w:t xml:space="preserve">communications </w:t>
      </w:r>
      <w:r w:rsidRPr="00CE116C">
        <w:rPr>
          <w:spacing w:val="-2"/>
          <w:szCs w:val="22"/>
        </w:rPr>
        <w:t xml:space="preserve">in the frequency band 136.4875-137.000 MHz, provided </w:t>
      </w:r>
      <w:r w:rsidRPr="00CE116C" w:rsidR="000752C7">
        <w:rPr>
          <w:spacing w:val="-2"/>
          <w:szCs w:val="22"/>
        </w:rPr>
        <w:t xml:space="preserve">that priority is accorded </w:t>
      </w:r>
      <w:r w:rsidRPr="00CE116C" w:rsidR="005131AA">
        <w:rPr>
          <w:spacing w:val="-2"/>
          <w:szCs w:val="22"/>
        </w:rPr>
        <w:t xml:space="preserve">to </w:t>
      </w:r>
      <w:r w:rsidRPr="00CE116C" w:rsidR="000752C7">
        <w:rPr>
          <w:spacing w:val="-2"/>
          <w:szCs w:val="22"/>
        </w:rPr>
        <w:t>ATC communications</w:t>
      </w:r>
      <w:r w:rsidR="00420D6E">
        <w:rPr>
          <w:spacing w:val="-2"/>
          <w:szCs w:val="22"/>
        </w:rPr>
        <w:t>.</w:t>
      </w:r>
      <w:r>
        <w:rPr>
          <w:rStyle w:val="FootnoteReference"/>
          <w:spacing w:val="-2"/>
          <w:sz w:val="22"/>
          <w:szCs w:val="22"/>
        </w:rPr>
        <w:footnoteReference w:id="3"/>
      </w:r>
      <w:r w:rsidRPr="00CE116C" w:rsidR="000752C7">
        <w:rPr>
          <w:spacing w:val="-2"/>
          <w:szCs w:val="22"/>
        </w:rPr>
        <w:t xml:space="preserve">  For reasons discussed below, we grant the </w:t>
      </w:r>
      <w:r w:rsidR="00420D6E">
        <w:rPr>
          <w:spacing w:val="-2"/>
          <w:szCs w:val="22"/>
        </w:rPr>
        <w:t>r</w:t>
      </w:r>
      <w:r w:rsidRPr="00CE116C" w:rsidR="000752C7">
        <w:rPr>
          <w:spacing w:val="-2"/>
          <w:szCs w:val="22"/>
        </w:rPr>
        <w:t>equest.</w:t>
      </w:r>
    </w:p>
    <w:p w:rsidR="007D59E3" w:rsidRPr="007F0F6D" w:rsidP="003A1799">
      <w:pPr>
        <w:pStyle w:val="ParaNum"/>
        <w:widowControl/>
        <w:numPr>
          <w:ilvl w:val="0"/>
          <w:numId w:val="7"/>
        </w:numPr>
        <w:tabs>
          <w:tab w:val="left" w:pos="1440"/>
        </w:tabs>
        <w:ind w:left="0" w:firstLine="720"/>
        <w:rPr>
          <w:spacing w:val="-2"/>
        </w:rPr>
      </w:pPr>
      <w:r w:rsidRPr="007F0F6D">
        <w:rPr>
          <w:i/>
          <w:spacing w:val="-2"/>
        </w:rPr>
        <w:t>Background</w:t>
      </w:r>
      <w:r w:rsidRPr="007F0F6D">
        <w:rPr>
          <w:spacing w:val="-2"/>
        </w:rPr>
        <w:t xml:space="preserve">.  </w:t>
      </w:r>
      <w:r w:rsidRPr="007F0F6D" w:rsidR="00E22052">
        <w:rPr>
          <w:spacing w:val="-2"/>
        </w:rPr>
        <w:t xml:space="preserve">Section 87.5 of the Commission’s </w:t>
      </w:r>
      <w:r w:rsidRPr="007F0F6D" w:rsidR="00275F4D">
        <w:rPr>
          <w:spacing w:val="-2"/>
        </w:rPr>
        <w:t>r</w:t>
      </w:r>
      <w:r w:rsidRPr="007F0F6D" w:rsidR="00E22052">
        <w:rPr>
          <w:spacing w:val="-2"/>
        </w:rPr>
        <w:t xml:space="preserve">ules defines an aeronautical </w:t>
      </w:r>
      <w:r w:rsidRPr="007F0F6D" w:rsidR="00E22052">
        <w:rPr>
          <w:spacing w:val="-2"/>
        </w:rPr>
        <w:t>enroute</w:t>
      </w:r>
      <w:r w:rsidRPr="007F0F6D" w:rsidR="00E22052">
        <w:rPr>
          <w:spacing w:val="-2"/>
        </w:rPr>
        <w:t xml:space="preserve"> station an “[a]n aeronautical station which communicates with aircraft stations in flight status or with other aeronautical </w:t>
      </w:r>
      <w:r w:rsidRPr="007F0F6D" w:rsidR="00E22052">
        <w:rPr>
          <w:spacing w:val="-2"/>
        </w:rPr>
        <w:t>enroute</w:t>
      </w:r>
      <w:r w:rsidRPr="007F0F6D" w:rsidR="00E22052">
        <w:rPr>
          <w:spacing w:val="-2"/>
        </w:rPr>
        <w:t xml:space="preserve"> stations.”</w:t>
      </w:r>
      <w:r>
        <w:rPr>
          <w:rStyle w:val="FootnoteReference"/>
          <w:spacing w:val="-2"/>
        </w:rPr>
        <w:footnoteReference w:id="4"/>
      </w:r>
      <w:r w:rsidRPr="007F0F6D" w:rsidR="00E22052">
        <w:rPr>
          <w:spacing w:val="-2"/>
        </w:rPr>
        <w:t xml:space="preserve">  </w:t>
      </w:r>
      <w:r w:rsidRPr="007F0F6D" w:rsidR="007F18AA">
        <w:rPr>
          <w:spacing w:val="-2"/>
        </w:rPr>
        <w:t>Section 87.261</w:t>
      </w:r>
      <w:r w:rsidRPr="007F0F6D" w:rsidR="003A1799">
        <w:rPr>
          <w:spacing w:val="-2"/>
        </w:rPr>
        <w:t>(a)</w:t>
      </w:r>
      <w:r w:rsidRPr="007F0F6D" w:rsidR="007F0F6D">
        <w:rPr>
          <w:spacing w:val="-2"/>
        </w:rPr>
        <w:t xml:space="preserve"> </w:t>
      </w:r>
      <w:r w:rsidRPr="007F0F6D" w:rsidR="00B06AD1">
        <w:rPr>
          <w:spacing w:val="-2"/>
        </w:rPr>
        <w:t xml:space="preserve">of the rules </w:t>
      </w:r>
      <w:r w:rsidRPr="007F0F6D" w:rsidR="007F0F6D">
        <w:rPr>
          <w:spacing w:val="-2"/>
        </w:rPr>
        <w:t>provides, “</w:t>
      </w:r>
      <w:r w:rsidRPr="007F0F6D" w:rsidR="003A1799">
        <w:rPr>
          <w:spacing w:val="-2"/>
        </w:rPr>
        <w:t xml:space="preserve">Aeronautical </w:t>
      </w:r>
      <w:r w:rsidRPr="007F0F6D" w:rsidR="003A1799">
        <w:rPr>
          <w:spacing w:val="-2"/>
        </w:rPr>
        <w:t>enroute</w:t>
      </w:r>
      <w:r w:rsidRPr="007F0F6D" w:rsidR="003A1799">
        <w:rPr>
          <w:spacing w:val="-2"/>
        </w:rPr>
        <w:t xml:space="preserve"> stations </w:t>
      </w:r>
      <w:r w:rsidRPr="007F0F6D" w:rsidR="003A1799">
        <w:rPr>
          <w:spacing w:val="-2"/>
        </w:rPr>
        <w:t>provide</w:t>
      </w:r>
      <w:r w:rsidRPr="007F0F6D" w:rsidR="003A1799">
        <w:rPr>
          <w:spacing w:val="-2"/>
        </w:rPr>
        <w:t xml:space="preserve"> operational control communications to aircraft along domestic or international air routes.</w:t>
      </w:r>
      <w:r w:rsidRPr="007F0F6D" w:rsidR="00B968C4">
        <w:rPr>
          <w:spacing w:val="-2"/>
        </w:rPr>
        <w:t xml:space="preserve">  Operationa</w:t>
      </w:r>
      <w:r w:rsidRPr="007F0F6D" w:rsidR="003A1799">
        <w:rPr>
          <w:spacing w:val="-2"/>
        </w:rPr>
        <w:t>l control communications include the safe, efficient, and economical operation of aircraft, such as aircraft performance, fuel, weather, position reports, essential services, and supplies</w:t>
      </w:r>
      <w:r w:rsidRPr="007F0F6D" w:rsidR="00B968C4">
        <w:rPr>
          <w:spacing w:val="-2"/>
        </w:rPr>
        <w:t>.  Public correspondence is prohibited.</w:t>
      </w:r>
      <w:r w:rsidR="003B0D05">
        <w:rPr>
          <w:spacing w:val="-2"/>
        </w:rPr>
        <w:t>”</w:t>
      </w:r>
      <w:r>
        <w:rPr>
          <w:rStyle w:val="FootnoteReference"/>
          <w:spacing w:val="-2"/>
        </w:rPr>
        <w:footnoteReference w:id="5"/>
      </w:r>
      <w:r w:rsidRPr="007F0F6D" w:rsidR="007F0F6D">
        <w:rPr>
          <w:spacing w:val="-2"/>
        </w:rPr>
        <w:t xml:space="preserve">  </w:t>
      </w:r>
      <w:r w:rsidRPr="007F0F6D" w:rsidR="00B968C4">
        <w:rPr>
          <w:spacing w:val="-2"/>
        </w:rPr>
        <w:t xml:space="preserve">The part 87 </w:t>
      </w:r>
      <w:r w:rsidR="009D731D">
        <w:rPr>
          <w:spacing w:val="-2"/>
        </w:rPr>
        <w:t>table of frequencies</w:t>
      </w:r>
      <w:r w:rsidRPr="007F0F6D" w:rsidR="00B968C4">
        <w:rPr>
          <w:spacing w:val="-2"/>
        </w:rPr>
        <w:t xml:space="preserve"> reflects that 136.4875-137.000 MHz frequencies are assignable to aeronautical </w:t>
      </w:r>
      <w:r w:rsidRPr="007F0F6D" w:rsidR="00B968C4">
        <w:rPr>
          <w:spacing w:val="-2"/>
        </w:rPr>
        <w:t>enroute</w:t>
      </w:r>
      <w:r w:rsidRPr="007F0F6D" w:rsidR="00B968C4">
        <w:rPr>
          <w:spacing w:val="-2"/>
        </w:rPr>
        <w:t xml:space="preserve"> stations.</w:t>
      </w:r>
      <w:r>
        <w:rPr>
          <w:rStyle w:val="FootnoteReference"/>
          <w:spacing w:val="-2"/>
        </w:rPr>
        <w:footnoteReference w:id="6"/>
      </w:r>
      <w:r w:rsidRPr="007F0F6D" w:rsidR="00B968C4">
        <w:rPr>
          <w:spacing w:val="-2"/>
        </w:rPr>
        <w:t xml:space="preserve">  </w:t>
      </w:r>
    </w:p>
    <w:p w:rsidR="00B968C4" w:rsidP="000752C7">
      <w:pPr>
        <w:pStyle w:val="ParaNum"/>
        <w:widowControl/>
        <w:numPr>
          <w:ilvl w:val="0"/>
          <w:numId w:val="7"/>
        </w:numPr>
        <w:tabs>
          <w:tab w:val="left" w:pos="1440"/>
        </w:tabs>
        <w:ind w:left="0" w:firstLine="720"/>
        <w:rPr>
          <w:spacing w:val="-2"/>
        </w:rPr>
      </w:pPr>
      <w:r>
        <w:rPr>
          <w:spacing w:val="-2"/>
        </w:rPr>
        <w:t xml:space="preserve">The </w:t>
      </w:r>
      <w:r w:rsidR="009D731D">
        <w:rPr>
          <w:spacing w:val="-2"/>
        </w:rPr>
        <w:t>frequency</w:t>
      </w:r>
      <w:r>
        <w:rPr>
          <w:spacing w:val="-2"/>
        </w:rPr>
        <w:t xml:space="preserve"> table also reflects that certain frequencies, including the 136.000-136.475 MHz band, may be used for ATC communications, but </w:t>
      </w:r>
      <w:r w:rsidR="009D731D">
        <w:rPr>
          <w:spacing w:val="-2"/>
        </w:rPr>
        <w:t xml:space="preserve">the listing for the 136.4875-137.000 MHz band frequencies </w:t>
      </w:r>
      <w:r>
        <w:rPr>
          <w:spacing w:val="-2"/>
        </w:rPr>
        <w:t>does not expressly refer</w:t>
      </w:r>
      <w:r w:rsidR="009D731D">
        <w:rPr>
          <w:spacing w:val="-2"/>
        </w:rPr>
        <w:t>ence</w:t>
      </w:r>
      <w:r>
        <w:rPr>
          <w:spacing w:val="-2"/>
        </w:rPr>
        <w:t xml:space="preserve"> ATC.</w:t>
      </w:r>
      <w:r>
        <w:rPr>
          <w:rStyle w:val="FootnoteReference"/>
          <w:spacing w:val="-2"/>
        </w:rPr>
        <w:footnoteReference w:id="7"/>
      </w:r>
      <w:r>
        <w:rPr>
          <w:spacing w:val="-2"/>
        </w:rPr>
        <w:t xml:space="preserve">  </w:t>
      </w:r>
      <w:r>
        <w:rPr>
          <w:spacing w:val="-2"/>
        </w:rPr>
        <w:t>ATC communications concern</w:t>
      </w:r>
      <w:r w:rsidRPr="00320641">
        <w:rPr>
          <w:spacing w:val="-2"/>
        </w:rPr>
        <w:t xml:space="preserve"> </w:t>
      </w:r>
      <w:r>
        <w:rPr>
          <w:spacing w:val="-2"/>
        </w:rPr>
        <w:t>“</w:t>
      </w:r>
      <w:r w:rsidRPr="00320641">
        <w:rPr>
          <w:spacing w:val="-2"/>
        </w:rPr>
        <w:t xml:space="preserve">the safe, orderly, and expeditious </w:t>
      </w:r>
      <w:r w:rsidRPr="00320641">
        <w:rPr>
          <w:spacing w:val="-2"/>
        </w:rPr>
        <w:t>flow of air traffic.</w:t>
      </w:r>
      <w:r>
        <w:rPr>
          <w:spacing w:val="-2"/>
        </w:rPr>
        <w:t>”</w:t>
      </w:r>
      <w:r>
        <w:rPr>
          <w:rStyle w:val="FootnoteReference"/>
          <w:spacing w:val="-2"/>
        </w:rPr>
        <w:footnoteReference w:id="8"/>
      </w:r>
      <w:r>
        <w:rPr>
          <w:spacing w:val="-2"/>
        </w:rPr>
        <w:t xml:space="preserve">  They </w:t>
      </w:r>
      <w:r>
        <w:rPr>
          <w:spacing w:val="-2"/>
        </w:rPr>
        <w:t>are intended</w:t>
      </w:r>
      <w:r>
        <w:rPr>
          <w:spacing w:val="-2"/>
        </w:rPr>
        <w:t xml:space="preserve"> to ensure the adequate separation of aircraft</w:t>
      </w:r>
      <w:r>
        <w:rPr>
          <w:rStyle w:val="FootnoteReference"/>
          <w:spacing w:val="-2"/>
        </w:rPr>
        <w:footnoteReference w:id="9"/>
      </w:r>
      <w:r>
        <w:rPr>
          <w:spacing w:val="-2"/>
        </w:rPr>
        <w:t xml:space="preserve"> and include aircraft routing information and departure/landing clearances.</w:t>
      </w:r>
      <w:r>
        <w:rPr>
          <w:rStyle w:val="FootnoteReference"/>
          <w:spacing w:val="-2"/>
        </w:rPr>
        <w:footnoteReference w:id="10"/>
      </w:r>
      <w:r w:rsidR="009D731D">
        <w:rPr>
          <w:spacing w:val="-2"/>
        </w:rPr>
        <w:t xml:space="preserve">  Thus, ATC</w:t>
      </w:r>
      <w:r w:rsidRPr="00B968C4" w:rsidR="009D731D">
        <w:rPr>
          <w:spacing w:val="-2"/>
        </w:rPr>
        <w:t xml:space="preserve"> </w:t>
      </w:r>
      <w:r w:rsidR="009D731D">
        <w:rPr>
          <w:spacing w:val="-2"/>
        </w:rPr>
        <w:t xml:space="preserve">communications, like AOC communications, relate to aviation safety.  </w:t>
      </w:r>
    </w:p>
    <w:p w:rsidR="00C3740E" w:rsidRPr="00B06AD1" w:rsidP="000752C7">
      <w:pPr>
        <w:pStyle w:val="ParaNum"/>
        <w:widowControl/>
        <w:numPr>
          <w:ilvl w:val="0"/>
          <w:numId w:val="7"/>
        </w:numPr>
        <w:tabs>
          <w:tab w:val="left" w:pos="1440"/>
        </w:tabs>
        <w:ind w:left="0" w:firstLine="720"/>
        <w:rPr>
          <w:spacing w:val="-2"/>
        </w:rPr>
      </w:pPr>
      <w:r w:rsidRPr="00B06AD1">
        <w:rPr>
          <w:spacing w:val="-2"/>
        </w:rPr>
        <w:t>T</w:t>
      </w:r>
      <w:r w:rsidRPr="00B06AD1">
        <w:rPr>
          <w:spacing w:val="-2"/>
        </w:rPr>
        <w:t xml:space="preserve">he FAA requests that we confirm its understanding that the </w:t>
      </w:r>
      <w:r w:rsidRPr="00B06AD1" w:rsidR="00D75BA0">
        <w:rPr>
          <w:spacing w:val="-2"/>
        </w:rPr>
        <w:t>part</w:t>
      </w:r>
      <w:r w:rsidRPr="00B06AD1">
        <w:rPr>
          <w:spacing w:val="-2"/>
        </w:rPr>
        <w:t xml:space="preserve"> 87 rules permit aeronautical </w:t>
      </w:r>
      <w:r w:rsidRPr="00B06AD1">
        <w:rPr>
          <w:spacing w:val="-2"/>
        </w:rPr>
        <w:t>enroute</w:t>
      </w:r>
      <w:r w:rsidRPr="00B06AD1">
        <w:rPr>
          <w:spacing w:val="-2"/>
        </w:rPr>
        <w:t xml:space="preserve"> stations to transmit both AOC and ATC communications in the 136.4875-137.000 MHz band.</w:t>
      </w:r>
      <w:r>
        <w:rPr>
          <w:rStyle w:val="FootnoteReference"/>
          <w:spacing w:val="-2"/>
        </w:rPr>
        <w:footnoteReference w:id="11"/>
      </w:r>
      <w:r w:rsidRPr="00B06AD1">
        <w:rPr>
          <w:spacing w:val="-2"/>
        </w:rPr>
        <w:t xml:space="preserve">  </w:t>
      </w:r>
      <w:r w:rsidRPr="00B06AD1">
        <w:rPr>
          <w:spacing w:val="-2"/>
        </w:rPr>
        <w:t>The FAA is currently implementing the Next Generation Air Transportation System (</w:t>
      </w:r>
      <w:r w:rsidRPr="00B06AD1">
        <w:rPr>
          <w:spacing w:val="-2"/>
        </w:rPr>
        <w:t>NextGen</w:t>
      </w:r>
      <w:r w:rsidRPr="00B06AD1">
        <w:rPr>
          <w:spacing w:val="-2"/>
        </w:rPr>
        <w:t>) program</w:t>
      </w:r>
      <w:r w:rsidR="00B06AD1">
        <w:rPr>
          <w:spacing w:val="-2"/>
        </w:rPr>
        <w:t xml:space="preserve">, one </w:t>
      </w:r>
      <w:r w:rsidRPr="00B06AD1" w:rsidR="007D6412">
        <w:rPr>
          <w:spacing w:val="-2"/>
        </w:rPr>
        <w:t xml:space="preserve">component </w:t>
      </w:r>
      <w:r w:rsidR="00B06AD1">
        <w:rPr>
          <w:spacing w:val="-2"/>
        </w:rPr>
        <w:t xml:space="preserve">of which </w:t>
      </w:r>
      <w:r w:rsidRPr="00B06AD1" w:rsidR="007D6412">
        <w:rPr>
          <w:spacing w:val="-2"/>
        </w:rPr>
        <w:t xml:space="preserve">is Data Communications (Data </w:t>
      </w:r>
      <w:r w:rsidRPr="00B06AD1" w:rsidR="007D6412">
        <w:rPr>
          <w:spacing w:val="-2"/>
        </w:rPr>
        <w:t>Comm</w:t>
      </w:r>
      <w:r w:rsidRPr="00B06AD1" w:rsidR="007D6412">
        <w:rPr>
          <w:spacing w:val="-2"/>
        </w:rPr>
        <w:t xml:space="preserve">), which will augment the existing analog voice system for aviation communications with a digital communications system to offload repetitive and routine communications from the voice frequencies and to transmit complex instructions for which voice </w:t>
      </w:r>
      <w:r w:rsidRPr="00B06AD1" w:rsidR="007D6412">
        <w:rPr>
          <w:spacing w:val="-2"/>
        </w:rPr>
        <w:t>transmission would be cumbersome and time-consuming.</w:t>
      </w:r>
      <w:r>
        <w:rPr>
          <w:rStyle w:val="FootnoteReference"/>
          <w:spacing w:val="-2"/>
        </w:rPr>
        <w:footnoteReference w:id="12"/>
      </w:r>
      <w:r w:rsidRPr="00B06AD1" w:rsidR="007D6412">
        <w:rPr>
          <w:spacing w:val="-2"/>
        </w:rPr>
        <w:t xml:space="preserve">  Data </w:t>
      </w:r>
      <w:r w:rsidRPr="00B06AD1" w:rsidR="007D6412">
        <w:rPr>
          <w:spacing w:val="-2"/>
        </w:rPr>
        <w:t>Comm</w:t>
      </w:r>
      <w:r w:rsidRPr="00B06AD1" w:rsidR="007D6412">
        <w:rPr>
          <w:spacing w:val="-2"/>
        </w:rPr>
        <w:t xml:space="preserve"> </w:t>
      </w:r>
      <w:r w:rsidR="00B06AD1">
        <w:rPr>
          <w:spacing w:val="-2"/>
        </w:rPr>
        <w:t>will</w:t>
      </w:r>
      <w:r w:rsidRPr="00B06AD1" w:rsidR="00F84F57">
        <w:rPr>
          <w:spacing w:val="-2"/>
        </w:rPr>
        <w:t xml:space="preserve"> use aeronautical </w:t>
      </w:r>
      <w:r w:rsidRPr="00B06AD1" w:rsidR="00F84F57">
        <w:rPr>
          <w:spacing w:val="-2"/>
        </w:rPr>
        <w:t>enroute</w:t>
      </w:r>
      <w:r w:rsidR="00B06AD1">
        <w:rPr>
          <w:spacing w:val="-2"/>
        </w:rPr>
        <w:t xml:space="preserve"> stations for transmission of digital </w:t>
      </w:r>
      <w:r w:rsidRPr="00B06AD1" w:rsidR="00F84F57">
        <w:rPr>
          <w:spacing w:val="-2"/>
        </w:rPr>
        <w:t>data that includes both ATC and AOC traffic</w:t>
      </w:r>
      <w:r w:rsidRPr="00B06AD1" w:rsidR="00275F4D">
        <w:rPr>
          <w:spacing w:val="-2"/>
        </w:rPr>
        <w:t>,</w:t>
      </w:r>
      <w:r w:rsidRPr="00B06AD1" w:rsidR="00F84F57">
        <w:rPr>
          <w:spacing w:val="-2"/>
        </w:rPr>
        <w:t xml:space="preserve"> with ATC automatically accorded priority.</w:t>
      </w:r>
      <w:r>
        <w:rPr>
          <w:rStyle w:val="FootnoteReference"/>
          <w:spacing w:val="-2"/>
        </w:rPr>
        <w:footnoteReference w:id="13"/>
      </w:r>
    </w:p>
    <w:p w:rsidR="00C7253B" w:rsidP="000752C7">
      <w:pPr>
        <w:pStyle w:val="ParaNum"/>
        <w:widowControl/>
        <w:numPr>
          <w:ilvl w:val="0"/>
          <w:numId w:val="7"/>
        </w:numPr>
        <w:tabs>
          <w:tab w:val="left" w:pos="1440"/>
        </w:tabs>
        <w:ind w:left="0" w:firstLine="720"/>
        <w:rPr>
          <w:spacing w:val="-2"/>
        </w:rPr>
      </w:pPr>
      <w:r>
        <w:rPr>
          <w:spacing w:val="-2"/>
        </w:rPr>
        <w:t xml:space="preserve">The FAA interprets section 87.261(a) as </w:t>
      </w:r>
      <w:r w:rsidR="00B06AD1">
        <w:rPr>
          <w:spacing w:val="-2"/>
        </w:rPr>
        <w:t>permitting ATC communications by</w:t>
      </w:r>
      <w:r>
        <w:rPr>
          <w:spacing w:val="-2"/>
        </w:rPr>
        <w:t xml:space="preserve"> aeronautical </w:t>
      </w:r>
      <w:r>
        <w:rPr>
          <w:spacing w:val="-2"/>
        </w:rPr>
        <w:t>enroute</w:t>
      </w:r>
      <w:r>
        <w:rPr>
          <w:spacing w:val="-2"/>
        </w:rPr>
        <w:t xml:space="preserve"> stations</w:t>
      </w:r>
      <w:r w:rsidR="00B06AD1">
        <w:rPr>
          <w:spacing w:val="-2"/>
        </w:rPr>
        <w:t>, because</w:t>
      </w:r>
      <w:r>
        <w:rPr>
          <w:spacing w:val="-2"/>
        </w:rPr>
        <w:t xml:space="preserve"> the rule prohibits only public correspondence communications.</w:t>
      </w:r>
      <w:r>
        <w:rPr>
          <w:rStyle w:val="FootnoteReference"/>
          <w:spacing w:val="-2"/>
        </w:rPr>
        <w:footnoteReference w:id="14"/>
      </w:r>
      <w:r>
        <w:rPr>
          <w:spacing w:val="-2"/>
        </w:rPr>
        <w:t xml:space="preserve">  Such an interpretation, it adds, </w:t>
      </w:r>
      <w:r w:rsidR="009B6DC9">
        <w:rPr>
          <w:spacing w:val="-2"/>
        </w:rPr>
        <w:t>is</w:t>
      </w:r>
      <w:r>
        <w:rPr>
          <w:spacing w:val="-2"/>
        </w:rPr>
        <w:t xml:space="preserve"> consistent with the international approach adopted by the International Civil Aviation Organization</w:t>
      </w:r>
      <w:r w:rsidR="00C57DAF">
        <w:rPr>
          <w:spacing w:val="-2"/>
        </w:rPr>
        <w:t>,</w:t>
      </w:r>
      <w:r w:rsidR="009B6DC9">
        <w:rPr>
          <w:spacing w:val="-2"/>
        </w:rPr>
        <w:t xml:space="preserve"> which</w:t>
      </w:r>
      <w:r w:rsidR="00C57DAF">
        <w:rPr>
          <w:spacing w:val="-2"/>
        </w:rPr>
        <w:t xml:space="preserve"> allows channels</w:t>
      </w:r>
      <w:r w:rsidR="009B6DC9">
        <w:rPr>
          <w:spacing w:val="-2"/>
        </w:rPr>
        <w:t xml:space="preserve"> used for ATC communications </w:t>
      </w:r>
      <w:r w:rsidR="00C57DAF">
        <w:rPr>
          <w:spacing w:val="-2"/>
        </w:rPr>
        <w:t xml:space="preserve">also </w:t>
      </w:r>
      <w:r w:rsidR="009B6DC9">
        <w:rPr>
          <w:spacing w:val="-2"/>
        </w:rPr>
        <w:t xml:space="preserve">to </w:t>
      </w:r>
      <w:r w:rsidR="00C57DAF">
        <w:rPr>
          <w:spacing w:val="-2"/>
        </w:rPr>
        <w:t xml:space="preserve">transmit AOC communications, </w:t>
      </w:r>
      <w:r w:rsidR="00C57DAF">
        <w:rPr>
          <w:spacing w:val="-2"/>
        </w:rPr>
        <w:t>provided that</w:t>
      </w:r>
      <w:r w:rsidR="00C57DAF">
        <w:rPr>
          <w:spacing w:val="-2"/>
        </w:rPr>
        <w:t xml:space="preserve"> the AOC transmissions do not interfere with ATC and no other channels are available for AOC.</w:t>
      </w:r>
      <w:r>
        <w:rPr>
          <w:rStyle w:val="FootnoteReference"/>
          <w:spacing w:val="-2"/>
        </w:rPr>
        <w:footnoteReference w:id="15"/>
      </w:r>
      <w:r w:rsidR="00822BB4">
        <w:rPr>
          <w:spacing w:val="-2"/>
        </w:rPr>
        <w:t xml:space="preserve">  The FAA also </w:t>
      </w:r>
      <w:r w:rsidR="00822BB4">
        <w:rPr>
          <w:spacing w:val="-2"/>
        </w:rPr>
        <w:t>sta</w:t>
      </w:r>
      <w:r w:rsidR="00C57DAF">
        <w:rPr>
          <w:spacing w:val="-2"/>
        </w:rPr>
        <w:t>tes that</w:t>
      </w:r>
      <w:r w:rsidR="00C57DAF">
        <w:rPr>
          <w:spacing w:val="-2"/>
        </w:rPr>
        <w:t xml:space="preserve"> “there has been a decades-long practice of aeronautical </w:t>
      </w:r>
      <w:r w:rsidR="00C57DAF">
        <w:rPr>
          <w:spacing w:val="-2"/>
        </w:rPr>
        <w:t>enroute</w:t>
      </w:r>
      <w:r w:rsidR="00C57DAF">
        <w:rPr>
          <w:spacing w:val="-2"/>
        </w:rPr>
        <w:t xml:space="preserve"> stations transmitting both AOC and ATC communications….”</w:t>
      </w:r>
      <w:r>
        <w:rPr>
          <w:rStyle w:val="FootnoteReference"/>
          <w:spacing w:val="-2"/>
        </w:rPr>
        <w:footnoteReference w:id="16"/>
      </w:r>
      <w:r w:rsidR="005A45E3">
        <w:rPr>
          <w:spacing w:val="-2"/>
        </w:rPr>
        <w:t xml:space="preserve">  </w:t>
      </w:r>
      <w:r w:rsidR="00822BB4">
        <w:rPr>
          <w:spacing w:val="-2"/>
        </w:rPr>
        <w:t xml:space="preserve">It requests confirmation of its understanding in order to facilitate the implementation of Data </w:t>
      </w:r>
      <w:r w:rsidR="00822BB4">
        <w:rPr>
          <w:spacing w:val="-2"/>
        </w:rPr>
        <w:t>Comm</w:t>
      </w:r>
      <w:r w:rsidR="00822BB4">
        <w:rPr>
          <w:spacing w:val="-2"/>
        </w:rPr>
        <w:t xml:space="preserve"> operations.</w:t>
      </w:r>
      <w:r>
        <w:rPr>
          <w:rStyle w:val="FootnoteReference"/>
          <w:spacing w:val="-2"/>
        </w:rPr>
        <w:footnoteReference w:id="17"/>
      </w:r>
      <w:r w:rsidR="00822BB4">
        <w:rPr>
          <w:spacing w:val="-2"/>
        </w:rPr>
        <w:t xml:space="preserve">   </w:t>
      </w:r>
    </w:p>
    <w:p w:rsidR="00CD26BA" w:rsidRPr="009900A8" w:rsidP="009900A8">
      <w:pPr>
        <w:pStyle w:val="ParaNum"/>
        <w:widowControl/>
        <w:numPr>
          <w:ilvl w:val="0"/>
          <w:numId w:val="7"/>
        </w:numPr>
        <w:tabs>
          <w:tab w:val="left" w:pos="1440"/>
        </w:tabs>
        <w:ind w:left="0" w:firstLine="720"/>
        <w:rPr>
          <w:spacing w:val="-2"/>
        </w:rPr>
      </w:pPr>
      <w:r w:rsidRPr="007530D7">
        <w:rPr>
          <w:i/>
          <w:spacing w:val="-2"/>
        </w:rPr>
        <w:t>Discussion</w:t>
      </w:r>
      <w:r w:rsidRPr="007530D7">
        <w:rPr>
          <w:spacing w:val="-2"/>
        </w:rPr>
        <w:t xml:space="preserve">.  We agree that the </w:t>
      </w:r>
      <w:r w:rsidRPr="007530D7" w:rsidR="00D75BA0">
        <w:rPr>
          <w:spacing w:val="-2"/>
        </w:rPr>
        <w:t>part</w:t>
      </w:r>
      <w:r w:rsidRPr="007530D7">
        <w:rPr>
          <w:spacing w:val="-2"/>
        </w:rPr>
        <w:t xml:space="preserve"> 87 rules permit aeronautical </w:t>
      </w:r>
      <w:r w:rsidRPr="007530D7">
        <w:rPr>
          <w:spacing w:val="-2"/>
        </w:rPr>
        <w:t>enroute</w:t>
      </w:r>
      <w:r w:rsidRPr="007530D7">
        <w:rPr>
          <w:spacing w:val="-2"/>
        </w:rPr>
        <w:t xml:space="preserve"> stations to transmit ATC as well as AOC communications in the </w:t>
      </w:r>
      <w:bookmarkStart w:id="1" w:name="_Hlk507579559"/>
      <w:r w:rsidRPr="007530D7">
        <w:rPr>
          <w:spacing w:val="-2"/>
        </w:rPr>
        <w:t>136.4875-137.000 MHz band</w:t>
      </w:r>
      <w:bookmarkEnd w:id="1"/>
      <w:r w:rsidRPr="007530D7">
        <w:rPr>
          <w:spacing w:val="-2"/>
        </w:rPr>
        <w:t xml:space="preserve">.  </w:t>
      </w:r>
      <w:r w:rsidRPr="007530D7" w:rsidR="00B1202A">
        <w:rPr>
          <w:spacing w:val="-2"/>
        </w:rPr>
        <w:t>Indeed, t</w:t>
      </w:r>
      <w:r w:rsidRPr="007530D7" w:rsidR="00C411BE">
        <w:rPr>
          <w:spacing w:val="-2"/>
        </w:rPr>
        <w:t xml:space="preserve">he Commission </w:t>
      </w:r>
      <w:r w:rsidRPr="007530D7" w:rsidR="00C411BE">
        <w:rPr>
          <w:spacing w:val="-2"/>
        </w:rPr>
        <w:t xml:space="preserve">stated </w:t>
      </w:r>
      <w:r w:rsidRPr="007530D7" w:rsidR="00A11954">
        <w:rPr>
          <w:spacing w:val="-2"/>
        </w:rPr>
        <w:t xml:space="preserve">when it adopted what is now section 87.261 </w:t>
      </w:r>
      <w:r w:rsidRPr="007530D7" w:rsidR="00C411BE">
        <w:rPr>
          <w:spacing w:val="-2"/>
        </w:rPr>
        <w:t xml:space="preserve">that aeronautical </w:t>
      </w:r>
      <w:r w:rsidRPr="007530D7" w:rsidR="00C411BE">
        <w:rPr>
          <w:spacing w:val="-2"/>
        </w:rPr>
        <w:t>enroute</w:t>
      </w:r>
      <w:r w:rsidRPr="007530D7" w:rsidR="00C411BE">
        <w:rPr>
          <w:spacing w:val="-2"/>
        </w:rPr>
        <w:t xml:space="preserve"> stations are authorized to transmit ATC communications</w:t>
      </w:r>
      <w:r w:rsidRPr="007530D7" w:rsidR="00C919DF">
        <w:rPr>
          <w:spacing w:val="-2"/>
        </w:rPr>
        <w:t xml:space="preserve">, </w:t>
      </w:r>
      <w:r w:rsidR="002C79F3">
        <w:rPr>
          <w:spacing w:val="-2"/>
        </w:rPr>
        <w:t xml:space="preserve">for </w:t>
      </w:r>
      <w:r w:rsidR="007530D7">
        <w:rPr>
          <w:spacing w:val="-2"/>
        </w:rPr>
        <w:t xml:space="preserve">“[w]e consider such uses (as we have in the past) to be </w:t>
      </w:r>
      <w:r w:rsidRPr="007530D7" w:rsidR="00C919DF">
        <w:rPr>
          <w:spacing w:val="-2"/>
        </w:rPr>
        <w:t xml:space="preserve">related to the safe operation of aircraft as provided for in </w:t>
      </w:r>
      <w:r w:rsidRPr="007530D7" w:rsidR="00B1202A">
        <w:rPr>
          <w:spacing w:val="-2"/>
        </w:rPr>
        <w:t>the subject rule</w:t>
      </w:r>
      <w:r w:rsidRPr="007530D7" w:rsidR="00C919DF">
        <w:rPr>
          <w:spacing w:val="-2"/>
        </w:rPr>
        <w:t>.”</w:t>
      </w:r>
      <w:r>
        <w:rPr>
          <w:rStyle w:val="FootnoteReference"/>
          <w:spacing w:val="-2"/>
        </w:rPr>
        <w:footnoteReference w:id="18"/>
      </w:r>
      <w:r w:rsidRPr="007530D7" w:rsidR="00C411BE">
        <w:rPr>
          <w:spacing w:val="-2"/>
        </w:rPr>
        <w:t xml:space="preserve">  </w:t>
      </w:r>
      <w:r w:rsidR="00EA68F1">
        <w:rPr>
          <w:spacing w:val="-2"/>
        </w:rPr>
        <w:t>The Commission</w:t>
      </w:r>
      <w:r w:rsidRPr="007530D7" w:rsidR="00EA68F1">
        <w:rPr>
          <w:spacing w:val="-2"/>
        </w:rPr>
        <w:t xml:space="preserve"> </w:t>
      </w:r>
      <w:r w:rsidRPr="007530D7" w:rsidR="00B1202A">
        <w:rPr>
          <w:spacing w:val="-2"/>
        </w:rPr>
        <w:t xml:space="preserve">explained that while the description of authorized aeronautical </w:t>
      </w:r>
      <w:r w:rsidRPr="007530D7" w:rsidR="00B1202A">
        <w:rPr>
          <w:spacing w:val="-2"/>
        </w:rPr>
        <w:t>enroute</w:t>
      </w:r>
      <w:r w:rsidRPr="007530D7" w:rsidR="00B1202A">
        <w:rPr>
          <w:spacing w:val="-2"/>
        </w:rPr>
        <w:t xml:space="preserve"> station communicat</w:t>
      </w:r>
      <w:r w:rsidR="007530D7">
        <w:rPr>
          <w:spacing w:val="-2"/>
        </w:rPr>
        <w:t xml:space="preserve">ions in section 87.261(a) “is more </w:t>
      </w:r>
      <w:r w:rsidRPr="007530D7" w:rsidR="00B1202A">
        <w:rPr>
          <w:spacing w:val="-2"/>
        </w:rPr>
        <w:t>specific and provides examples, the section is not intended to be all-inclusive.”</w:t>
      </w:r>
      <w:r>
        <w:rPr>
          <w:rStyle w:val="FootnoteReference"/>
          <w:spacing w:val="-2"/>
        </w:rPr>
        <w:footnoteReference w:id="19"/>
      </w:r>
      <w:r w:rsidRPr="007530D7" w:rsidR="00B1202A">
        <w:rPr>
          <w:spacing w:val="-2"/>
        </w:rPr>
        <w:t xml:space="preserve">  </w:t>
      </w:r>
      <w:r w:rsidRPr="007530D7" w:rsidR="006549B6">
        <w:rPr>
          <w:spacing w:val="-2"/>
        </w:rPr>
        <w:t xml:space="preserve">In addition, nothing in the </w:t>
      </w:r>
      <w:r w:rsidRPr="007530D7" w:rsidR="00D75BA0">
        <w:rPr>
          <w:spacing w:val="-2"/>
        </w:rPr>
        <w:t>part</w:t>
      </w:r>
      <w:r w:rsidRPr="007530D7" w:rsidR="006549B6">
        <w:rPr>
          <w:spacing w:val="-2"/>
        </w:rPr>
        <w:t xml:space="preserve"> 87 definition of aeronautical </w:t>
      </w:r>
      <w:r w:rsidRPr="007530D7" w:rsidR="006549B6">
        <w:rPr>
          <w:spacing w:val="-2"/>
        </w:rPr>
        <w:t>enroute</w:t>
      </w:r>
      <w:r w:rsidRPr="007530D7" w:rsidR="006549B6">
        <w:rPr>
          <w:spacing w:val="-2"/>
        </w:rPr>
        <w:t xml:space="preserve"> service stations suggests any limitation on their provision of ATC communications.  As noted above, section 87.5 broadly defines an</w:t>
      </w:r>
      <w:r w:rsidRPr="007530D7" w:rsidR="007530D7">
        <w:rPr>
          <w:spacing w:val="-2"/>
        </w:rPr>
        <w:t xml:space="preserve"> aeronautical </w:t>
      </w:r>
      <w:r w:rsidRPr="007530D7" w:rsidR="007530D7">
        <w:rPr>
          <w:spacing w:val="-2"/>
        </w:rPr>
        <w:t>enroute</w:t>
      </w:r>
      <w:r w:rsidRPr="007530D7" w:rsidR="007530D7">
        <w:rPr>
          <w:spacing w:val="-2"/>
        </w:rPr>
        <w:t xml:space="preserve"> station as</w:t>
      </w:r>
      <w:r w:rsidRPr="007530D7" w:rsidR="006549B6">
        <w:rPr>
          <w:spacing w:val="-2"/>
        </w:rPr>
        <w:t xml:space="preserve"> “[a]n aeronautical station which communicates with aircraft stations in flight status or with other aeronautical </w:t>
      </w:r>
      <w:r w:rsidRPr="007530D7" w:rsidR="006549B6">
        <w:rPr>
          <w:spacing w:val="-2"/>
        </w:rPr>
        <w:t>enroute</w:t>
      </w:r>
      <w:r w:rsidRPr="007530D7" w:rsidR="006549B6">
        <w:rPr>
          <w:spacing w:val="-2"/>
        </w:rPr>
        <w:t xml:space="preserve"> stations.”  That definition, standing alone, clearly encompasses ATC communications, and the </w:t>
      </w:r>
      <w:r w:rsidRPr="007530D7" w:rsidR="003642A9">
        <w:rPr>
          <w:spacing w:val="-2"/>
        </w:rPr>
        <w:t>language in</w:t>
      </w:r>
      <w:r w:rsidRPr="007530D7" w:rsidR="006549B6">
        <w:rPr>
          <w:spacing w:val="-2"/>
        </w:rPr>
        <w:t xml:space="preserve"> section 87.261 stat</w:t>
      </w:r>
      <w:r w:rsidRPr="007530D7" w:rsidR="003642A9">
        <w:rPr>
          <w:spacing w:val="-2"/>
        </w:rPr>
        <w:t>ing</w:t>
      </w:r>
      <w:r w:rsidRPr="007530D7" w:rsidR="006549B6">
        <w:rPr>
          <w:spacing w:val="-2"/>
        </w:rPr>
        <w:t xml:space="preserve"> that aeronautical </w:t>
      </w:r>
      <w:r w:rsidRPr="007530D7" w:rsidR="006549B6">
        <w:rPr>
          <w:spacing w:val="-2"/>
        </w:rPr>
        <w:t>enroute</w:t>
      </w:r>
      <w:r w:rsidRPr="007530D7" w:rsidR="006549B6">
        <w:rPr>
          <w:spacing w:val="-2"/>
        </w:rPr>
        <w:t xml:space="preserve"> stations provide AOC communications</w:t>
      </w:r>
      <w:r w:rsidRPr="007530D7" w:rsidR="003642A9">
        <w:rPr>
          <w:spacing w:val="-2"/>
        </w:rPr>
        <w:t xml:space="preserve"> does not state that they must do so exclusively.  </w:t>
      </w:r>
      <w:r w:rsidRPr="007530D7" w:rsidR="007530D7">
        <w:rPr>
          <w:spacing w:val="-2"/>
        </w:rPr>
        <w:t xml:space="preserve">Moreover, as noted by FAA, no part 87 rule prohibits aeronautical </w:t>
      </w:r>
      <w:r w:rsidRPr="007530D7" w:rsidR="007530D7">
        <w:rPr>
          <w:spacing w:val="-2"/>
        </w:rPr>
        <w:t>enroute</w:t>
      </w:r>
      <w:r w:rsidRPr="007530D7" w:rsidR="007530D7">
        <w:rPr>
          <w:spacing w:val="-2"/>
        </w:rPr>
        <w:t xml:space="preserve"> stations from transmitting ATC communications.  Elsewhere in part 87, where the Commission has intended to limit or prohibit ATC communications by a class of aeronautical station, it has done so expressly.</w:t>
      </w:r>
      <w:r>
        <w:rPr>
          <w:rStyle w:val="FootnoteReference"/>
          <w:spacing w:val="-2"/>
        </w:rPr>
        <w:footnoteReference w:id="20"/>
      </w:r>
    </w:p>
    <w:p w:rsidR="000F6BEA" w:rsidP="000752C7">
      <w:pPr>
        <w:pStyle w:val="ParaNum"/>
        <w:widowControl/>
        <w:numPr>
          <w:ilvl w:val="0"/>
          <w:numId w:val="7"/>
        </w:numPr>
        <w:tabs>
          <w:tab w:val="left" w:pos="1440"/>
        </w:tabs>
        <w:ind w:left="0" w:firstLine="720"/>
        <w:rPr>
          <w:spacing w:val="-2"/>
        </w:rPr>
      </w:pPr>
      <w:r w:rsidRPr="00954D59">
        <w:rPr>
          <w:i/>
          <w:spacing w:val="-2"/>
        </w:rPr>
        <w:t>Conclusion</w:t>
      </w:r>
      <w:r>
        <w:rPr>
          <w:spacing w:val="-2"/>
        </w:rPr>
        <w:t xml:space="preserve">.  After careful consideration of the factors discussed above, </w:t>
      </w:r>
      <w:r w:rsidR="009900A8">
        <w:rPr>
          <w:spacing w:val="-2"/>
        </w:rPr>
        <w:t xml:space="preserve">we conclude that the language of the relevant rules and the cited precedent support the view that the part 87 rules permit aeronautical </w:t>
      </w:r>
      <w:r w:rsidR="009900A8">
        <w:rPr>
          <w:spacing w:val="-2"/>
        </w:rPr>
        <w:t>enroute</w:t>
      </w:r>
      <w:r w:rsidR="009900A8">
        <w:rPr>
          <w:spacing w:val="-2"/>
        </w:rPr>
        <w:t xml:space="preserve"> stations to provide ATC as well as AOC communications in the 136.4875-137.000 MHz band</w:t>
      </w:r>
      <w:r>
        <w:rPr>
          <w:spacing w:val="-2"/>
        </w:rPr>
        <w:t>.  We therefore grant the FAA</w:t>
      </w:r>
      <w:r w:rsidR="009900A8">
        <w:rPr>
          <w:spacing w:val="-2"/>
        </w:rPr>
        <w:t>’s re</w:t>
      </w:r>
      <w:r>
        <w:rPr>
          <w:spacing w:val="-2"/>
        </w:rPr>
        <w:t>quest</w:t>
      </w:r>
      <w:r w:rsidR="009900A8">
        <w:rPr>
          <w:spacing w:val="-2"/>
        </w:rPr>
        <w:t xml:space="preserve"> that we confirm that aeronautical </w:t>
      </w:r>
      <w:r w:rsidR="009900A8">
        <w:rPr>
          <w:spacing w:val="-2"/>
        </w:rPr>
        <w:t>enroute</w:t>
      </w:r>
      <w:r w:rsidR="009900A8">
        <w:rPr>
          <w:spacing w:val="-2"/>
        </w:rPr>
        <w:t xml:space="preserve"> stations may transmit both AOC and ATC communications in the band, </w:t>
      </w:r>
      <w:r w:rsidR="009900A8">
        <w:rPr>
          <w:spacing w:val="-2"/>
        </w:rPr>
        <w:t>provided that</w:t>
      </w:r>
      <w:r w:rsidR="009900A8">
        <w:rPr>
          <w:spacing w:val="-2"/>
        </w:rPr>
        <w:t xml:space="preserve"> priority is accorded to ATC communications</w:t>
      </w:r>
      <w:r>
        <w:rPr>
          <w:spacing w:val="-2"/>
        </w:rPr>
        <w:t>.</w:t>
      </w:r>
      <w:r>
        <w:rPr>
          <w:rStyle w:val="FootnoteReference"/>
          <w:spacing w:val="-2"/>
        </w:rPr>
        <w:footnoteReference w:id="21"/>
      </w:r>
    </w:p>
    <w:p w:rsidR="00AD46B0" w:rsidP="000752C7">
      <w:pPr>
        <w:pStyle w:val="ParaNum"/>
        <w:widowControl/>
        <w:numPr>
          <w:ilvl w:val="0"/>
          <w:numId w:val="7"/>
        </w:numPr>
        <w:tabs>
          <w:tab w:val="left" w:pos="1440"/>
        </w:tabs>
        <w:ind w:left="0" w:firstLine="720"/>
        <w:rPr>
          <w:spacing w:val="-2"/>
        </w:rPr>
      </w:pPr>
      <w:r>
        <w:rPr>
          <w:spacing w:val="-2"/>
        </w:rPr>
        <w:t xml:space="preserve">Accordingly, IT IS ORDERED that the </w:t>
      </w:r>
      <w:r w:rsidR="009900A8">
        <w:rPr>
          <w:spacing w:val="-2"/>
        </w:rPr>
        <w:t>re</w:t>
      </w:r>
      <w:r>
        <w:rPr>
          <w:spacing w:val="-2"/>
        </w:rPr>
        <w:t xml:space="preserve">quest </w:t>
      </w:r>
      <w:r w:rsidR="009900A8">
        <w:rPr>
          <w:spacing w:val="-2"/>
        </w:rPr>
        <w:t xml:space="preserve">of the Federal Aviation Administration </w:t>
      </w:r>
      <w:r>
        <w:rPr>
          <w:spacing w:val="-2"/>
        </w:rPr>
        <w:t xml:space="preserve">dated August 21, 2017, </w:t>
      </w:r>
      <w:r>
        <w:rPr>
          <w:spacing w:val="-2"/>
        </w:rPr>
        <w:t>IS GRANTED</w:t>
      </w:r>
      <w:r>
        <w:rPr>
          <w:spacing w:val="-2"/>
        </w:rPr>
        <w:t>.</w:t>
      </w:r>
    </w:p>
    <w:p w:rsidR="000537EF" w:rsidP="000537EF">
      <w:pPr>
        <w:pStyle w:val="ParaNum"/>
        <w:widowControl/>
        <w:numPr>
          <w:ilvl w:val="0"/>
          <w:numId w:val="7"/>
        </w:numPr>
        <w:tabs>
          <w:tab w:val="left" w:pos="1440"/>
        </w:tabs>
        <w:ind w:left="0" w:firstLine="720"/>
        <w:rPr>
          <w:szCs w:val="22"/>
        </w:rPr>
      </w:pPr>
      <w:r>
        <w:rPr>
          <w:szCs w:val="22"/>
        </w:rPr>
        <w:t>This action is taken under delegated authority pursuant to sections 0.131 and 0.331 of the Commission’s Rules, 47 CFR §§ 0.131, 0.331.</w:t>
      </w:r>
    </w:p>
    <w:p w:rsidR="00954D59" w:rsidP="000537EF">
      <w:pPr>
        <w:pStyle w:val="ParaNum"/>
        <w:widowControl/>
        <w:tabs>
          <w:tab w:val="left" w:pos="1440"/>
        </w:tabs>
        <w:ind w:left="720"/>
        <w:rPr>
          <w:spacing w:val="-2"/>
        </w:rPr>
      </w:pPr>
      <w:r>
        <w:rPr>
          <w:spacing w:val="-2"/>
        </w:rPr>
        <w:tab/>
      </w:r>
      <w:r>
        <w:rPr>
          <w:spacing w:val="-2"/>
        </w:rPr>
        <w:tab/>
      </w:r>
      <w:r>
        <w:rPr>
          <w:spacing w:val="-2"/>
        </w:rPr>
        <w:tab/>
      </w:r>
      <w:r>
        <w:rPr>
          <w:spacing w:val="-2"/>
        </w:rPr>
        <w:tab/>
      </w:r>
      <w:r>
        <w:rPr>
          <w:spacing w:val="-2"/>
        </w:rPr>
        <w:tab/>
        <w:t>FEDERAL COMMUNICATIONS COMMISSION</w:t>
      </w:r>
    </w:p>
    <w:p w:rsidR="009B6DC9" w:rsidP="000537EF">
      <w:pPr>
        <w:pStyle w:val="ParaNum"/>
        <w:widowControl/>
        <w:tabs>
          <w:tab w:val="left" w:pos="1440"/>
        </w:tabs>
        <w:spacing w:after="0"/>
        <w:ind w:left="720"/>
        <w:rPr>
          <w:spacing w:val="-2"/>
        </w:rPr>
      </w:pPr>
      <w:r>
        <w:rPr>
          <w:spacing w:val="-2"/>
        </w:rPr>
        <w:tab/>
      </w:r>
      <w:r>
        <w:rPr>
          <w:spacing w:val="-2"/>
        </w:rPr>
        <w:tab/>
      </w:r>
      <w:r>
        <w:rPr>
          <w:spacing w:val="-2"/>
        </w:rPr>
        <w:tab/>
      </w:r>
      <w:r>
        <w:rPr>
          <w:spacing w:val="-2"/>
        </w:rPr>
        <w:tab/>
      </w:r>
      <w:r>
        <w:rPr>
          <w:spacing w:val="-2"/>
        </w:rPr>
        <w:tab/>
      </w:r>
    </w:p>
    <w:p w:rsidR="009B6DC9" w:rsidP="000537EF">
      <w:pPr>
        <w:pStyle w:val="ParaNum"/>
        <w:widowControl/>
        <w:tabs>
          <w:tab w:val="left" w:pos="1440"/>
        </w:tabs>
        <w:spacing w:after="0"/>
        <w:ind w:left="720"/>
        <w:rPr>
          <w:spacing w:val="-2"/>
        </w:rPr>
      </w:pPr>
    </w:p>
    <w:p w:rsidR="009B6DC9" w:rsidP="000537EF">
      <w:pPr>
        <w:pStyle w:val="ParaNum"/>
        <w:widowControl/>
        <w:tabs>
          <w:tab w:val="left" w:pos="1440"/>
        </w:tabs>
        <w:spacing w:after="0"/>
        <w:ind w:left="720"/>
        <w:rPr>
          <w:spacing w:val="-2"/>
        </w:rPr>
      </w:pPr>
    </w:p>
    <w:p w:rsidR="000537EF" w:rsidP="000537EF">
      <w:pPr>
        <w:pStyle w:val="ParaNum"/>
        <w:widowControl/>
        <w:tabs>
          <w:tab w:val="left" w:pos="1440"/>
        </w:tabs>
        <w:spacing w:after="0"/>
        <w:ind w:left="720"/>
        <w:rPr>
          <w:spacing w:val="-2"/>
        </w:rPr>
      </w:pPr>
      <w:r>
        <w:rPr>
          <w:spacing w:val="-2"/>
        </w:rPr>
        <w:tab/>
      </w:r>
      <w:r>
        <w:rPr>
          <w:spacing w:val="-2"/>
        </w:rPr>
        <w:tab/>
      </w:r>
      <w:r>
        <w:rPr>
          <w:spacing w:val="-2"/>
        </w:rPr>
        <w:tab/>
      </w:r>
      <w:r>
        <w:rPr>
          <w:spacing w:val="-2"/>
        </w:rPr>
        <w:tab/>
      </w:r>
      <w:r>
        <w:rPr>
          <w:spacing w:val="-2"/>
        </w:rPr>
        <w:tab/>
      </w:r>
      <w:r>
        <w:rPr>
          <w:spacing w:val="-2"/>
        </w:rPr>
        <w:t>Scot Stone</w:t>
      </w:r>
    </w:p>
    <w:p w:rsidR="000537EF" w:rsidP="000537EF">
      <w:pPr>
        <w:pStyle w:val="ParaNum"/>
        <w:widowControl/>
        <w:tabs>
          <w:tab w:val="left" w:pos="1440"/>
        </w:tabs>
        <w:spacing w:after="0"/>
        <w:ind w:left="720"/>
        <w:rPr>
          <w:spacing w:val="-2"/>
        </w:rPr>
      </w:pPr>
      <w:r>
        <w:rPr>
          <w:spacing w:val="-2"/>
        </w:rPr>
        <w:tab/>
      </w:r>
      <w:r>
        <w:rPr>
          <w:spacing w:val="-2"/>
        </w:rPr>
        <w:tab/>
      </w:r>
      <w:r>
        <w:rPr>
          <w:spacing w:val="-2"/>
        </w:rPr>
        <w:tab/>
      </w:r>
      <w:r>
        <w:rPr>
          <w:spacing w:val="-2"/>
        </w:rPr>
        <w:tab/>
      </w:r>
      <w:r>
        <w:rPr>
          <w:spacing w:val="-2"/>
        </w:rPr>
        <w:tab/>
        <w:t>Deputy Chief, Mobility Division</w:t>
      </w:r>
    </w:p>
    <w:p w:rsidR="000752C7" w:rsidP="00B06AD1">
      <w:pPr>
        <w:pStyle w:val="ParaNum"/>
        <w:widowControl/>
        <w:tabs>
          <w:tab w:val="left" w:pos="1440"/>
        </w:tabs>
        <w:spacing w:after="0"/>
        <w:ind w:left="720"/>
        <w:rPr>
          <w:spacing w:val="-2"/>
        </w:rPr>
      </w:pPr>
      <w:r>
        <w:rPr>
          <w:spacing w:val="-2"/>
        </w:rPr>
        <w:tab/>
      </w:r>
      <w:r>
        <w:rPr>
          <w:spacing w:val="-2"/>
        </w:rPr>
        <w:tab/>
      </w:r>
      <w:r>
        <w:rPr>
          <w:spacing w:val="-2"/>
        </w:rPr>
        <w:tab/>
      </w:r>
      <w:r>
        <w:rPr>
          <w:spacing w:val="-2"/>
        </w:rPr>
        <w:tab/>
      </w:r>
      <w:r>
        <w:rPr>
          <w:spacing w:val="-2"/>
        </w:rPr>
        <w:tab/>
        <w:t>Wireless Telecommunications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20A6">
      <w:r>
        <w:separator/>
      </w:r>
    </w:p>
  </w:footnote>
  <w:footnote w:type="continuationSeparator" w:id="1">
    <w:p w:rsidR="00DE20A6" w:rsidP="00C721AC">
      <w:pPr>
        <w:spacing w:before="120"/>
        <w:rPr>
          <w:sz w:val="20"/>
        </w:rPr>
      </w:pPr>
      <w:r>
        <w:rPr>
          <w:sz w:val="20"/>
        </w:rPr>
        <w:t xml:space="preserve">(Continued from previous page)  </w:t>
      </w:r>
      <w:r>
        <w:rPr>
          <w:sz w:val="20"/>
        </w:rPr>
        <w:separator/>
      </w:r>
    </w:p>
  </w:footnote>
  <w:footnote w:type="continuationNotice" w:id="2">
    <w:p w:rsidR="00DE20A6" w:rsidRPr="007F0F6D" w:rsidP="007F0F6D">
      <w:pPr>
        <w:pStyle w:val="Footer"/>
      </w:pPr>
    </w:p>
  </w:footnote>
  <w:footnote w:id="3">
    <w:p w:rsidR="000752C7">
      <w:pPr>
        <w:pStyle w:val="FootnoteText"/>
      </w:pPr>
      <w:r>
        <w:rPr>
          <w:rStyle w:val="FootnoteReference"/>
        </w:rPr>
        <w:footnoteRef/>
      </w:r>
      <w:r>
        <w:t xml:space="preserve"> Letter from Lorelei Peter, Assistant Chief Counsel for Regulations, FAA, to Scot Stone, Deputy Chief, Mobility Division, Wireless Telecommunications Bureau</w:t>
      </w:r>
      <w:r w:rsidR="00822BB4">
        <w:t>, Federal Communications Commission</w:t>
      </w:r>
      <w:r>
        <w:t xml:space="preserve"> (Aug. 21, 2017)</w:t>
      </w:r>
      <w:r w:rsidR="00C3740E">
        <w:t xml:space="preserve"> (Request)</w:t>
      </w:r>
      <w:r>
        <w:t>.</w:t>
      </w:r>
    </w:p>
  </w:footnote>
  <w:footnote w:id="4">
    <w:p w:rsidR="00E22052">
      <w:pPr>
        <w:pStyle w:val="FootnoteText"/>
      </w:pPr>
      <w:r>
        <w:rPr>
          <w:rStyle w:val="FootnoteReference"/>
        </w:rPr>
        <w:footnoteRef/>
      </w:r>
      <w:r>
        <w:t xml:space="preserve"> </w:t>
      </w:r>
      <w:r>
        <w:t>47</w:t>
      </w:r>
      <w:r>
        <w:t xml:space="preserve"> CFR § 87.5.</w:t>
      </w:r>
      <w:r w:rsidR="00B968C4">
        <w:t xml:space="preserve">  </w:t>
      </w:r>
      <w:r w:rsidRPr="0023603B" w:rsidR="00B968C4">
        <w:rPr>
          <w:spacing w:val="-2"/>
        </w:rPr>
        <w:t>Airlines and other companies that maintain fleets of aircraft use these stations to satisfy certain FAA requirements</w:t>
      </w:r>
      <w:r w:rsidR="00B968C4">
        <w:rPr>
          <w:spacing w:val="-2"/>
        </w:rPr>
        <w:t>;</w:t>
      </w:r>
      <w:r w:rsidRPr="0023603B" w:rsidR="00B968C4">
        <w:rPr>
          <w:spacing w:val="-2"/>
        </w:rPr>
        <w:t xml:space="preserve"> large trunk air carriers</w:t>
      </w:r>
      <w:r w:rsidR="00B968C4">
        <w:rPr>
          <w:spacing w:val="-2"/>
        </w:rPr>
        <w:t xml:space="preserve"> use aeronautical </w:t>
      </w:r>
      <w:r w:rsidR="00B968C4">
        <w:rPr>
          <w:spacing w:val="-2"/>
        </w:rPr>
        <w:t>enroute</w:t>
      </w:r>
      <w:r w:rsidR="00B968C4">
        <w:rPr>
          <w:spacing w:val="-2"/>
        </w:rPr>
        <w:t xml:space="preserve"> stations</w:t>
      </w:r>
      <w:r w:rsidRPr="0023603B" w:rsidR="00B968C4">
        <w:rPr>
          <w:spacing w:val="-2"/>
        </w:rPr>
        <w:t xml:space="preserve"> </w:t>
      </w:r>
      <w:r w:rsidR="00B968C4">
        <w:rPr>
          <w:spacing w:val="-2"/>
        </w:rPr>
        <w:t>to maintain</w:t>
      </w:r>
      <w:r w:rsidRPr="0023603B" w:rsidR="00B968C4">
        <w:rPr>
          <w:spacing w:val="-2"/>
        </w:rPr>
        <w:t xml:space="preserve"> reliable communications between each aircraft and the appropriate dispatch office</w:t>
      </w:r>
      <w:r w:rsidR="00B968C4">
        <w:rPr>
          <w:spacing w:val="-2"/>
        </w:rPr>
        <w:t xml:space="preserve">, while small </w:t>
      </w:r>
      <w:r w:rsidRPr="0023603B" w:rsidR="00B968C4">
        <w:rPr>
          <w:spacing w:val="-2"/>
        </w:rPr>
        <w:t>airlines and large commercial aircraft operations</w:t>
      </w:r>
      <w:r w:rsidR="00B968C4">
        <w:rPr>
          <w:spacing w:val="-2"/>
        </w:rPr>
        <w:t xml:space="preserve"> use the stations to </w:t>
      </w:r>
      <w:r w:rsidRPr="0023603B" w:rsidR="00B968C4">
        <w:rPr>
          <w:spacing w:val="-2"/>
        </w:rPr>
        <w:t>maintain flight-following systems</w:t>
      </w:r>
      <w:r w:rsidR="00B968C4">
        <w:rPr>
          <w:spacing w:val="-2"/>
        </w:rPr>
        <w:t xml:space="preserve">.  </w:t>
      </w:r>
      <w:r w:rsidRPr="00E22052" w:rsidR="00B968C4">
        <w:rPr>
          <w:i/>
        </w:rPr>
        <w:t>See</w:t>
      </w:r>
      <w:r w:rsidR="00B968C4">
        <w:t xml:space="preserve"> </w:t>
      </w:r>
      <w:r w:rsidRPr="00E22052" w:rsidR="00B968C4">
        <w:rPr>
          <w:i/>
        </w:rPr>
        <w:t xml:space="preserve">Review of </w:t>
      </w:r>
      <w:r w:rsidR="00B968C4">
        <w:rPr>
          <w:i/>
        </w:rPr>
        <w:t>part</w:t>
      </w:r>
      <w:r w:rsidRPr="00E22052" w:rsidR="00B968C4">
        <w:rPr>
          <w:i/>
        </w:rPr>
        <w:t xml:space="preserve"> 87 of the Commission's Rules Concerning the Aviation Radio Service</w:t>
      </w:r>
      <w:r w:rsidR="00B968C4">
        <w:t xml:space="preserve">, Third Report and Order, 25 FCC </w:t>
      </w:r>
      <w:r w:rsidR="00B968C4">
        <w:t>Rcd</w:t>
      </w:r>
      <w:r w:rsidR="00B968C4">
        <w:t xml:space="preserve"> 7610, 7613, p</w:t>
      </w:r>
      <w:r w:rsidR="00822BB4">
        <w:t xml:space="preserve">ara. </w:t>
      </w:r>
      <w:r w:rsidR="00822BB4">
        <w:t>4</w:t>
      </w:r>
      <w:r w:rsidR="00822BB4">
        <w:t xml:space="preserve"> &amp; n.</w:t>
      </w:r>
      <w:r w:rsidR="00B968C4">
        <w:t>17 (2010).</w:t>
      </w:r>
    </w:p>
  </w:footnote>
  <w:footnote w:id="5">
    <w:p w:rsidR="00B968C4" w:rsidP="00B968C4">
      <w:pPr>
        <w:pStyle w:val="FootnoteText"/>
      </w:pPr>
      <w:r>
        <w:rPr>
          <w:rStyle w:val="FootnoteReference"/>
        </w:rPr>
        <w:footnoteRef/>
      </w:r>
      <w:r>
        <w:t xml:space="preserve"> </w:t>
      </w:r>
      <w:r>
        <w:t>47</w:t>
      </w:r>
      <w:r>
        <w:t xml:space="preserve"> CFR § 87.261(a).  </w:t>
      </w:r>
      <w:bookmarkStart w:id="0" w:name="_GoBack"/>
      <w:bookmarkEnd w:id="0"/>
    </w:p>
  </w:footnote>
  <w:footnote w:id="6">
    <w:p w:rsidR="00B968C4" w:rsidP="00B968C4">
      <w:pPr>
        <w:pStyle w:val="FootnoteText"/>
      </w:pPr>
      <w:r>
        <w:rPr>
          <w:rStyle w:val="FootnoteReference"/>
        </w:rPr>
        <w:footnoteRef/>
      </w:r>
      <w:r>
        <w:t xml:space="preserve"> </w:t>
      </w:r>
      <w:r w:rsidRPr="006F31F8">
        <w:rPr>
          <w:i/>
        </w:rPr>
        <w:t>See</w:t>
      </w:r>
      <w:r>
        <w:t xml:space="preserve"> 47 CFR § 87.173(b); </w:t>
      </w:r>
      <w:r>
        <w:rPr>
          <w:i/>
        </w:rPr>
        <w:t xml:space="preserve">see also </w:t>
      </w:r>
      <w:r>
        <w:t xml:space="preserve">47 CFR § 87.263(a), (c).  </w:t>
      </w:r>
    </w:p>
  </w:footnote>
  <w:footnote w:id="7">
    <w:p w:rsidR="007F0F6D" w:rsidP="007F0F6D">
      <w:pPr>
        <w:pStyle w:val="FootnoteText"/>
      </w:pPr>
      <w:r>
        <w:rPr>
          <w:rStyle w:val="FootnoteReference"/>
        </w:rPr>
        <w:footnoteRef/>
      </w:r>
      <w:r>
        <w:t xml:space="preserve"> </w:t>
      </w:r>
      <w:r w:rsidRPr="006F31F8">
        <w:rPr>
          <w:i/>
        </w:rPr>
        <w:t>See</w:t>
      </w:r>
      <w:r>
        <w:t xml:space="preserve"> 47 CFR § 87.173(b).</w:t>
      </w:r>
    </w:p>
  </w:footnote>
  <w:footnote w:id="8">
    <w:p w:rsidR="00B968C4" w:rsidP="00B968C4">
      <w:pPr>
        <w:pStyle w:val="FootnoteText"/>
      </w:pPr>
      <w:r>
        <w:rPr>
          <w:rStyle w:val="FootnoteReference"/>
        </w:rPr>
        <w:footnoteRef/>
      </w:r>
      <w:r>
        <w:t xml:space="preserve"> </w:t>
      </w:r>
      <w:r>
        <w:t>14</w:t>
      </w:r>
      <w:r>
        <w:t xml:space="preserve"> CFR § 1.1.</w:t>
      </w:r>
    </w:p>
  </w:footnote>
  <w:footnote w:id="9">
    <w:p w:rsidR="00B968C4" w:rsidP="00B968C4">
      <w:pPr>
        <w:pStyle w:val="FootnoteText"/>
      </w:pPr>
      <w:r>
        <w:rPr>
          <w:rStyle w:val="FootnoteReference"/>
        </w:rPr>
        <w:footnoteRef/>
      </w:r>
      <w:r>
        <w:t xml:space="preserve"> </w:t>
      </w:r>
      <w:r w:rsidRPr="00E22052">
        <w:rPr>
          <w:i/>
        </w:rPr>
        <w:t>See</w:t>
      </w:r>
      <w:r>
        <w:t xml:space="preserve"> </w:t>
      </w:r>
      <w:r w:rsidRPr="00E22052">
        <w:rPr>
          <w:i/>
        </w:rPr>
        <w:t xml:space="preserve">Review of </w:t>
      </w:r>
      <w:r>
        <w:rPr>
          <w:i/>
        </w:rPr>
        <w:t>Part</w:t>
      </w:r>
      <w:r w:rsidRPr="00E22052">
        <w:rPr>
          <w:i/>
        </w:rPr>
        <w:t xml:space="preserve"> 87 of the Commission's Rules Concerning the Aviation Radio Service</w:t>
      </w:r>
      <w:r>
        <w:t xml:space="preserve">, Notice of Proposed Rule Making, 16 FCC </w:t>
      </w:r>
      <w:r>
        <w:t>Rcd</w:t>
      </w:r>
      <w:r>
        <w:t xml:space="preserve"> 19005, 19010, para. </w:t>
      </w:r>
      <w:r>
        <w:t>12</w:t>
      </w:r>
      <w:r>
        <w:t xml:space="preserve"> &amp; n.25 (2001).  </w:t>
      </w:r>
    </w:p>
  </w:footnote>
  <w:footnote w:id="10">
    <w:p w:rsidR="00B968C4" w:rsidP="00B968C4">
      <w:pPr>
        <w:pStyle w:val="FootnoteText"/>
      </w:pPr>
      <w:r>
        <w:rPr>
          <w:rStyle w:val="FootnoteReference"/>
        </w:rPr>
        <w:footnoteRef/>
      </w:r>
      <w:r>
        <w:t xml:space="preserve"> Request at </w:t>
      </w:r>
      <w:r>
        <w:t>2</w:t>
      </w:r>
      <w:r>
        <w:t>.</w:t>
      </w:r>
    </w:p>
  </w:footnote>
  <w:footnote w:id="11">
    <w:p w:rsidR="00C3740E">
      <w:pPr>
        <w:pStyle w:val="FootnoteText"/>
      </w:pPr>
      <w:r>
        <w:rPr>
          <w:rStyle w:val="FootnoteReference"/>
        </w:rPr>
        <w:footnoteRef/>
      </w:r>
      <w:r>
        <w:t xml:space="preserve"> </w:t>
      </w:r>
      <w:r w:rsidRPr="00822BB4" w:rsidR="00822BB4">
        <w:rPr>
          <w:i/>
        </w:rPr>
        <w:t>Id</w:t>
      </w:r>
      <w:r w:rsidR="00822BB4">
        <w:t>.</w:t>
      </w:r>
      <w:r>
        <w:t xml:space="preserve"> at </w:t>
      </w:r>
      <w:r>
        <w:t>1</w:t>
      </w:r>
      <w:r>
        <w:t>.</w:t>
      </w:r>
      <w:r w:rsidR="00B06AD1">
        <w:t xml:space="preserve">  </w:t>
      </w:r>
      <w:r w:rsidR="00B06AD1">
        <w:rPr>
          <w:spacing w:val="-2"/>
        </w:rPr>
        <w:t xml:space="preserve">The request is supported by Aviation Spectrum Resources, Inc. (ASRI), which holds the majority of aeronautical </w:t>
      </w:r>
      <w:r w:rsidR="00B06AD1">
        <w:rPr>
          <w:spacing w:val="-2"/>
        </w:rPr>
        <w:t>enroute</w:t>
      </w:r>
      <w:r w:rsidR="00B06AD1">
        <w:rPr>
          <w:spacing w:val="-2"/>
        </w:rPr>
        <w:t xml:space="preserve"> station licenses in the United States and represents that it speaks for the aviation industry on this issue</w:t>
      </w:r>
      <w:r w:rsidR="00B06AD1">
        <w:rPr>
          <w:spacing w:val="-2"/>
        </w:rPr>
        <w:t xml:space="preserve">.  </w:t>
      </w:r>
      <w:r w:rsidRPr="00B06AD1" w:rsidR="00B06AD1">
        <w:rPr>
          <w:spacing w:val="-2"/>
        </w:rPr>
        <w:t>Letter from Kris E. Hutchinson, President, and Andrew C. Roy, Director of Engineering, Aviation Spectrum Resources, Inc., to Scot Stone, Deputy Chief, Mobility Division, Wireless Telecommunications Bureau</w:t>
      </w:r>
      <w:r w:rsidR="009D731D">
        <w:rPr>
          <w:spacing w:val="-2"/>
        </w:rPr>
        <w:t>, Federal Communications Commission</w:t>
      </w:r>
      <w:r w:rsidRPr="00B06AD1" w:rsidR="00B06AD1">
        <w:rPr>
          <w:spacing w:val="-2"/>
        </w:rPr>
        <w:t xml:space="preserve"> (Aug. 31, 2017) (ASRI Letter).</w:t>
      </w:r>
    </w:p>
  </w:footnote>
  <w:footnote w:id="12">
    <w:p w:rsidR="007D6412">
      <w:pPr>
        <w:pStyle w:val="FootnoteText"/>
      </w:pPr>
      <w:r>
        <w:rPr>
          <w:rStyle w:val="FootnoteReference"/>
        </w:rPr>
        <w:footnoteRef/>
      </w:r>
      <w:r>
        <w:t xml:space="preserve"> </w:t>
      </w:r>
      <w:r w:rsidR="00B06AD1">
        <w:t xml:space="preserve">Request at </w:t>
      </w:r>
      <w:r w:rsidR="00B06AD1">
        <w:t>1</w:t>
      </w:r>
      <w:r w:rsidR="00B06AD1">
        <w:t>.</w:t>
      </w:r>
    </w:p>
  </w:footnote>
  <w:footnote w:id="13">
    <w:p w:rsidR="00F84F57">
      <w:pPr>
        <w:pStyle w:val="FootnoteText"/>
      </w:pPr>
      <w:r>
        <w:rPr>
          <w:rStyle w:val="FootnoteReference"/>
        </w:rPr>
        <w:footnoteRef/>
      </w:r>
      <w:r>
        <w:t xml:space="preserve"> </w:t>
      </w:r>
      <w:r w:rsidRPr="00F84F57">
        <w:rPr>
          <w:i/>
        </w:rPr>
        <w:t>Id</w:t>
      </w:r>
      <w:r>
        <w:t xml:space="preserve">.  The </w:t>
      </w:r>
      <w:r w:rsidR="00B06AD1">
        <w:t>data</w:t>
      </w:r>
      <w:r>
        <w:t xml:space="preserve"> </w:t>
      </w:r>
      <w:r>
        <w:t>is expected</w:t>
      </w:r>
      <w:r>
        <w:t xml:space="preserve"> to consist of approximately 20% ATC traffic and 80% AOC traffic.</w:t>
      </w:r>
      <w:r w:rsidR="00B06AD1">
        <w:t xml:space="preserve">  </w:t>
      </w:r>
      <w:r w:rsidRPr="00F84F57" w:rsidR="00B06AD1">
        <w:rPr>
          <w:i/>
        </w:rPr>
        <w:t>Id</w:t>
      </w:r>
      <w:r w:rsidR="00B06AD1">
        <w:t xml:space="preserve">.  </w:t>
      </w:r>
    </w:p>
  </w:footnote>
  <w:footnote w:id="14">
    <w:p w:rsidR="00C7253B">
      <w:pPr>
        <w:pStyle w:val="FootnoteText"/>
      </w:pPr>
      <w:r>
        <w:rPr>
          <w:rStyle w:val="FootnoteReference"/>
        </w:rPr>
        <w:footnoteRef/>
      </w:r>
      <w:r>
        <w:t xml:space="preserve"> </w:t>
      </w:r>
      <w:r w:rsidRPr="00C7253B">
        <w:rPr>
          <w:i/>
        </w:rPr>
        <w:t>Id</w:t>
      </w:r>
      <w:r>
        <w:t xml:space="preserve">. at </w:t>
      </w:r>
      <w:r>
        <w:t>2</w:t>
      </w:r>
      <w:r>
        <w:t>.</w:t>
      </w:r>
    </w:p>
  </w:footnote>
  <w:footnote w:id="15">
    <w:p w:rsidR="00C57DAF">
      <w:pPr>
        <w:pStyle w:val="FootnoteText"/>
      </w:pPr>
      <w:r>
        <w:rPr>
          <w:rStyle w:val="FootnoteReference"/>
        </w:rPr>
        <w:footnoteRef/>
      </w:r>
      <w:r>
        <w:t xml:space="preserve"> </w:t>
      </w:r>
      <w:r w:rsidRPr="00C57DAF">
        <w:rPr>
          <w:i/>
        </w:rPr>
        <w:t>Id</w:t>
      </w:r>
      <w:r>
        <w:t xml:space="preserve">. </w:t>
      </w:r>
      <w:r w:rsidR="009B6DC9">
        <w:t>(</w:t>
      </w:r>
      <w:r>
        <w:t xml:space="preserve">citing </w:t>
      </w:r>
      <w:r w:rsidR="009B6DC9">
        <w:t>Convention of the International Civil Aviation Organization, Annex 10, para. 5.1.8.6).</w:t>
      </w:r>
    </w:p>
  </w:footnote>
  <w:footnote w:id="16">
    <w:p w:rsidR="00C57DAF">
      <w:pPr>
        <w:pStyle w:val="FootnoteText"/>
      </w:pPr>
      <w:r>
        <w:rPr>
          <w:rStyle w:val="FootnoteReference"/>
        </w:rPr>
        <w:footnoteRef/>
      </w:r>
      <w:r>
        <w:t xml:space="preserve"> </w:t>
      </w:r>
      <w:r w:rsidRPr="00C57DAF">
        <w:rPr>
          <w:i/>
        </w:rPr>
        <w:t>Id</w:t>
      </w:r>
      <w:r>
        <w:t xml:space="preserve">.  The FAA says that aeronautical </w:t>
      </w:r>
      <w:r>
        <w:t>enroute</w:t>
      </w:r>
      <w:r>
        <w:t xml:space="preserve"> stations providing AOC communications are also used to transmit ATC data messages such as departure and pre-departure clearances, oceanic clearances, Controller-to-Pilot Data Link Communications, and Contract-Based Automatic Dependent Surveillance </w:t>
      </w:r>
      <w:r w:rsidR="005A45E3">
        <w:t xml:space="preserve">service.  </w:t>
      </w:r>
      <w:r w:rsidRPr="005A45E3" w:rsidR="005A45E3">
        <w:rPr>
          <w:i/>
        </w:rPr>
        <w:t>Id</w:t>
      </w:r>
      <w:r w:rsidR="005A45E3">
        <w:t>.</w:t>
      </w:r>
    </w:p>
  </w:footnote>
  <w:footnote w:id="17">
    <w:p w:rsidR="00822BB4" w:rsidRPr="00822BB4" w:rsidP="00822BB4">
      <w:pPr>
        <w:pStyle w:val="FootnoteText"/>
      </w:pPr>
      <w:r>
        <w:rPr>
          <w:rStyle w:val="FootnoteReference"/>
        </w:rPr>
        <w:footnoteRef/>
      </w:r>
      <w:r>
        <w:t xml:space="preserve"> </w:t>
      </w:r>
      <w:r>
        <w:rPr>
          <w:i/>
        </w:rPr>
        <w:t>Id.</w:t>
      </w:r>
      <w:r>
        <w:t xml:space="preserve"> at </w:t>
      </w:r>
      <w:r>
        <w:t>3</w:t>
      </w:r>
      <w:r>
        <w:t xml:space="preserve">; </w:t>
      </w:r>
      <w:r>
        <w:rPr>
          <w:i/>
        </w:rPr>
        <w:t xml:space="preserve">see also </w:t>
      </w:r>
      <w:r>
        <w:t>ASRI Letter at 1.</w:t>
      </w:r>
    </w:p>
  </w:footnote>
  <w:footnote w:id="18">
    <w:p w:rsidR="00C411BE">
      <w:pPr>
        <w:pStyle w:val="FootnoteText"/>
      </w:pPr>
      <w:r>
        <w:rPr>
          <w:rStyle w:val="FootnoteReference"/>
        </w:rPr>
        <w:footnoteRef/>
      </w:r>
      <w:r>
        <w:t xml:space="preserve"> </w:t>
      </w:r>
      <w:r w:rsidRPr="00F037B2">
        <w:rPr>
          <w:i/>
        </w:rPr>
        <w:t xml:space="preserve">See Amendment of </w:t>
      </w:r>
      <w:r>
        <w:rPr>
          <w:i/>
        </w:rPr>
        <w:t>part</w:t>
      </w:r>
      <w:r w:rsidRPr="00F037B2">
        <w:rPr>
          <w:i/>
        </w:rPr>
        <w:t xml:space="preserve"> 87 to clarify the aeronautical </w:t>
      </w:r>
      <w:r w:rsidRPr="00F037B2">
        <w:rPr>
          <w:i/>
        </w:rPr>
        <w:t>enroute</w:t>
      </w:r>
      <w:r w:rsidRPr="00F037B2">
        <w:rPr>
          <w:i/>
        </w:rPr>
        <w:t xml:space="preserve"> station rules and provide two additional frequencies for use by small aircraft operating agencies</w:t>
      </w:r>
      <w:r>
        <w:t xml:space="preserve">, Report and Order, 87 FCC 2d 382, 391, para. </w:t>
      </w:r>
      <w:r>
        <w:t>32</w:t>
      </w:r>
      <w:r>
        <w:t xml:space="preserve"> (1981).</w:t>
      </w:r>
    </w:p>
  </w:footnote>
  <w:footnote w:id="19">
    <w:p w:rsidR="00B1202A" w:rsidRPr="00A11954">
      <w:pPr>
        <w:pStyle w:val="FootnoteText"/>
      </w:pPr>
      <w:r>
        <w:rPr>
          <w:rStyle w:val="FootnoteReference"/>
        </w:rPr>
        <w:footnoteRef/>
      </w:r>
      <w:r>
        <w:t xml:space="preserve"> </w:t>
      </w:r>
      <w:r>
        <w:rPr>
          <w:i/>
        </w:rPr>
        <w:t>See id.</w:t>
      </w:r>
      <w:r w:rsidR="00A11954">
        <w:t xml:space="preserve">  The prior version of the rule was more general.  </w:t>
      </w:r>
      <w:r w:rsidR="00A11954">
        <w:rPr>
          <w:i/>
        </w:rPr>
        <w:t xml:space="preserve">See </w:t>
      </w:r>
      <w:r w:rsidR="00A11954">
        <w:t xml:space="preserve">47 CFR § 87.291(a) (1980) (“Aeronautical </w:t>
      </w:r>
      <w:r w:rsidR="00A11954">
        <w:t>en</w:t>
      </w:r>
      <w:r w:rsidR="00A11954">
        <w:t xml:space="preserve"> route stations shall provide all necessary non-public service, HF and VHF, of the particular class authorized ….”).</w:t>
      </w:r>
    </w:p>
  </w:footnote>
  <w:footnote w:id="20">
    <w:p w:rsidR="007530D7" w:rsidRPr="00F677D4" w:rsidP="007530D7">
      <w:pPr>
        <w:pStyle w:val="FootnoteText"/>
      </w:pPr>
      <w:r>
        <w:rPr>
          <w:rStyle w:val="FootnoteReference"/>
        </w:rPr>
        <w:footnoteRef/>
      </w:r>
      <w:r>
        <w:t xml:space="preserve"> </w:t>
      </w:r>
      <w:r>
        <w:rPr>
          <w:i/>
        </w:rPr>
        <w:t xml:space="preserve">See </w:t>
      </w:r>
      <w:r>
        <w:t>47 CFR §§ 87.213(c) (</w:t>
      </w:r>
      <w:r w:rsidRPr="00F677D4">
        <w:t>prohibit</w:t>
      </w:r>
      <w:r>
        <w:t>ing</w:t>
      </w:r>
      <w:r w:rsidRPr="00F677D4">
        <w:t xml:space="preserve"> aeronautical advisory (</w:t>
      </w:r>
      <w:r w:rsidRPr="00F677D4">
        <w:t>unicom</w:t>
      </w:r>
      <w:r w:rsidRPr="00F677D4">
        <w:t>) stations from transmitting ATC communications</w:t>
      </w:r>
      <w:r>
        <w:t>,</w:t>
      </w:r>
      <w:r w:rsidRPr="00F677D4">
        <w:t xml:space="preserve"> except in limited circumstances and then only with respect to certain information</w:t>
      </w:r>
      <w:r>
        <w:t xml:space="preserve">), 87.237(b) (prohibiting </w:t>
      </w:r>
      <w:r>
        <w:rPr>
          <w:spacing w:val="-2"/>
        </w:rPr>
        <w:t xml:space="preserve">aeronautical </w:t>
      </w:r>
      <w:r>
        <w:rPr>
          <w:spacing w:val="-2"/>
        </w:rPr>
        <w:t>multicom</w:t>
      </w:r>
      <w:r>
        <w:rPr>
          <w:spacing w:val="-2"/>
        </w:rPr>
        <w:t xml:space="preserve"> stations from transmitting ATC communications, except in similar circumstances and with similar limitations</w:t>
      </w:r>
      <w:r>
        <w:t>), 87.323(c) (prohibiting aviation support stations from transmitting ATC communications).</w:t>
      </w:r>
    </w:p>
  </w:footnote>
  <w:footnote w:id="21">
    <w:p w:rsidR="009900A8" w:rsidP="009900A8">
      <w:pPr>
        <w:pStyle w:val="FootnoteText"/>
      </w:pPr>
      <w:r>
        <w:rPr>
          <w:rStyle w:val="FootnoteReference"/>
        </w:rPr>
        <w:footnoteRef/>
      </w:r>
      <w:r>
        <w:t xml:space="preserve"> </w:t>
      </w:r>
      <w:r w:rsidRPr="009900A8">
        <w:t xml:space="preserve">Since the Request includes a proviso that priority </w:t>
      </w:r>
      <w:r w:rsidRPr="009900A8">
        <w:t>shall be accorded</w:t>
      </w:r>
      <w:r w:rsidRPr="009900A8">
        <w:t xml:space="preserve"> to ATC communications, and the FAA and ASRI both represent that such priority will be provided, we incorporate that proviso into our ruling</w:t>
      </w:r>
      <w:r>
        <w:t xml:space="preserve"> that such operations are permitted</w:t>
      </w:r>
      <w:r w:rsidRPr="009900A8">
        <w:t xml:space="preserve">. </w:t>
      </w:r>
      <w:r>
        <w:t xml:space="preserve"> </w:t>
      </w:r>
      <w:r>
        <w:rPr>
          <w:spacing w:val="-2"/>
        </w:rPr>
        <w:t>We do not reach the question of whether the part 87 rules mandate such priority.  To grant the Request, it is only necessary to determine that the part 87 rules do not prohibit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900A8">
      <w:t>DA 18-</w:t>
    </w:r>
    <w:r w:rsidR="00DD6957">
      <w:t>616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C3DE7">
      <w:rPr>
        <w:spacing w:val="-2"/>
      </w:rPr>
      <w:t>DA 18-</w:t>
    </w:r>
    <w:r w:rsidR="00DD6957">
      <w:rPr>
        <w:spacing w:val="-2"/>
      </w:rPr>
      <w:t>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270D1A"/>
    <w:multiLevelType w:val="hybridMultilevel"/>
    <w:tmpl w:val="7B8AFC6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0752C7"/>
    <w:rPr>
      <w:snapToGrid w:val="0"/>
      <w:kern w:val="28"/>
      <w:sz w:val="22"/>
    </w:rPr>
  </w:style>
  <w:style w:type="character" w:customStyle="1" w:styleId="UnresolvedMention">
    <w:name w:val="Unresolved Mention"/>
    <w:basedOn w:val="DefaultParagraphFont"/>
    <w:uiPriority w:val="99"/>
    <w:semiHidden/>
    <w:unhideWhenUsed/>
    <w:rsid w:val="0023603B"/>
    <w:rPr>
      <w:color w:val="808080"/>
      <w:shd w:val="clear" w:color="auto" w:fill="E6E6E6"/>
    </w:rPr>
  </w:style>
  <w:style w:type="paragraph" w:styleId="BalloonText">
    <w:name w:val="Balloon Text"/>
    <w:basedOn w:val="Normal"/>
    <w:link w:val="BalloonTextChar"/>
    <w:rsid w:val="007D0E57"/>
    <w:rPr>
      <w:rFonts w:ascii="Segoe UI" w:hAnsi="Segoe UI" w:cs="Segoe UI"/>
      <w:sz w:val="18"/>
      <w:szCs w:val="18"/>
    </w:rPr>
  </w:style>
  <w:style w:type="character" w:customStyle="1" w:styleId="BalloonTextChar">
    <w:name w:val="Balloon Text Char"/>
    <w:basedOn w:val="DefaultParagraphFont"/>
    <w:link w:val="BalloonText"/>
    <w:rsid w:val="007D0E5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