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rsidRPr="00EF570E">
      <w:pPr>
        <w:pStyle w:val="Header"/>
        <w:tabs>
          <w:tab w:val="clear" w:pos="4320"/>
          <w:tab w:val="clear" w:pos="8640"/>
        </w:tabs>
        <w:rPr>
          <w:rFonts w:ascii="Times New Roman" w:hAnsi="Times New Roman"/>
        </w:rPr>
        <w:sectPr w:rsidSect="00E21FFF">
          <w:footerReference w:type="default" r:id="rId6"/>
          <w:headerReference w:type="first" r:id="rId7"/>
          <w:pgSz w:w="12240" w:h="15840" w:code="1"/>
          <w:pgMar w:top="720" w:right="1440" w:bottom="720" w:left="1440" w:header="720" w:footer="720" w:gutter="0"/>
          <w:cols w:space="720"/>
          <w:titlePg/>
        </w:sectPr>
      </w:pPr>
    </w:p>
    <w:p w:rsidR="00602577" w:rsidRPr="00EF570E" w:rsidP="00C20EE1">
      <w:pPr>
        <w:spacing w:after="0" w:line="240" w:lineRule="auto"/>
        <w:jc w:val="right"/>
        <w:rPr>
          <w:rFonts w:ascii="Times New Roman" w:hAnsi="Times New Roman"/>
        </w:rPr>
      </w:pPr>
      <w:r>
        <w:rPr>
          <w:rFonts w:ascii="Times New Roman" w:hAnsi="Times New Roman"/>
        </w:rPr>
        <w:t>DA 18</w:t>
      </w:r>
      <w:r w:rsidR="001E6946">
        <w:rPr>
          <w:rFonts w:ascii="Times New Roman" w:hAnsi="Times New Roman"/>
        </w:rPr>
        <w:t>-619</w:t>
      </w:r>
    </w:p>
    <w:p w:rsidR="00602577" w:rsidRPr="00EF570E" w:rsidP="00C20EE1">
      <w:pPr>
        <w:tabs>
          <w:tab w:val="left" w:pos="5162"/>
          <w:tab w:val="right" w:pos="9360"/>
        </w:tabs>
        <w:spacing w:before="60" w:after="0" w:line="240" w:lineRule="auto"/>
        <w:rPr>
          <w:rFonts w:ascii="Times New Roman" w:hAnsi="Times New Roman"/>
        </w:rPr>
      </w:pPr>
      <w:r w:rsidRPr="00EF570E">
        <w:rPr>
          <w:rFonts w:ascii="Times New Roman" w:hAnsi="Times New Roman"/>
        </w:rPr>
        <w:tab/>
      </w:r>
      <w:r w:rsidRPr="00EF570E">
        <w:rPr>
          <w:rFonts w:ascii="Times New Roman" w:hAnsi="Times New Roman"/>
        </w:rPr>
        <w:tab/>
      </w:r>
      <w:r w:rsidR="002C4500">
        <w:rPr>
          <w:rFonts w:ascii="Times New Roman" w:hAnsi="Times New Roman"/>
        </w:rPr>
        <w:t>June 14, 2018</w:t>
      </w:r>
    </w:p>
    <w:p w:rsidR="00602577" w:rsidRPr="00EF570E">
      <w:pPr>
        <w:jc w:val="right"/>
        <w:rPr>
          <w:rFonts w:ascii="Times New Roman" w:hAnsi="Times New Roman"/>
        </w:rPr>
      </w:pPr>
    </w:p>
    <w:p w:rsidR="005E3FC7" w:rsidRPr="00EF570E">
      <w:pPr>
        <w:spacing w:after="240"/>
        <w:jc w:val="center"/>
        <w:rPr>
          <w:rFonts w:ascii="Times New Roman" w:hAnsi="Times New Roman"/>
          <w:b/>
        </w:rPr>
      </w:pPr>
      <w:r w:rsidRPr="00EF570E">
        <w:rPr>
          <w:rFonts w:ascii="Times New Roman" w:hAnsi="Times New Roman"/>
          <w:b/>
          <w:sz w:val="24"/>
        </w:rPr>
        <w:t>WIRELESS TELECOMMUNICATIONS BUREAU ACCEPTING APPLICATIONS TO MODIFY EXISTING LICENSES IN THE 39 GHz BAND PURSUANT TO VOLUNTARY REBANDING PROCESS</w:t>
      </w:r>
    </w:p>
    <w:p w:rsidR="00602577" w:rsidRPr="00EF570E">
      <w:pPr>
        <w:spacing w:after="240"/>
        <w:jc w:val="center"/>
        <w:rPr>
          <w:rFonts w:ascii="Times New Roman" w:hAnsi="Times New Roman"/>
          <w:b/>
        </w:rPr>
      </w:pPr>
      <w:r w:rsidRPr="00EF570E">
        <w:rPr>
          <w:rFonts w:ascii="Times New Roman" w:hAnsi="Times New Roman"/>
          <w:b/>
          <w:i/>
        </w:rPr>
        <w:t>GN</w:t>
      </w:r>
      <w:r w:rsidRPr="00EF570E" w:rsidR="009B0E22">
        <w:rPr>
          <w:rFonts w:ascii="Times New Roman" w:hAnsi="Times New Roman"/>
          <w:b/>
          <w:i/>
        </w:rPr>
        <w:t xml:space="preserve"> Docket No. 1</w:t>
      </w:r>
      <w:r w:rsidRPr="00EF570E">
        <w:rPr>
          <w:rFonts w:ascii="Times New Roman" w:hAnsi="Times New Roman"/>
          <w:b/>
          <w:i/>
        </w:rPr>
        <w:t>4</w:t>
      </w:r>
      <w:r w:rsidRPr="00EF570E" w:rsidR="009B0E22">
        <w:rPr>
          <w:rFonts w:ascii="Times New Roman" w:hAnsi="Times New Roman"/>
          <w:b/>
          <w:i/>
        </w:rPr>
        <w:t>-1</w:t>
      </w:r>
      <w:r w:rsidRPr="00EF570E">
        <w:rPr>
          <w:rFonts w:ascii="Times New Roman" w:hAnsi="Times New Roman"/>
          <w:b/>
          <w:i/>
        </w:rPr>
        <w:t>77</w:t>
      </w:r>
    </w:p>
    <w:p w:rsidR="008D4BD4" w:rsidRPr="00EF570E" w:rsidP="00BC32FF">
      <w:pPr>
        <w:spacing w:after="120"/>
        <w:ind w:firstLine="720"/>
        <w:rPr>
          <w:rFonts w:ascii="Times New Roman" w:hAnsi="Times New Roman"/>
          <w:b/>
          <w:u w:val="single"/>
        </w:rPr>
      </w:pPr>
      <w:r w:rsidRPr="00EF570E">
        <w:rPr>
          <w:rFonts w:ascii="Times New Roman" w:hAnsi="Times New Roman"/>
        </w:rPr>
        <w:t>By this Public</w:t>
      </w:r>
      <w:r w:rsidRPr="00EF570E">
        <w:rPr>
          <w:rFonts w:ascii="Times New Roman" w:hAnsi="Times New Roman"/>
        </w:rPr>
        <w:t xml:space="preserve"> Notice, and consistent with the voluntary rebanding framework adopted by the Commission in the </w:t>
      </w:r>
      <w:r w:rsidRPr="00EF570E">
        <w:rPr>
          <w:rFonts w:ascii="Times New Roman" w:hAnsi="Times New Roman"/>
          <w:i/>
        </w:rPr>
        <w:t>Spectrum Frontiers R&amp;O</w:t>
      </w:r>
      <w:r w:rsidRPr="00EF570E">
        <w:rPr>
          <w:rFonts w:ascii="Times New Roman" w:hAnsi="Times New Roman"/>
        </w:rPr>
        <w:t>,</w:t>
      </w:r>
      <w:r>
        <w:rPr>
          <w:rStyle w:val="FootnoteReference"/>
          <w:rFonts w:ascii="Times New Roman" w:hAnsi="Times New Roman"/>
        </w:rPr>
        <w:footnoteReference w:id="3"/>
      </w:r>
      <w:r w:rsidRPr="00EF570E">
        <w:rPr>
          <w:rFonts w:ascii="Times New Roman" w:hAnsi="Times New Roman"/>
        </w:rPr>
        <w:t xml:space="preserve"> the Wireless Telecommunications Bureau (Bureau) announces that it is accepting applications to modify existing licenses in the 38.6-40 GHz frequency band (39 GHz band).  The Bureau is accepting these modification applications to facilitate the efficient u</w:t>
      </w:r>
      <w:r w:rsidRPr="00EF570E">
        <w:rPr>
          <w:rFonts w:ascii="Times New Roman" w:hAnsi="Times New Roman"/>
        </w:rPr>
        <w:t xml:space="preserve">se by existing 39 GHz licensees of the millimeter wave spectrum for fifth-generation (5G) wireless, Internet of Things, and other advanced spectrum-based services, in advance of an auction of new licenses for flexible use in the 39 GHz band.  We note that </w:t>
      </w:r>
      <w:r w:rsidRPr="00EF570E">
        <w:rPr>
          <w:rFonts w:ascii="Times New Roman" w:hAnsi="Times New Roman"/>
        </w:rPr>
        <w:t>nothing in this Public Notice prejudges the proposals pending before the Commission regarding the assignment of licenses for, or access to, the 39 GHz band.</w:t>
      </w:r>
      <w:r>
        <w:rPr>
          <w:rStyle w:val="FootnoteReference"/>
          <w:rFonts w:ascii="Times New Roman" w:hAnsi="Times New Roman"/>
        </w:rPr>
        <w:footnoteReference w:id="4"/>
      </w:r>
    </w:p>
    <w:p w:rsidR="008D4BD4" w:rsidRPr="00EF570E" w:rsidP="008D4BD4">
      <w:pPr>
        <w:rPr>
          <w:rFonts w:ascii="Times New Roman" w:hAnsi="Times New Roman"/>
        </w:rPr>
      </w:pPr>
      <w:r w:rsidRPr="00EF570E">
        <w:rPr>
          <w:rFonts w:ascii="Times New Roman" w:hAnsi="Times New Roman"/>
          <w:b/>
          <w:u w:val="single"/>
        </w:rPr>
        <w:t>Background</w:t>
      </w:r>
    </w:p>
    <w:p w:rsidR="008D4BD4" w:rsidRPr="00EF570E" w:rsidP="00BC32FF">
      <w:pPr>
        <w:spacing w:after="120"/>
        <w:ind w:firstLine="720"/>
        <w:rPr>
          <w:rFonts w:ascii="Times New Roman" w:hAnsi="Times New Roman"/>
        </w:rPr>
      </w:pPr>
      <w:bookmarkStart w:id="0" w:name="_Hlk515358615"/>
      <w:r w:rsidRPr="00EF570E">
        <w:rPr>
          <w:rFonts w:ascii="Times New Roman" w:hAnsi="Times New Roman"/>
        </w:rPr>
        <w:t xml:space="preserve">In the </w:t>
      </w:r>
      <w:r w:rsidRPr="00EF570E">
        <w:rPr>
          <w:rFonts w:ascii="Times New Roman" w:hAnsi="Times New Roman"/>
          <w:i/>
        </w:rPr>
        <w:t>Spectrum Frontiers R&amp;O</w:t>
      </w:r>
      <w:r w:rsidRPr="00EF570E">
        <w:rPr>
          <w:rFonts w:ascii="Times New Roman" w:hAnsi="Times New Roman"/>
        </w:rPr>
        <w:t>, the Commission, among other things, adopted a new 39 GHz</w:t>
      </w:r>
      <w:r w:rsidRPr="00EF570E">
        <w:rPr>
          <w:rFonts w:ascii="Times New Roman" w:hAnsi="Times New Roman"/>
        </w:rPr>
        <w:t xml:space="preserve"> band plan and service rules that provide for 200 megahertz channels licensed by Partial Economic Areas (PEA).</w:t>
      </w:r>
      <w:r>
        <w:rPr>
          <w:rStyle w:val="FootnoteReference"/>
          <w:rFonts w:ascii="Times New Roman" w:hAnsi="Times New Roman"/>
        </w:rPr>
        <w:footnoteReference w:id="5"/>
      </w:r>
      <w:r w:rsidRPr="00EF570E">
        <w:rPr>
          <w:rFonts w:ascii="Times New Roman" w:hAnsi="Times New Roman"/>
        </w:rPr>
        <w:t xml:space="preserve">  </w:t>
      </w:r>
      <w:bookmarkEnd w:id="0"/>
      <w:r w:rsidRPr="00EF570E">
        <w:rPr>
          <w:rFonts w:ascii="Times New Roman" w:hAnsi="Times New Roman"/>
        </w:rPr>
        <w:t>The prior 39 GHz band plan and service rules provided for fourteen paired 50 by 50 megahertz channels licensed initially by self-defined Rectan</w:t>
      </w:r>
      <w:r w:rsidRPr="00EF570E">
        <w:rPr>
          <w:rFonts w:ascii="Times New Roman" w:hAnsi="Times New Roman"/>
        </w:rPr>
        <w:t>gular Service Areas (RSA) and then by Economic Area (EA) overlays.</w:t>
      </w:r>
      <w:r>
        <w:rPr>
          <w:rStyle w:val="FootnoteReference"/>
          <w:rFonts w:ascii="Times New Roman" w:hAnsi="Times New Roman"/>
        </w:rPr>
        <w:footnoteReference w:id="6"/>
      </w:r>
      <w:r w:rsidRPr="00EF570E">
        <w:rPr>
          <w:rFonts w:ascii="Times New Roman" w:hAnsi="Times New Roman"/>
        </w:rPr>
        <w:t xml:space="preserve">  In that regard, EA licenses</w:t>
      </w:r>
      <w:r w:rsidRPr="00EF570E" w:rsidR="0071257C">
        <w:rPr>
          <w:rFonts w:ascii="Times New Roman" w:hAnsi="Times New Roman"/>
        </w:rPr>
        <w:t>—</w:t>
      </w:r>
      <w:r w:rsidRPr="00EF570E">
        <w:rPr>
          <w:rFonts w:ascii="Times New Roman" w:hAnsi="Times New Roman"/>
        </w:rPr>
        <w:t>now converted into PEA licenses</w:t>
      </w:r>
      <w:r>
        <w:rPr>
          <w:rStyle w:val="FootnoteReference"/>
          <w:rFonts w:ascii="Times New Roman" w:hAnsi="Times New Roman"/>
        </w:rPr>
        <w:footnoteReference w:id="7"/>
      </w:r>
      <w:r w:rsidRPr="00EF570E" w:rsidR="0071257C">
        <w:rPr>
          <w:rFonts w:ascii="Times New Roman" w:hAnsi="Times New Roman"/>
        </w:rPr>
        <w:t>—</w:t>
      </w:r>
      <w:r w:rsidRPr="00EF570E">
        <w:rPr>
          <w:rFonts w:ascii="Times New Roman" w:hAnsi="Times New Roman"/>
        </w:rPr>
        <w:t xml:space="preserve">may be encumbered by </w:t>
      </w:r>
      <w:r w:rsidRPr="00EF570E">
        <w:rPr>
          <w:rFonts w:ascii="Times New Roman" w:hAnsi="Times New Roman"/>
        </w:rPr>
        <w:t>one or more RSA licenses.  Recognizing that incumbent 39 GHz licenses are interspersed among unassigned c</w:t>
      </w:r>
      <w:r w:rsidRPr="00EF570E">
        <w:rPr>
          <w:rFonts w:ascii="Times New Roman" w:hAnsi="Times New Roman"/>
        </w:rPr>
        <w:t xml:space="preserve">hannels in noncontiguous paired blocks throughout the band, the Commission noted that “[h]olding any auction based on this fragmented band would likely be inefficient, as bidders would reasonably expect to incur significant transaction costs in assembling </w:t>
      </w:r>
      <w:r w:rsidRPr="00EF570E">
        <w:rPr>
          <w:rFonts w:ascii="Times New Roman" w:hAnsi="Times New Roman"/>
        </w:rPr>
        <w:t>contiguous spectrum post-auction.”</w:t>
      </w:r>
      <w:r>
        <w:rPr>
          <w:rStyle w:val="FootnoteReference"/>
          <w:rFonts w:ascii="Times New Roman" w:hAnsi="Times New Roman"/>
        </w:rPr>
        <w:footnoteReference w:id="8"/>
      </w:r>
      <w:r w:rsidRPr="00EF570E">
        <w:rPr>
          <w:rFonts w:ascii="Times New Roman" w:hAnsi="Times New Roman"/>
        </w:rPr>
        <w:t xml:space="preserve">  To minimize these transaction costs, the Commission adopted a pre-auction process to allow incumbent licenses to be reconfigured to the new band plan through a voluntary rebanding framework.</w:t>
      </w:r>
      <w:r>
        <w:rPr>
          <w:rStyle w:val="FootnoteReference"/>
          <w:rFonts w:ascii="Times New Roman" w:hAnsi="Times New Roman"/>
        </w:rPr>
        <w:footnoteReference w:id="9"/>
      </w:r>
    </w:p>
    <w:p w:rsidR="008D4BD4" w:rsidRPr="00EF570E" w:rsidP="00BC32FF">
      <w:pPr>
        <w:spacing w:before="240" w:after="120"/>
        <w:rPr>
          <w:rFonts w:ascii="Times New Roman" w:hAnsi="Times New Roman"/>
          <w:b/>
          <w:u w:val="single"/>
        </w:rPr>
      </w:pPr>
      <w:r w:rsidRPr="00EF570E">
        <w:rPr>
          <w:rFonts w:ascii="Times New Roman" w:hAnsi="Times New Roman"/>
          <w:b/>
          <w:u w:val="single"/>
        </w:rPr>
        <w:t>Discussion</w:t>
      </w:r>
    </w:p>
    <w:p w:rsidR="00266A5A" w:rsidRPr="00EF570E" w:rsidP="00A50C5D">
      <w:pPr>
        <w:spacing w:after="120"/>
        <w:ind w:firstLine="720"/>
        <w:rPr>
          <w:rFonts w:ascii="Times New Roman" w:hAnsi="Times New Roman"/>
        </w:rPr>
      </w:pPr>
      <w:r w:rsidRPr="00EF570E">
        <w:rPr>
          <w:rFonts w:ascii="Times New Roman" w:hAnsi="Times New Roman"/>
        </w:rPr>
        <w:t>In adopting a vo</w:t>
      </w:r>
      <w:r w:rsidRPr="00EF570E">
        <w:rPr>
          <w:rFonts w:ascii="Times New Roman" w:hAnsi="Times New Roman"/>
        </w:rPr>
        <w:t>luntary rebanding framework, the Commission anticipated that the framework would help to facilitate greater contiguity of spectrum to be used by existing license holders and by future winning bidders for new licenses.</w:t>
      </w:r>
      <w:r>
        <w:rPr>
          <w:rStyle w:val="FootnoteReference"/>
          <w:rFonts w:ascii="Times New Roman" w:hAnsi="Times New Roman"/>
        </w:rPr>
        <w:footnoteReference w:id="10"/>
      </w:r>
      <w:r w:rsidRPr="00EF570E">
        <w:rPr>
          <w:rFonts w:ascii="Times New Roman" w:hAnsi="Times New Roman"/>
        </w:rPr>
        <w:t xml:space="preserve">  </w:t>
      </w:r>
      <w:r w:rsidRPr="00EF570E" w:rsidR="00D165B6">
        <w:rPr>
          <w:rFonts w:ascii="Times New Roman" w:hAnsi="Times New Roman"/>
        </w:rPr>
        <w:t>We emphasize that—for purposes of streamlined processing—</w:t>
      </w:r>
      <w:r w:rsidRPr="00EF570E">
        <w:rPr>
          <w:rFonts w:ascii="Times New Roman" w:hAnsi="Times New Roman"/>
        </w:rPr>
        <w:t>licensees may only request modifications that reflect the amount of their existing holdings, i.e., they cannot apply for modifications to their licenses that cover more MHz-Pops within each PEA than what they currently hold in the 39 G</w:t>
      </w:r>
      <w:r w:rsidRPr="00EF570E">
        <w:rPr>
          <w:rFonts w:ascii="Times New Roman" w:hAnsi="Times New Roman"/>
        </w:rPr>
        <w:t>Hz band.</w:t>
      </w:r>
      <w:r>
        <w:rPr>
          <w:rStyle w:val="FootnoteReference"/>
          <w:rFonts w:ascii="Times New Roman" w:hAnsi="Times New Roman"/>
        </w:rPr>
        <w:footnoteReference w:id="11"/>
      </w:r>
      <w:r w:rsidRPr="00EF570E">
        <w:rPr>
          <w:rFonts w:ascii="Times New Roman" w:hAnsi="Times New Roman"/>
        </w:rPr>
        <w:t xml:space="preserve">  </w:t>
      </w:r>
      <w:r w:rsidRPr="00EF570E" w:rsidR="008D4BD4">
        <w:rPr>
          <w:rFonts w:ascii="Times New Roman" w:hAnsi="Times New Roman"/>
        </w:rPr>
        <w:t xml:space="preserve">Consistent with the voluntary rebanding framework adopted by the Commission, as implemented herein by the Bureau, entities applying to modify their 39 GHz licenses through the voluntary rebanding framework </w:t>
      </w:r>
      <w:r w:rsidRPr="003E219F" w:rsidR="004B572F">
        <w:rPr>
          <w:rFonts w:ascii="Times New Roman" w:hAnsi="Times New Roman" w:cs="Times New Roman"/>
        </w:rPr>
        <w:t>should</w:t>
      </w:r>
      <w:r w:rsidRPr="00EF570E" w:rsidR="004B572F">
        <w:rPr>
          <w:rFonts w:ascii="Times New Roman" w:hAnsi="Times New Roman"/>
        </w:rPr>
        <w:t xml:space="preserve"> </w:t>
      </w:r>
      <w:r w:rsidRPr="00EF570E" w:rsidR="008D4BD4">
        <w:rPr>
          <w:rFonts w:ascii="Times New Roman" w:hAnsi="Times New Roman"/>
        </w:rPr>
        <w:t>follow these criteria and processes</w:t>
      </w:r>
      <w:r w:rsidRPr="00EF570E" w:rsidR="0057627E">
        <w:rPr>
          <w:rFonts w:ascii="Times New Roman" w:hAnsi="Times New Roman"/>
        </w:rPr>
        <w:t xml:space="preserve">.  </w:t>
      </w:r>
      <w:r w:rsidRPr="00F052BD" w:rsidR="00F052BD">
        <w:rPr>
          <w:rFonts w:ascii="Times New Roman" w:hAnsi="Times New Roman"/>
        </w:rPr>
        <w:t>A</w:t>
      </w:r>
      <w:r w:rsidR="00F052BD">
        <w:rPr>
          <w:rFonts w:ascii="Times New Roman" w:hAnsi="Times New Roman"/>
        </w:rPr>
        <w:t xml:space="preserve">pplications to modify existing 39 GHz licenses pursuant to this voluntary rebanding process will be accepted until </w:t>
      </w:r>
      <w:r w:rsidRPr="00D25DD6" w:rsidR="00F052BD">
        <w:rPr>
          <w:rFonts w:ascii="Times New Roman" w:hAnsi="Times New Roman"/>
          <w:u w:val="single"/>
        </w:rPr>
        <w:t>February 1, 2019</w:t>
      </w:r>
      <w:r w:rsidR="00F052BD">
        <w:rPr>
          <w:rFonts w:ascii="Times New Roman" w:hAnsi="Times New Roman"/>
        </w:rPr>
        <w:t>.</w:t>
      </w:r>
    </w:p>
    <w:p w:rsidR="00D165B6" w:rsidRPr="00EF570E" w:rsidP="00A50C5D">
      <w:pPr>
        <w:spacing w:after="120"/>
        <w:ind w:firstLine="720"/>
        <w:rPr>
          <w:rFonts w:ascii="Times New Roman" w:hAnsi="Times New Roman"/>
        </w:rPr>
      </w:pPr>
      <w:r w:rsidRPr="00EF570E">
        <w:rPr>
          <w:rFonts w:ascii="Times New Roman" w:hAnsi="Times New Roman"/>
          <w:i/>
        </w:rPr>
        <w:t>First</w:t>
      </w:r>
      <w:r w:rsidRPr="00EF570E">
        <w:rPr>
          <w:rFonts w:ascii="Times New Roman" w:hAnsi="Times New Roman"/>
        </w:rPr>
        <w:t>,</w:t>
      </w:r>
      <w:r w:rsidRPr="00EF570E" w:rsidR="00FF6841">
        <w:rPr>
          <w:rFonts w:ascii="Times New Roman" w:hAnsi="Times New Roman"/>
        </w:rPr>
        <w:t xml:space="preserve"> </w:t>
      </w:r>
      <w:r w:rsidRPr="003E219F" w:rsidR="00FF6841">
        <w:rPr>
          <w:rFonts w:ascii="Times New Roman" w:hAnsi="Times New Roman" w:cs="Times New Roman"/>
        </w:rPr>
        <w:t xml:space="preserve">in order to implement </w:t>
      </w:r>
      <w:r w:rsidRPr="00EF570E" w:rsidR="00FF6841">
        <w:rPr>
          <w:rFonts w:ascii="Times New Roman" w:hAnsi="Times New Roman"/>
        </w:rPr>
        <w:t xml:space="preserve">the </w:t>
      </w:r>
      <w:r w:rsidRPr="003E219F" w:rsidR="00FF6841">
        <w:rPr>
          <w:rFonts w:ascii="Times New Roman" w:hAnsi="Times New Roman" w:cs="Times New Roman"/>
        </w:rPr>
        <w:t xml:space="preserve">Commission’s foregoing </w:t>
      </w:r>
      <w:r w:rsidRPr="003E219F" w:rsidR="00C4689A">
        <w:rPr>
          <w:rFonts w:ascii="Times New Roman" w:hAnsi="Times New Roman" w:cs="Times New Roman"/>
        </w:rPr>
        <w:t>pre-auction license reconfiguration policy,</w:t>
      </w:r>
      <w:r w:rsidRPr="003E219F">
        <w:rPr>
          <w:rFonts w:ascii="Times New Roman" w:hAnsi="Times New Roman" w:cs="Times New Roman"/>
        </w:rPr>
        <w:t xml:space="preserve"> </w:t>
      </w:r>
      <w:r w:rsidRPr="003E219F" w:rsidR="00A50C5D">
        <w:rPr>
          <w:rFonts w:ascii="Times New Roman" w:hAnsi="Times New Roman" w:cs="Times New Roman"/>
        </w:rPr>
        <w:t xml:space="preserve">the </w:t>
      </w:r>
      <w:r w:rsidRPr="003E219F" w:rsidR="004B572F">
        <w:rPr>
          <w:rFonts w:ascii="Times New Roman" w:hAnsi="Times New Roman" w:cs="Times New Roman"/>
        </w:rPr>
        <w:t>Bureau</w:t>
      </w:r>
      <w:r w:rsidRPr="00EF570E" w:rsidR="004B572F">
        <w:rPr>
          <w:rFonts w:ascii="Times New Roman" w:hAnsi="Times New Roman"/>
        </w:rPr>
        <w:t xml:space="preserve"> </w:t>
      </w:r>
      <w:r w:rsidRPr="00EF570E">
        <w:rPr>
          <w:rFonts w:ascii="Times New Roman" w:hAnsi="Times New Roman"/>
        </w:rPr>
        <w:t xml:space="preserve">is </w:t>
      </w:r>
      <w:r w:rsidRPr="00EF570E">
        <w:rPr>
          <w:rFonts w:ascii="Times New Roman" w:hAnsi="Times New Roman"/>
        </w:rPr>
        <w:t>prepared</w:t>
      </w:r>
      <w:r w:rsidRPr="003E219F" w:rsidR="00A50C5D">
        <w:rPr>
          <w:rFonts w:ascii="Times New Roman" w:hAnsi="Times New Roman" w:cs="Times New Roman"/>
        </w:rPr>
        <w:t xml:space="preserve"> </w:t>
      </w:r>
      <w:r w:rsidRPr="003E219F" w:rsidR="00C4689A">
        <w:rPr>
          <w:rFonts w:ascii="Times New Roman" w:hAnsi="Times New Roman" w:cs="Times New Roman"/>
        </w:rPr>
        <w:t>at this time</w:t>
      </w:r>
      <w:r w:rsidRPr="00EF570E" w:rsidR="00C4689A">
        <w:rPr>
          <w:rFonts w:ascii="Times New Roman" w:hAnsi="Times New Roman"/>
        </w:rPr>
        <w:t xml:space="preserve"> </w:t>
      </w:r>
      <w:r w:rsidRPr="00EF570E">
        <w:rPr>
          <w:rFonts w:ascii="Times New Roman" w:hAnsi="Times New Roman"/>
        </w:rPr>
        <w:t xml:space="preserve">to </w:t>
      </w:r>
      <w:r w:rsidRPr="00EF570E" w:rsidR="00A50C5D">
        <w:rPr>
          <w:rFonts w:ascii="Times New Roman" w:hAnsi="Times New Roman"/>
        </w:rPr>
        <w:t xml:space="preserve">accept </w:t>
      </w:r>
      <w:r w:rsidRPr="00EF570E">
        <w:rPr>
          <w:rFonts w:ascii="Times New Roman" w:hAnsi="Times New Roman"/>
        </w:rPr>
        <w:t xml:space="preserve">three types of </w:t>
      </w:r>
      <w:r w:rsidRPr="00EF570E" w:rsidR="00A50C5D">
        <w:rPr>
          <w:rFonts w:ascii="Times New Roman" w:hAnsi="Times New Roman"/>
        </w:rPr>
        <w:t xml:space="preserve">applications </w:t>
      </w:r>
      <w:r w:rsidRPr="00EF570E">
        <w:rPr>
          <w:rFonts w:ascii="Times New Roman" w:hAnsi="Times New Roman"/>
        </w:rPr>
        <w:t>to modify</w:t>
      </w:r>
      <w:r w:rsidRPr="00EF570E" w:rsidR="00A50C5D">
        <w:rPr>
          <w:rFonts w:ascii="Times New Roman" w:hAnsi="Times New Roman"/>
        </w:rPr>
        <w:t xml:space="preserve"> </w:t>
      </w:r>
      <w:r w:rsidRPr="00EF570E">
        <w:rPr>
          <w:rFonts w:ascii="Times New Roman" w:hAnsi="Times New Roman"/>
        </w:rPr>
        <w:t>existing</w:t>
      </w:r>
      <w:r w:rsidRPr="00EF570E" w:rsidR="00A50C5D">
        <w:rPr>
          <w:rFonts w:ascii="Times New Roman" w:hAnsi="Times New Roman"/>
        </w:rPr>
        <w:t xml:space="preserve"> PEA or RSA </w:t>
      </w:r>
      <w:r w:rsidRPr="00EF570E">
        <w:rPr>
          <w:rFonts w:ascii="Times New Roman" w:hAnsi="Times New Roman"/>
        </w:rPr>
        <w:t>licenses.</w:t>
      </w:r>
      <w:r>
        <w:rPr>
          <w:rStyle w:val="FootnoteReference"/>
          <w:rFonts w:ascii="Times New Roman" w:hAnsi="Times New Roman"/>
        </w:rPr>
        <w:footnoteReference w:id="12"/>
      </w:r>
      <w:r w:rsidRPr="00EF570E">
        <w:rPr>
          <w:rFonts w:ascii="Times New Roman" w:hAnsi="Times New Roman"/>
        </w:rPr>
        <w:t xml:space="preserve">  Accordingly, an incumbent licensee may</w:t>
      </w:r>
      <w:r w:rsidRPr="00EF570E" w:rsidR="001F4CCA">
        <w:rPr>
          <w:rFonts w:ascii="Times New Roman" w:hAnsi="Times New Roman"/>
        </w:rPr>
        <w:t xml:space="preserve">, </w:t>
      </w:r>
      <w:r w:rsidRPr="003E219F" w:rsidR="00C4689A">
        <w:rPr>
          <w:rFonts w:ascii="Times New Roman" w:hAnsi="Times New Roman" w:cs="Times New Roman"/>
        </w:rPr>
        <w:t>pursuant to</w:t>
      </w:r>
      <w:r w:rsidRPr="00EF570E" w:rsidR="00C4689A">
        <w:rPr>
          <w:rFonts w:ascii="Times New Roman" w:hAnsi="Times New Roman"/>
        </w:rPr>
        <w:t xml:space="preserve"> the </w:t>
      </w:r>
      <w:r w:rsidRPr="003E219F" w:rsidR="00C4689A">
        <w:rPr>
          <w:rFonts w:ascii="Times New Roman" w:hAnsi="Times New Roman" w:cs="Times New Roman"/>
        </w:rPr>
        <w:t>Commission’s policy as</w:t>
      </w:r>
      <w:r w:rsidRPr="00EF570E" w:rsidR="00C4689A">
        <w:rPr>
          <w:rFonts w:ascii="Times New Roman" w:hAnsi="Times New Roman"/>
        </w:rPr>
        <w:t xml:space="preserve"> </w:t>
      </w:r>
      <w:r w:rsidRPr="00EF570E" w:rsidR="001F4CCA">
        <w:rPr>
          <w:rFonts w:ascii="Times New Roman" w:hAnsi="Times New Roman"/>
        </w:rPr>
        <w:t>set forth in detail below,</w:t>
      </w:r>
      <w:r w:rsidRPr="00EF570E">
        <w:rPr>
          <w:rFonts w:ascii="Times New Roman" w:hAnsi="Times New Roman"/>
        </w:rPr>
        <w:t xml:space="preserve"> file an application</w:t>
      </w:r>
      <w:r w:rsidRPr="00EF570E" w:rsidR="00B07EE6">
        <w:rPr>
          <w:rFonts w:ascii="Times New Roman" w:hAnsi="Times New Roman"/>
        </w:rPr>
        <w:t>:</w:t>
      </w:r>
      <w:r w:rsidRPr="00EF570E">
        <w:rPr>
          <w:rFonts w:ascii="Times New Roman" w:hAnsi="Times New Roman"/>
        </w:rPr>
        <w:t xml:space="preserve"> </w:t>
      </w:r>
      <w:r w:rsidRPr="00EF570E" w:rsidR="00B07EE6">
        <w:rPr>
          <w:rFonts w:ascii="Times New Roman" w:hAnsi="Times New Roman"/>
        </w:rPr>
        <w:t xml:space="preserve">(1) </w:t>
      </w:r>
      <w:r w:rsidRPr="00EF570E">
        <w:rPr>
          <w:rFonts w:ascii="Times New Roman" w:hAnsi="Times New Roman"/>
        </w:rPr>
        <w:t xml:space="preserve">to swap its existing holdings for certain </w:t>
      </w:r>
      <w:r w:rsidRPr="00EF570E" w:rsidR="002D64D4">
        <w:rPr>
          <w:rFonts w:ascii="Times New Roman" w:hAnsi="Times New Roman"/>
        </w:rPr>
        <w:t xml:space="preserve">unassigned blocks </w:t>
      </w:r>
      <w:r w:rsidRPr="00EF570E">
        <w:rPr>
          <w:rFonts w:ascii="Times New Roman" w:hAnsi="Times New Roman"/>
        </w:rPr>
        <w:t>within the 39 GHz band without the agreement of any other incumbent licensee</w:t>
      </w:r>
      <w:r w:rsidRPr="00EF570E" w:rsidR="00C90F3C">
        <w:rPr>
          <w:rFonts w:ascii="Times New Roman" w:hAnsi="Times New Roman"/>
        </w:rPr>
        <w:t>; (2)</w:t>
      </w:r>
      <w:r w:rsidRPr="00EF570E">
        <w:rPr>
          <w:rFonts w:ascii="Times New Roman" w:hAnsi="Times New Roman"/>
        </w:rPr>
        <w:t xml:space="preserve">, to swap its existing holdings for other existing holdings and </w:t>
      </w:r>
      <w:r w:rsidRPr="00EF570E" w:rsidR="002D64D4">
        <w:rPr>
          <w:rFonts w:ascii="Times New Roman" w:hAnsi="Times New Roman"/>
        </w:rPr>
        <w:t xml:space="preserve">unassigned blocks </w:t>
      </w:r>
      <w:r w:rsidRPr="00EF570E">
        <w:rPr>
          <w:rFonts w:ascii="Times New Roman" w:hAnsi="Times New Roman"/>
        </w:rPr>
        <w:t>within the 39 GHz band with the a</w:t>
      </w:r>
      <w:r w:rsidRPr="00EF570E">
        <w:rPr>
          <w:rFonts w:ascii="Times New Roman" w:hAnsi="Times New Roman"/>
        </w:rPr>
        <w:t>greem</w:t>
      </w:r>
      <w:r w:rsidRPr="00EF570E" w:rsidR="002B4C29">
        <w:rPr>
          <w:rFonts w:ascii="Times New Roman" w:hAnsi="Times New Roman"/>
        </w:rPr>
        <w:t>ent of other incum</w:t>
      </w:r>
      <w:r w:rsidRPr="00EF570E">
        <w:rPr>
          <w:rFonts w:ascii="Times New Roman" w:hAnsi="Times New Roman"/>
        </w:rPr>
        <w:t>b</w:t>
      </w:r>
      <w:r w:rsidRPr="00EF570E" w:rsidR="002B4C29">
        <w:rPr>
          <w:rFonts w:ascii="Times New Roman" w:hAnsi="Times New Roman"/>
        </w:rPr>
        <w:t>e</w:t>
      </w:r>
      <w:r w:rsidRPr="00EF570E">
        <w:rPr>
          <w:rFonts w:ascii="Times New Roman" w:hAnsi="Times New Roman"/>
        </w:rPr>
        <w:t>nt licensees</w:t>
      </w:r>
      <w:r w:rsidRPr="00EF570E" w:rsidR="00C90F3C">
        <w:rPr>
          <w:rFonts w:ascii="Times New Roman" w:hAnsi="Times New Roman"/>
        </w:rPr>
        <w:t>;</w:t>
      </w:r>
      <w:r w:rsidRPr="00EF570E">
        <w:rPr>
          <w:rFonts w:ascii="Times New Roman" w:hAnsi="Times New Roman"/>
        </w:rPr>
        <w:t xml:space="preserve"> and</w:t>
      </w:r>
      <w:r w:rsidRPr="00EF570E" w:rsidR="00A058C7">
        <w:rPr>
          <w:rFonts w:ascii="Times New Roman" w:hAnsi="Times New Roman"/>
        </w:rPr>
        <w:t>/or</w:t>
      </w:r>
      <w:r w:rsidRPr="00EF570E">
        <w:rPr>
          <w:rFonts w:ascii="Times New Roman" w:hAnsi="Times New Roman"/>
        </w:rPr>
        <w:t xml:space="preserve"> </w:t>
      </w:r>
      <w:r w:rsidRPr="00EF570E" w:rsidR="00C90F3C">
        <w:rPr>
          <w:rFonts w:ascii="Times New Roman" w:hAnsi="Times New Roman"/>
        </w:rPr>
        <w:t xml:space="preserve">(3) </w:t>
      </w:r>
      <w:r w:rsidRPr="00EF570E">
        <w:rPr>
          <w:rFonts w:ascii="Times New Roman" w:hAnsi="Times New Roman"/>
        </w:rPr>
        <w:t xml:space="preserve">to cancel </w:t>
      </w:r>
      <w:r w:rsidRPr="00EF570E" w:rsidR="004408C6">
        <w:rPr>
          <w:rFonts w:ascii="Times New Roman" w:hAnsi="Times New Roman"/>
        </w:rPr>
        <w:t xml:space="preserve">its </w:t>
      </w:r>
      <w:r w:rsidRPr="00EF570E" w:rsidR="00C90F3C">
        <w:rPr>
          <w:rFonts w:ascii="Times New Roman" w:hAnsi="Times New Roman"/>
        </w:rPr>
        <w:t xml:space="preserve">RSA licenses that </w:t>
      </w:r>
      <w:r w:rsidRPr="00EF570E">
        <w:rPr>
          <w:rFonts w:ascii="Times New Roman" w:hAnsi="Times New Roman"/>
        </w:rPr>
        <w:t xml:space="preserve">that fall </w:t>
      </w:r>
      <w:r w:rsidRPr="00EF570E" w:rsidR="00C90F3C">
        <w:rPr>
          <w:rFonts w:ascii="Times New Roman" w:hAnsi="Times New Roman"/>
        </w:rPr>
        <w:t xml:space="preserve">wholly within a PEA in block(s) </w:t>
      </w:r>
      <w:r w:rsidRPr="00EF570E">
        <w:rPr>
          <w:rFonts w:ascii="Times New Roman" w:hAnsi="Times New Roman"/>
        </w:rPr>
        <w:t xml:space="preserve">held by the </w:t>
      </w:r>
      <w:r w:rsidRPr="00EF570E" w:rsidR="00DA5AD3">
        <w:rPr>
          <w:rFonts w:ascii="Times New Roman" w:hAnsi="Times New Roman"/>
        </w:rPr>
        <w:t xml:space="preserve">same </w:t>
      </w:r>
      <w:r w:rsidRPr="00EF570E">
        <w:rPr>
          <w:rFonts w:ascii="Times New Roman" w:hAnsi="Times New Roman"/>
        </w:rPr>
        <w:t>incumbent in that PEA, resulting</w:t>
      </w:r>
      <w:r w:rsidRPr="00EF570E" w:rsidR="002B4C29">
        <w:rPr>
          <w:rFonts w:ascii="Times New Roman" w:hAnsi="Times New Roman"/>
        </w:rPr>
        <w:t xml:space="preserve"> in an unencumbered PEA license</w:t>
      </w:r>
      <w:r w:rsidRPr="00EF570E">
        <w:rPr>
          <w:rFonts w:ascii="Times New Roman" w:hAnsi="Times New Roman"/>
        </w:rPr>
        <w:t xml:space="preserve"> block(s).</w:t>
      </w:r>
      <w:r>
        <w:rPr>
          <w:rStyle w:val="FootnoteReference"/>
          <w:rFonts w:ascii="Times New Roman" w:hAnsi="Times New Roman"/>
        </w:rPr>
        <w:footnoteReference w:id="13"/>
      </w:r>
    </w:p>
    <w:p w:rsidR="00224446" w:rsidRPr="00EF570E" w:rsidP="00D165B6">
      <w:pPr>
        <w:spacing w:after="120"/>
        <w:ind w:firstLine="720"/>
        <w:rPr>
          <w:rFonts w:ascii="Times New Roman" w:hAnsi="Times New Roman"/>
        </w:rPr>
      </w:pPr>
      <w:r w:rsidRPr="00EF570E">
        <w:rPr>
          <w:rFonts w:ascii="Times New Roman" w:hAnsi="Times New Roman"/>
          <w:i/>
        </w:rPr>
        <w:t>Second</w:t>
      </w:r>
      <w:r w:rsidRPr="00EF570E">
        <w:rPr>
          <w:rFonts w:ascii="Times New Roman" w:hAnsi="Times New Roman"/>
        </w:rPr>
        <w:t>, in accordance with the Commissio</w:t>
      </w:r>
      <w:r w:rsidRPr="00EF570E">
        <w:rPr>
          <w:rFonts w:ascii="Times New Roman" w:hAnsi="Times New Roman"/>
        </w:rPr>
        <w:t>n’s goal of increasing the contiguity of existing license holdings in the 39 GHz band, which benefits both existing licensee</w:t>
      </w:r>
      <w:r w:rsidRPr="00EF570E" w:rsidR="00605CB4">
        <w:rPr>
          <w:rFonts w:ascii="Times New Roman" w:hAnsi="Times New Roman"/>
        </w:rPr>
        <w:t>s</w:t>
      </w:r>
      <w:r w:rsidRPr="00EF570E">
        <w:rPr>
          <w:rFonts w:ascii="Times New Roman" w:hAnsi="Times New Roman"/>
        </w:rPr>
        <w:t xml:space="preserve"> seeking to use the 39 GHz band for high-bandwidth applications as well as future licensees seeking to acquire unencumbered spectru</w:t>
      </w:r>
      <w:r w:rsidRPr="00EF570E">
        <w:rPr>
          <w:rFonts w:ascii="Times New Roman" w:hAnsi="Times New Roman"/>
        </w:rPr>
        <w:t>m,</w:t>
      </w:r>
      <w:r>
        <w:rPr>
          <w:rStyle w:val="FootnoteReference"/>
          <w:rFonts w:ascii="Times New Roman" w:hAnsi="Times New Roman"/>
        </w:rPr>
        <w:footnoteReference w:id="14"/>
      </w:r>
      <w:r w:rsidRPr="00EF570E">
        <w:rPr>
          <w:rFonts w:ascii="Times New Roman" w:hAnsi="Times New Roman"/>
        </w:rPr>
        <w:t xml:space="preserve"> we </w:t>
      </w:r>
      <w:r w:rsidRPr="003E219F" w:rsidR="004B572F">
        <w:rPr>
          <w:rFonts w:ascii="Times New Roman" w:hAnsi="Times New Roman" w:cs="Times New Roman"/>
        </w:rPr>
        <w:t>expect to</w:t>
      </w:r>
      <w:r w:rsidRPr="00EF570E" w:rsidR="004B572F">
        <w:rPr>
          <w:rFonts w:ascii="Times New Roman" w:hAnsi="Times New Roman"/>
        </w:rPr>
        <w:t xml:space="preserve"> </w:t>
      </w:r>
      <w:r w:rsidRPr="00EF570E">
        <w:rPr>
          <w:rFonts w:ascii="Times New Roman" w:hAnsi="Times New Roman"/>
        </w:rPr>
        <w:t xml:space="preserve">accept </w:t>
      </w:r>
      <w:r w:rsidRPr="003E219F" w:rsidR="004B572F">
        <w:rPr>
          <w:rFonts w:ascii="Times New Roman" w:hAnsi="Times New Roman" w:cs="Times New Roman"/>
        </w:rPr>
        <w:t xml:space="preserve">an </w:t>
      </w:r>
      <w:r w:rsidRPr="003E219F">
        <w:rPr>
          <w:rFonts w:ascii="Times New Roman" w:hAnsi="Times New Roman" w:cs="Times New Roman"/>
        </w:rPr>
        <w:t>application</w:t>
      </w:r>
      <w:r w:rsidRPr="003E219F" w:rsidR="004B572F">
        <w:rPr>
          <w:rFonts w:ascii="Times New Roman" w:hAnsi="Times New Roman" w:cs="Times New Roman"/>
        </w:rPr>
        <w:t xml:space="preserve"> only if it </w:t>
      </w:r>
      <w:r w:rsidRPr="003E219F">
        <w:rPr>
          <w:rFonts w:ascii="Times New Roman" w:hAnsi="Times New Roman" w:cs="Times New Roman"/>
        </w:rPr>
        <w:t>increase</w:t>
      </w:r>
      <w:r w:rsidRPr="003E219F" w:rsidR="004B572F">
        <w:rPr>
          <w:rFonts w:ascii="Times New Roman" w:hAnsi="Times New Roman" w:cs="Times New Roman"/>
        </w:rPr>
        <w:t>s</w:t>
      </w:r>
      <w:r w:rsidRPr="00EF570E">
        <w:rPr>
          <w:rFonts w:ascii="Times New Roman" w:hAnsi="Times New Roman"/>
        </w:rPr>
        <w:t xml:space="preserve"> the contiguity of holdings within the 39 GHz band.  For these purposes,</w:t>
      </w:r>
      <w:r w:rsidRPr="00EF570E" w:rsidR="00C4689A">
        <w:rPr>
          <w:rFonts w:ascii="Times New Roman" w:hAnsi="Times New Roman"/>
        </w:rPr>
        <w:t xml:space="preserve"> </w:t>
      </w:r>
      <w:r w:rsidRPr="003E219F" w:rsidR="00C4689A">
        <w:rPr>
          <w:rFonts w:ascii="Times New Roman" w:hAnsi="Times New Roman" w:cs="Times New Roman"/>
        </w:rPr>
        <w:t>we interpret the Commission’s reconfiguration policy to view</w:t>
      </w:r>
      <w:r w:rsidRPr="003E219F">
        <w:rPr>
          <w:rFonts w:ascii="Times New Roman" w:hAnsi="Times New Roman" w:cs="Times New Roman"/>
        </w:rPr>
        <w:t xml:space="preserve"> </w:t>
      </w:r>
      <w:r w:rsidRPr="00EF570E">
        <w:rPr>
          <w:rFonts w:ascii="Times New Roman" w:hAnsi="Times New Roman"/>
        </w:rPr>
        <w:t xml:space="preserve">each </w:t>
      </w:r>
      <w:r w:rsidRPr="00EF570E">
        <w:rPr>
          <w:rFonts w:ascii="Times New Roman" w:hAnsi="Times New Roman"/>
        </w:rPr>
        <w:t>50 megahertz</w:t>
      </w:r>
      <w:r w:rsidRPr="00EF570E">
        <w:rPr>
          <w:rFonts w:ascii="Times New Roman" w:hAnsi="Times New Roman"/>
        </w:rPr>
        <w:t xml:space="preserve"> block </w:t>
      </w:r>
      <w:r w:rsidRPr="003E219F" w:rsidR="00C4689A">
        <w:rPr>
          <w:rFonts w:ascii="Times New Roman" w:hAnsi="Times New Roman" w:cs="Times New Roman"/>
        </w:rPr>
        <w:t>a</w:t>
      </w:r>
      <w:r w:rsidRPr="003E219F">
        <w:rPr>
          <w:rFonts w:ascii="Times New Roman" w:hAnsi="Times New Roman" w:cs="Times New Roman"/>
        </w:rPr>
        <w:t>s</w:t>
      </w:r>
      <w:r w:rsidRPr="00EF570E">
        <w:rPr>
          <w:rFonts w:ascii="Times New Roman" w:hAnsi="Times New Roman"/>
        </w:rPr>
        <w:t xml:space="preserve"> contiguous </w:t>
      </w:r>
      <w:r w:rsidRPr="00EF570E" w:rsidR="00EB222A">
        <w:rPr>
          <w:rFonts w:ascii="Times New Roman" w:hAnsi="Times New Roman"/>
        </w:rPr>
        <w:t xml:space="preserve">only </w:t>
      </w:r>
      <w:r w:rsidRPr="00EF570E">
        <w:rPr>
          <w:rFonts w:ascii="Times New Roman" w:hAnsi="Times New Roman"/>
        </w:rPr>
        <w:t xml:space="preserve">with </w:t>
      </w:r>
      <w:r w:rsidRPr="00EF570E" w:rsidR="00EB222A">
        <w:rPr>
          <w:rFonts w:ascii="Times New Roman" w:hAnsi="Times New Roman"/>
        </w:rPr>
        <w:t xml:space="preserve">the adjacent 50 megahertz block within </w:t>
      </w:r>
      <w:r w:rsidRPr="00EF570E" w:rsidR="00C90F3C">
        <w:rPr>
          <w:rFonts w:ascii="Times New Roman" w:hAnsi="Times New Roman"/>
        </w:rPr>
        <w:t xml:space="preserve">an even </w:t>
      </w:r>
      <w:r w:rsidRPr="00EF570E" w:rsidR="00EB222A">
        <w:rPr>
          <w:rFonts w:ascii="Times New Roman" w:hAnsi="Times New Roman"/>
        </w:rPr>
        <w:t>100 megahertz block.</w:t>
      </w:r>
      <w:r>
        <w:rPr>
          <w:rStyle w:val="FootnoteReference"/>
          <w:rFonts w:ascii="Times New Roman" w:hAnsi="Times New Roman"/>
        </w:rPr>
        <w:footnoteReference w:id="15"/>
      </w:r>
      <w:r w:rsidRPr="00EF570E" w:rsidR="00EB222A">
        <w:rPr>
          <w:rFonts w:ascii="Times New Roman" w:hAnsi="Times New Roman"/>
        </w:rPr>
        <w:t xml:space="preserve">  Each 100 megahertz block is contiguous only with the adjacent 100 megahertz </w:t>
      </w:r>
      <w:r w:rsidRPr="00EF570E" w:rsidR="00BA125A">
        <w:rPr>
          <w:rFonts w:ascii="Times New Roman" w:hAnsi="Times New Roman"/>
        </w:rPr>
        <w:t>block within an even 200 megahertz block</w:t>
      </w:r>
      <w:r w:rsidRPr="00EF570E" w:rsidR="001F4CCA">
        <w:rPr>
          <w:rFonts w:ascii="Times New Roman" w:hAnsi="Times New Roman"/>
        </w:rPr>
        <w:t>, as defined by the 39 GHz band plan</w:t>
      </w:r>
      <w:r w:rsidRPr="00EF570E" w:rsidR="00BA125A">
        <w:rPr>
          <w:rFonts w:ascii="Times New Roman" w:hAnsi="Times New Roman"/>
        </w:rPr>
        <w:t xml:space="preserve">.  </w:t>
      </w:r>
      <w:r w:rsidRPr="00EF570E" w:rsidR="006B60A6">
        <w:rPr>
          <w:rFonts w:ascii="Times New Roman" w:hAnsi="Times New Roman"/>
        </w:rPr>
        <w:t xml:space="preserve">And each </w:t>
      </w:r>
      <w:r w:rsidRPr="00EF570E" w:rsidR="006B60A6">
        <w:rPr>
          <w:rFonts w:ascii="Times New Roman" w:hAnsi="Times New Roman"/>
        </w:rPr>
        <w:t>200 megahertz</w:t>
      </w:r>
      <w:r w:rsidRPr="00EF570E" w:rsidR="006B60A6">
        <w:rPr>
          <w:rFonts w:ascii="Times New Roman" w:hAnsi="Times New Roman"/>
        </w:rPr>
        <w:t xml:space="preserve"> block is contiguous with any adjacent 200 megahertz block.</w:t>
      </w:r>
      <w:r>
        <w:rPr>
          <w:rStyle w:val="FootnoteReference"/>
          <w:rFonts w:ascii="Times New Roman" w:hAnsi="Times New Roman"/>
        </w:rPr>
        <w:footnoteReference w:id="16"/>
      </w:r>
      <w:r w:rsidRPr="00EF570E" w:rsidR="00961978">
        <w:rPr>
          <w:rFonts w:ascii="Times New Roman" w:hAnsi="Times New Roman"/>
        </w:rPr>
        <w:t xml:space="preserve">  We note that blocks must be wholly contiguous at lower levels before they will be considered contiguous at higher levels</w:t>
      </w:r>
      <w:r w:rsidRPr="00EF570E" w:rsidR="00BA125A">
        <w:rPr>
          <w:rFonts w:ascii="Times New Roman" w:hAnsi="Times New Roman"/>
        </w:rPr>
        <w:t>.</w:t>
      </w:r>
      <w:r>
        <w:rPr>
          <w:rStyle w:val="FootnoteReference"/>
          <w:rFonts w:ascii="Times New Roman" w:hAnsi="Times New Roman"/>
        </w:rPr>
        <w:footnoteReference w:id="17"/>
      </w:r>
    </w:p>
    <w:p w:rsidR="00D165B6" w:rsidRPr="00EF570E" w:rsidP="00BC32FF">
      <w:pPr>
        <w:spacing w:after="120"/>
        <w:ind w:firstLine="720"/>
        <w:rPr>
          <w:rFonts w:ascii="Times New Roman" w:hAnsi="Times New Roman"/>
        </w:rPr>
      </w:pPr>
      <w:r w:rsidRPr="00EF570E">
        <w:rPr>
          <w:rFonts w:ascii="Times New Roman" w:hAnsi="Times New Roman"/>
        </w:rPr>
        <w:t xml:space="preserve">We note that, in setting forth a process to achieve these goals, the Commission </w:t>
      </w:r>
      <w:r w:rsidRPr="00EF570E">
        <w:rPr>
          <w:rFonts w:ascii="Times New Roman" w:hAnsi="Times New Roman"/>
        </w:rPr>
        <w:t>did not require that modification applications propose only those swaps that would result in holdings of 200 megahertz blocks to match the new band plan.</w:t>
      </w:r>
      <w:r>
        <w:rPr>
          <w:rStyle w:val="FootnoteReference"/>
          <w:rFonts w:ascii="Times New Roman" w:hAnsi="Times New Roman"/>
        </w:rPr>
        <w:footnoteReference w:id="18"/>
      </w:r>
      <w:r w:rsidRPr="00EF570E">
        <w:rPr>
          <w:rFonts w:ascii="Times New Roman" w:hAnsi="Times New Roman"/>
        </w:rPr>
        <w:t xml:space="preserve">  Consistent with that approach, we will accept modifications that result in the incumbent holding lic</w:t>
      </w:r>
      <w:r w:rsidRPr="00EF570E">
        <w:rPr>
          <w:rFonts w:ascii="Times New Roman" w:hAnsi="Times New Roman"/>
        </w:rPr>
        <w:t>enses for even 100 megahertz channels.</w:t>
      </w:r>
      <w:r>
        <w:rPr>
          <w:rStyle w:val="FootnoteReference"/>
          <w:rFonts w:ascii="Times New Roman" w:hAnsi="Times New Roman"/>
        </w:rPr>
        <w:footnoteReference w:id="19"/>
      </w:r>
      <w:r w:rsidRPr="00EF570E">
        <w:rPr>
          <w:rFonts w:ascii="Times New Roman" w:hAnsi="Times New Roman"/>
        </w:rPr>
        <w:t xml:space="preserve">  This flexibility will permit consolidation even of the smallest existing licensed channel blocks (of 50 megahertz each), leading to more contiguous spectrum available for incumbents and new licensees.  And we note t</w:t>
      </w:r>
      <w:r w:rsidRPr="00EF570E">
        <w:rPr>
          <w:rFonts w:ascii="Times New Roman" w:hAnsi="Times New Roman"/>
        </w:rPr>
        <w:t>hat allowing licensees to consolidate holdings in this manner is consistent with channel plan adopted by the Commission (e.g., 38.6-38.8 GHz or 39.00-39.20 GHz but not 38.7-38.9 GHz or 39.05-39.25 GHz)</w:t>
      </w:r>
      <w:bookmarkStart w:id="4" w:name="_Hlk515442659"/>
      <w:r w:rsidRPr="00EF570E">
        <w:rPr>
          <w:rFonts w:ascii="Times New Roman" w:hAnsi="Times New Roman"/>
        </w:rPr>
        <w:t>.</w:t>
      </w:r>
      <w:r>
        <w:rPr>
          <w:rStyle w:val="FootnoteReference"/>
          <w:rFonts w:ascii="Times New Roman" w:hAnsi="Times New Roman"/>
        </w:rPr>
        <w:footnoteReference w:id="20"/>
      </w:r>
      <w:bookmarkEnd w:id="4"/>
    </w:p>
    <w:p w:rsidR="000060E9" w:rsidRPr="00EF570E" w:rsidP="002D64D4">
      <w:pPr>
        <w:spacing w:after="120"/>
        <w:ind w:firstLine="720"/>
        <w:rPr>
          <w:rFonts w:ascii="Times New Roman" w:hAnsi="Times New Roman"/>
        </w:rPr>
      </w:pPr>
      <w:r w:rsidRPr="00EF570E">
        <w:rPr>
          <w:rFonts w:ascii="Times New Roman" w:hAnsi="Times New Roman"/>
          <w:i/>
        </w:rPr>
        <w:t>Third</w:t>
      </w:r>
      <w:r w:rsidRPr="00EF570E">
        <w:rPr>
          <w:rFonts w:ascii="Times New Roman" w:hAnsi="Times New Roman"/>
        </w:rPr>
        <w:t xml:space="preserve">, </w:t>
      </w:r>
      <w:r w:rsidRPr="00EF570E" w:rsidR="001A4083">
        <w:rPr>
          <w:rFonts w:ascii="Times New Roman" w:hAnsi="Times New Roman"/>
        </w:rPr>
        <w:t xml:space="preserve">pursuant to the voluntary rebanding process set forth by the Commission, </w:t>
      </w:r>
      <w:r w:rsidRPr="00EF570E">
        <w:rPr>
          <w:rFonts w:ascii="Times New Roman" w:hAnsi="Times New Roman"/>
        </w:rPr>
        <w:t xml:space="preserve">we will only accept applications for </w:t>
      </w:r>
      <w:r w:rsidRPr="00EF570E" w:rsidR="002D64D4">
        <w:rPr>
          <w:rFonts w:ascii="Times New Roman" w:hAnsi="Times New Roman"/>
        </w:rPr>
        <w:t>unassigned blocks</w:t>
      </w:r>
      <w:r w:rsidRPr="00EF570E">
        <w:rPr>
          <w:rFonts w:ascii="Times New Roman" w:hAnsi="Times New Roman"/>
        </w:rPr>
        <w:t xml:space="preserve"> adjacent to an incumbent licensee’s holding if the target spectrum block either could not be requested by another incumbent lice</w:t>
      </w:r>
      <w:r w:rsidRPr="00EF570E">
        <w:rPr>
          <w:rFonts w:ascii="Times New Roman" w:hAnsi="Times New Roman"/>
        </w:rPr>
        <w:t xml:space="preserve">nsee or the licensee requesting </w:t>
      </w:r>
      <w:r w:rsidRPr="00EF570E">
        <w:rPr>
          <w:rFonts w:ascii="Times New Roman" w:hAnsi="Times New Roman"/>
        </w:rPr>
        <w:t>that block has secured the other licensee’s agreement.</w:t>
      </w:r>
      <w:r>
        <w:rPr>
          <w:rStyle w:val="FootnoteReference"/>
          <w:rFonts w:ascii="Times New Roman" w:hAnsi="Times New Roman"/>
        </w:rPr>
        <w:footnoteReference w:id="21"/>
      </w:r>
      <w:r w:rsidRPr="00EF570E">
        <w:rPr>
          <w:rFonts w:ascii="Times New Roman" w:hAnsi="Times New Roman"/>
        </w:rPr>
        <w:t xml:space="preserve">  </w:t>
      </w:r>
      <w:r w:rsidRPr="003E219F" w:rsidR="00C4689A">
        <w:rPr>
          <w:rFonts w:ascii="Times New Roman" w:hAnsi="Times New Roman" w:cs="Times New Roman"/>
        </w:rPr>
        <w:t>We will evaluate</w:t>
      </w:r>
      <w:r w:rsidRPr="00EF570E" w:rsidR="00C4689A">
        <w:rPr>
          <w:rFonts w:ascii="Times New Roman" w:hAnsi="Times New Roman"/>
        </w:rPr>
        <w:t xml:space="preserve"> </w:t>
      </w:r>
      <w:r w:rsidRPr="00EF570E" w:rsidR="00B33BA2">
        <w:rPr>
          <w:rFonts w:ascii="Times New Roman" w:hAnsi="Times New Roman"/>
        </w:rPr>
        <w:t>whether</w:t>
      </w:r>
      <w:r w:rsidRPr="00EF570E" w:rsidR="0072050C">
        <w:rPr>
          <w:rFonts w:ascii="Times New Roman" w:hAnsi="Times New Roman"/>
        </w:rPr>
        <w:t xml:space="preserve"> another incumbent licensee could request a particular block</w:t>
      </w:r>
      <w:r w:rsidRPr="00EF570E" w:rsidR="00B33BA2">
        <w:rPr>
          <w:rFonts w:ascii="Times New Roman" w:hAnsi="Times New Roman"/>
        </w:rPr>
        <w:t xml:space="preserve"> first at the lowest level of contiguity (i.e., within the 100 megahertz block) and then at each ascending level of contiguity</w:t>
      </w:r>
      <w:r w:rsidRPr="00EF570E" w:rsidR="0072050C">
        <w:rPr>
          <w:rFonts w:ascii="Times New Roman" w:hAnsi="Times New Roman"/>
        </w:rPr>
        <w:t>.</w:t>
      </w:r>
      <w:r>
        <w:rPr>
          <w:rStyle w:val="FootnoteReference"/>
          <w:rFonts w:ascii="Times New Roman" w:hAnsi="Times New Roman"/>
        </w:rPr>
        <w:footnoteReference w:id="22"/>
      </w:r>
      <w:r w:rsidRPr="00EF570E" w:rsidR="00B33BA2">
        <w:rPr>
          <w:rFonts w:ascii="Times New Roman" w:hAnsi="Times New Roman"/>
        </w:rPr>
        <w:t xml:space="preserve">  </w:t>
      </w:r>
      <w:bookmarkStart w:id="5" w:name="_Hlk516128494"/>
      <w:r w:rsidRPr="00EF570E" w:rsidR="00961978">
        <w:rPr>
          <w:rFonts w:ascii="Times New Roman" w:hAnsi="Times New Roman"/>
        </w:rPr>
        <w:t xml:space="preserve">Under this approach, we </w:t>
      </w:r>
      <w:r w:rsidRPr="00EF570E" w:rsidR="00534823">
        <w:rPr>
          <w:rFonts w:ascii="Times New Roman" w:hAnsi="Times New Roman"/>
        </w:rPr>
        <w:t xml:space="preserve">anticipate </w:t>
      </w:r>
      <w:r w:rsidRPr="00EF570E" w:rsidR="002163E2">
        <w:rPr>
          <w:rFonts w:ascii="Times New Roman" w:hAnsi="Times New Roman"/>
        </w:rPr>
        <w:t xml:space="preserve">most </w:t>
      </w:r>
      <w:r w:rsidRPr="00EF570E" w:rsidR="00961978">
        <w:rPr>
          <w:rFonts w:ascii="Times New Roman" w:hAnsi="Times New Roman"/>
        </w:rPr>
        <w:t>licensees will be able to consolidate</w:t>
      </w:r>
      <w:r w:rsidRPr="00EF570E" w:rsidR="00534823">
        <w:rPr>
          <w:rFonts w:ascii="Times New Roman" w:hAnsi="Times New Roman"/>
        </w:rPr>
        <w:t xml:space="preserve"> some of</w:t>
      </w:r>
      <w:r w:rsidRPr="00EF570E" w:rsidR="00961978">
        <w:rPr>
          <w:rFonts w:ascii="Times New Roman" w:hAnsi="Times New Roman"/>
        </w:rPr>
        <w:t xml:space="preserve"> their spectrum holdings into 100 megahertz, 200 megahertz, or even 400 megahertz blocks</w:t>
      </w:r>
      <w:r>
        <w:rPr>
          <w:rStyle w:val="FootnoteReference"/>
          <w:rFonts w:ascii="Times New Roman" w:hAnsi="Times New Roman"/>
        </w:rPr>
        <w:footnoteReference w:id="23"/>
      </w:r>
      <w:r w:rsidRPr="00EF570E" w:rsidR="00961978">
        <w:rPr>
          <w:rFonts w:ascii="Times New Roman" w:hAnsi="Times New Roman"/>
        </w:rPr>
        <w:t xml:space="preserve"> </w:t>
      </w:r>
      <w:r w:rsidRPr="00EF570E" w:rsidR="002163E2">
        <w:rPr>
          <w:rFonts w:ascii="Times New Roman" w:hAnsi="Times New Roman"/>
        </w:rPr>
        <w:t xml:space="preserve">in some areas </w:t>
      </w:r>
      <w:r w:rsidRPr="00EF570E" w:rsidR="00961978">
        <w:rPr>
          <w:rFonts w:ascii="Times New Roman" w:hAnsi="Times New Roman"/>
        </w:rPr>
        <w:t>without incurring the transaction costs of a negotiated agreement.</w:t>
      </w:r>
      <w:bookmarkEnd w:id="5"/>
      <w:r w:rsidRPr="00EF570E" w:rsidR="00D15D89">
        <w:rPr>
          <w:rFonts w:ascii="Times New Roman" w:hAnsi="Times New Roman"/>
        </w:rPr>
        <w:t xml:space="preserve">  </w:t>
      </w:r>
      <w:r w:rsidRPr="00EF570E" w:rsidR="002D64D4">
        <w:rPr>
          <w:rFonts w:ascii="Times New Roman" w:hAnsi="Times New Roman"/>
        </w:rPr>
        <w:t xml:space="preserve">We also note that </w:t>
      </w:r>
      <w:r w:rsidRPr="00EF570E">
        <w:rPr>
          <w:rFonts w:ascii="Times New Roman" w:hAnsi="Times New Roman"/>
        </w:rPr>
        <w:t>if there is an entirely vacant 200 megahertz channel</w:t>
      </w:r>
      <w:r w:rsidRPr="00EF570E" w:rsidR="002D64D4">
        <w:rPr>
          <w:rFonts w:ascii="Times New Roman" w:hAnsi="Times New Roman"/>
        </w:rPr>
        <w:t>, then it would only be available to a licensee with an adjacent 200 megahertz block (because only then would it be contiguous)—but that if it</w:t>
      </w:r>
      <w:r w:rsidRPr="00EF570E">
        <w:rPr>
          <w:rFonts w:ascii="Times New Roman" w:hAnsi="Times New Roman"/>
        </w:rPr>
        <w:t xml:space="preserve"> is </w:t>
      </w:r>
      <w:r w:rsidRPr="00EF570E" w:rsidR="0084324C">
        <w:rPr>
          <w:rFonts w:ascii="Times New Roman" w:hAnsi="Times New Roman"/>
        </w:rPr>
        <w:t xml:space="preserve">immediately adjacent to two different licensees with 200 megahertz blocks </w:t>
      </w:r>
      <w:r w:rsidRPr="00EF570E" w:rsidR="0084324C">
        <w:rPr>
          <w:rFonts w:ascii="Times New Roman" w:hAnsi="Times New Roman"/>
        </w:rPr>
        <w:t xml:space="preserve">already, </w:t>
      </w:r>
      <w:r w:rsidRPr="00EF570E" w:rsidR="00B33BA2">
        <w:rPr>
          <w:rFonts w:ascii="Times New Roman" w:hAnsi="Times New Roman"/>
        </w:rPr>
        <w:t xml:space="preserve"> </w:t>
      </w:r>
      <w:r w:rsidRPr="00EF570E">
        <w:rPr>
          <w:rFonts w:ascii="Times New Roman" w:hAnsi="Times New Roman"/>
        </w:rPr>
        <w:t>then</w:t>
      </w:r>
      <w:r w:rsidRPr="00EF570E">
        <w:rPr>
          <w:rFonts w:ascii="Times New Roman" w:hAnsi="Times New Roman"/>
        </w:rPr>
        <w:t xml:space="preserve"> neither licensee can </w:t>
      </w:r>
      <w:r w:rsidRPr="00EF570E" w:rsidR="002D64D4">
        <w:rPr>
          <w:rFonts w:ascii="Times New Roman" w:hAnsi="Times New Roman"/>
        </w:rPr>
        <w:t>request</w:t>
      </w:r>
      <w:r w:rsidRPr="00EF570E">
        <w:rPr>
          <w:rFonts w:ascii="Times New Roman" w:hAnsi="Times New Roman"/>
        </w:rPr>
        <w:t xml:space="preserve"> the vacant channel without </w:t>
      </w:r>
      <w:r w:rsidRPr="00EF570E" w:rsidR="002D64D4">
        <w:rPr>
          <w:rFonts w:ascii="Times New Roman" w:hAnsi="Times New Roman"/>
        </w:rPr>
        <w:t>an</w:t>
      </w:r>
      <w:r w:rsidRPr="00EF570E">
        <w:rPr>
          <w:rFonts w:ascii="Times New Roman" w:hAnsi="Times New Roman"/>
        </w:rPr>
        <w:t xml:space="preserve"> agreement </w:t>
      </w:r>
      <w:r w:rsidRPr="00EF570E" w:rsidR="002D64D4">
        <w:rPr>
          <w:rFonts w:ascii="Times New Roman" w:hAnsi="Times New Roman"/>
        </w:rPr>
        <w:t>between the two</w:t>
      </w:r>
      <w:r w:rsidRPr="00EF570E">
        <w:rPr>
          <w:rFonts w:ascii="Times New Roman" w:hAnsi="Times New Roman"/>
        </w:rPr>
        <w:t>.</w:t>
      </w:r>
    </w:p>
    <w:p w:rsidR="002D64D4" w:rsidRPr="00EF570E" w:rsidP="002D64D4">
      <w:pPr>
        <w:spacing w:after="120"/>
        <w:ind w:firstLine="720"/>
        <w:rPr>
          <w:rFonts w:ascii="Times New Roman" w:hAnsi="Times New Roman"/>
        </w:rPr>
      </w:pPr>
      <w:r w:rsidRPr="00EF570E">
        <w:rPr>
          <w:rFonts w:ascii="Times New Roman" w:hAnsi="Times New Roman"/>
          <w:i/>
        </w:rPr>
        <w:t>Fourth</w:t>
      </w:r>
      <w:r w:rsidRPr="00EF570E">
        <w:rPr>
          <w:rFonts w:ascii="Times New Roman" w:hAnsi="Times New Roman"/>
        </w:rPr>
        <w:t xml:space="preserve">, </w:t>
      </w:r>
      <w:r w:rsidRPr="00EF570E" w:rsidR="001A4083">
        <w:rPr>
          <w:rFonts w:ascii="Times New Roman" w:hAnsi="Times New Roman"/>
        </w:rPr>
        <w:t xml:space="preserve">consistent with the framework adopted by the Commission, </w:t>
      </w:r>
      <w:r w:rsidRPr="00EF570E" w:rsidR="00460AD4">
        <w:rPr>
          <w:rFonts w:ascii="Times New Roman" w:hAnsi="Times New Roman"/>
        </w:rPr>
        <w:t xml:space="preserve">we </w:t>
      </w:r>
      <w:r w:rsidRPr="00EF570E" w:rsidR="005530A6">
        <w:rPr>
          <w:rFonts w:ascii="Times New Roman" w:hAnsi="Times New Roman"/>
        </w:rPr>
        <w:t>implement the following processes</w:t>
      </w:r>
      <w:r w:rsidRPr="00EF570E" w:rsidR="00460AD4">
        <w:rPr>
          <w:rFonts w:ascii="Times New Roman" w:hAnsi="Times New Roman"/>
        </w:rPr>
        <w:t xml:space="preserve"> to handle encumbrances.</w:t>
      </w:r>
      <w:r>
        <w:rPr>
          <w:rStyle w:val="FootnoteReference"/>
          <w:rFonts w:ascii="Times New Roman" w:hAnsi="Times New Roman"/>
        </w:rPr>
        <w:footnoteReference w:id="24"/>
      </w:r>
      <w:r w:rsidRPr="00EF570E" w:rsidR="00460AD4">
        <w:rPr>
          <w:rFonts w:ascii="Times New Roman" w:hAnsi="Times New Roman"/>
        </w:rPr>
        <w:t xml:space="preserve">  A</w:t>
      </w:r>
      <w:r w:rsidRPr="00EF570E">
        <w:rPr>
          <w:rFonts w:ascii="Times New Roman" w:hAnsi="Times New Roman"/>
        </w:rPr>
        <w:t xml:space="preserve"> PEA licensee may </w:t>
      </w:r>
      <w:r w:rsidRPr="00EF570E" w:rsidR="00460AD4">
        <w:rPr>
          <w:rFonts w:ascii="Times New Roman" w:hAnsi="Times New Roman"/>
        </w:rPr>
        <w:t>treat</w:t>
      </w:r>
      <w:r w:rsidRPr="00EF570E">
        <w:rPr>
          <w:rFonts w:ascii="Times New Roman" w:hAnsi="Times New Roman"/>
        </w:rPr>
        <w:t xml:space="preserve"> a spectrum block already occupied by an RSA licensee</w:t>
      </w:r>
      <w:r w:rsidRPr="00EF570E" w:rsidR="00460AD4">
        <w:rPr>
          <w:rFonts w:ascii="Times New Roman" w:hAnsi="Times New Roman"/>
        </w:rPr>
        <w:t xml:space="preserve"> as unassigned</w:t>
      </w:r>
      <w:r w:rsidRPr="00EF570E">
        <w:rPr>
          <w:rFonts w:ascii="Times New Roman" w:hAnsi="Times New Roman"/>
        </w:rPr>
        <w:t xml:space="preserve">, </w:t>
      </w:r>
      <w:r w:rsidRPr="00EF570E" w:rsidR="00460AD4">
        <w:rPr>
          <w:rFonts w:ascii="Times New Roman" w:hAnsi="Times New Roman"/>
        </w:rPr>
        <w:t>so long as it understands</w:t>
      </w:r>
      <w:r w:rsidRPr="00EF570E">
        <w:rPr>
          <w:rFonts w:ascii="Times New Roman" w:hAnsi="Times New Roman"/>
        </w:rPr>
        <w:t xml:space="preserve"> that the PEA licensee will not be authorized to operate in the RSA licensee’s</w:t>
      </w:r>
      <w:r w:rsidRPr="00EF570E">
        <w:rPr>
          <w:rFonts w:ascii="Times New Roman" w:hAnsi="Times New Roman"/>
        </w:rPr>
        <w:t xml:space="preserve"> service area.</w:t>
      </w:r>
      <w:r>
        <w:rPr>
          <w:rStyle w:val="FootnoteReference"/>
          <w:rFonts w:ascii="Times New Roman" w:hAnsi="Times New Roman"/>
        </w:rPr>
        <w:footnoteReference w:id="25"/>
      </w:r>
      <w:r w:rsidRPr="00EF570E">
        <w:rPr>
          <w:rFonts w:ascii="Times New Roman" w:hAnsi="Times New Roman"/>
        </w:rPr>
        <w:t xml:space="preserve">  </w:t>
      </w:r>
      <w:r w:rsidRPr="00EF570E" w:rsidR="00460AD4">
        <w:rPr>
          <w:rFonts w:ascii="Times New Roman" w:hAnsi="Times New Roman"/>
        </w:rPr>
        <w:t>In addition, i</w:t>
      </w:r>
      <w:r w:rsidRPr="00EF570E">
        <w:rPr>
          <w:rFonts w:ascii="Times New Roman" w:hAnsi="Times New Roman"/>
        </w:rPr>
        <w:t xml:space="preserve">ncumbent PEA licensees </w:t>
      </w:r>
      <w:r w:rsidRPr="00EF570E" w:rsidR="004408C6">
        <w:rPr>
          <w:rFonts w:ascii="Times New Roman" w:hAnsi="Times New Roman"/>
        </w:rPr>
        <w:t xml:space="preserve">with encumbered PEA licenses </w:t>
      </w:r>
      <w:r w:rsidRPr="00EF570E">
        <w:rPr>
          <w:rFonts w:ascii="Times New Roman" w:hAnsi="Times New Roman"/>
        </w:rPr>
        <w:t>will only be permitted to add unassigned blocks with encumbrances in aggregate that are at least as great as the blocks they exchange.</w:t>
      </w:r>
      <w:r>
        <w:rPr>
          <w:rStyle w:val="FootnoteReference"/>
          <w:rFonts w:ascii="Times New Roman" w:hAnsi="Times New Roman"/>
        </w:rPr>
        <w:footnoteReference w:id="26"/>
      </w:r>
      <w:r w:rsidRPr="00EF570E">
        <w:rPr>
          <w:rFonts w:ascii="Times New Roman" w:hAnsi="Times New Roman"/>
        </w:rPr>
        <w:t xml:space="preserve">  In that regard, a PEA licensee can o</w:t>
      </w:r>
      <w:r w:rsidRPr="00EF570E">
        <w:rPr>
          <w:rFonts w:ascii="Times New Roman" w:hAnsi="Times New Roman"/>
        </w:rPr>
        <w:t>pt to exchange a block not encumbered by an RSA licensee for an adjacent block with an RSA licensee whose operations it will have to protect; similarly, it can opt to take a license area that is more encumbered by an RSA licensee in exchange for a block it</w:t>
      </w:r>
      <w:r w:rsidRPr="00EF570E">
        <w:rPr>
          <w:rFonts w:ascii="Times New Roman" w:hAnsi="Times New Roman"/>
        </w:rPr>
        <w:t xml:space="preserve"> holds that is less encumbered by an RSA licensee.</w:t>
      </w:r>
      <w:r>
        <w:rPr>
          <w:rStyle w:val="FootnoteReference"/>
          <w:rFonts w:ascii="Times New Roman" w:hAnsi="Times New Roman"/>
        </w:rPr>
        <w:footnoteReference w:id="27"/>
      </w:r>
      <w:r w:rsidRPr="00EF570E">
        <w:rPr>
          <w:rFonts w:ascii="Times New Roman" w:hAnsi="Times New Roman"/>
        </w:rPr>
        <w:t xml:space="preserve">  However, a PEA licensee cannot “upgrade” to an RSA-free block or a license with an embedded RSA </w:t>
      </w:r>
      <w:r w:rsidRPr="00EF570E" w:rsidR="004F4764">
        <w:rPr>
          <w:rFonts w:ascii="Times New Roman" w:hAnsi="Times New Roman"/>
        </w:rPr>
        <w:t xml:space="preserve">license </w:t>
      </w:r>
      <w:r w:rsidRPr="00EF570E">
        <w:rPr>
          <w:rFonts w:ascii="Times New Roman" w:hAnsi="Times New Roman"/>
        </w:rPr>
        <w:t>that is less encumbered than the RSA-encumbered license block it currently holds.</w:t>
      </w:r>
      <w:r>
        <w:rPr>
          <w:rStyle w:val="FootnoteReference"/>
          <w:rFonts w:ascii="Times New Roman" w:hAnsi="Times New Roman"/>
        </w:rPr>
        <w:footnoteReference w:id="28"/>
      </w:r>
      <w:r w:rsidRPr="00EF570E">
        <w:rPr>
          <w:rFonts w:ascii="Times New Roman" w:hAnsi="Times New Roman"/>
        </w:rPr>
        <w:t xml:space="preserve">  For the same re</w:t>
      </w:r>
      <w:r w:rsidRPr="00EF570E">
        <w:rPr>
          <w:rFonts w:ascii="Times New Roman" w:hAnsi="Times New Roman"/>
        </w:rPr>
        <w:t>asons, an RSA licensee that is co-channel with a</w:t>
      </w:r>
      <w:r w:rsidRPr="00EF570E" w:rsidR="0084324C">
        <w:rPr>
          <w:rFonts w:ascii="Times New Roman" w:hAnsi="Times New Roman"/>
        </w:rPr>
        <w:t>ny</w:t>
      </w:r>
      <w:r w:rsidRPr="00EF570E">
        <w:rPr>
          <w:rFonts w:ascii="Times New Roman" w:hAnsi="Times New Roman"/>
        </w:rPr>
        <w:t xml:space="preserve"> PEA licensee cannot make a unilateral move to another block, which </w:t>
      </w:r>
      <w:r w:rsidRPr="00EF570E">
        <w:rPr>
          <w:rFonts w:ascii="Times New Roman" w:hAnsi="Times New Roman"/>
        </w:rPr>
        <w:t xml:space="preserve">would result in upgrading the encumbered PEA license block to a less encumbered one.  An RSA </w:t>
      </w:r>
      <w:r w:rsidRPr="00EF570E" w:rsidR="004F4764">
        <w:rPr>
          <w:rFonts w:ascii="Times New Roman" w:hAnsi="Times New Roman"/>
        </w:rPr>
        <w:t xml:space="preserve">licensee </w:t>
      </w:r>
      <w:r w:rsidRPr="00EF570E">
        <w:rPr>
          <w:rFonts w:ascii="Times New Roman" w:hAnsi="Times New Roman"/>
        </w:rPr>
        <w:t>that is not co-channel with a</w:t>
      </w:r>
      <w:r w:rsidRPr="00EF570E" w:rsidR="0084324C">
        <w:rPr>
          <w:rFonts w:ascii="Times New Roman" w:hAnsi="Times New Roman"/>
        </w:rPr>
        <w:t>ny</w:t>
      </w:r>
      <w:r w:rsidRPr="00EF570E">
        <w:rPr>
          <w:rFonts w:ascii="Times New Roman" w:hAnsi="Times New Roman"/>
        </w:rPr>
        <w:t xml:space="preserve"> PEA </w:t>
      </w:r>
      <w:r w:rsidRPr="00EF570E">
        <w:rPr>
          <w:rFonts w:ascii="Times New Roman" w:hAnsi="Times New Roman"/>
        </w:rPr>
        <w:t>licensee can apply to move unilaterally into an adjacent channel if that channel similarly is not co-channel with a</w:t>
      </w:r>
      <w:r w:rsidRPr="00EF570E" w:rsidR="0084324C">
        <w:rPr>
          <w:rFonts w:ascii="Times New Roman" w:hAnsi="Times New Roman"/>
        </w:rPr>
        <w:t>ny</w:t>
      </w:r>
      <w:r w:rsidRPr="00EF570E">
        <w:rPr>
          <w:rFonts w:ascii="Times New Roman" w:hAnsi="Times New Roman"/>
        </w:rPr>
        <w:t xml:space="preserve"> </w:t>
      </w:r>
      <w:r w:rsidRPr="00EF570E" w:rsidR="00C27735">
        <w:rPr>
          <w:rFonts w:ascii="Times New Roman" w:hAnsi="Times New Roman"/>
        </w:rPr>
        <w:t xml:space="preserve">PEA </w:t>
      </w:r>
      <w:r w:rsidRPr="00EF570E">
        <w:rPr>
          <w:rFonts w:ascii="Times New Roman" w:hAnsi="Times New Roman"/>
        </w:rPr>
        <w:t xml:space="preserve">licensee, and in that case the RSA </w:t>
      </w:r>
      <w:r w:rsidRPr="00EF570E" w:rsidR="004F4764">
        <w:rPr>
          <w:rFonts w:ascii="Times New Roman" w:hAnsi="Times New Roman"/>
        </w:rPr>
        <w:t xml:space="preserve">licensee </w:t>
      </w:r>
      <w:r w:rsidRPr="00EF570E">
        <w:rPr>
          <w:rFonts w:ascii="Times New Roman" w:hAnsi="Times New Roman"/>
        </w:rPr>
        <w:t>retains the same geographic contours of the RSA</w:t>
      </w:r>
      <w:r w:rsidRPr="00EF570E" w:rsidR="004F4764">
        <w:rPr>
          <w:rFonts w:ascii="Times New Roman" w:hAnsi="Times New Roman"/>
        </w:rPr>
        <w:t xml:space="preserve"> license</w:t>
      </w:r>
      <w:r w:rsidRPr="00EF570E">
        <w:rPr>
          <w:rFonts w:ascii="Times New Roman" w:hAnsi="Times New Roman"/>
        </w:rPr>
        <w:t xml:space="preserve"> it held in the channel it is swapp</w:t>
      </w:r>
      <w:r w:rsidRPr="00EF570E">
        <w:rPr>
          <w:rFonts w:ascii="Times New Roman" w:hAnsi="Times New Roman"/>
        </w:rPr>
        <w:t>ing.</w:t>
      </w:r>
    </w:p>
    <w:p w:rsidR="00266A5A" w:rsidRPr="00EF570E" w:rsidP="00BC32FF">
      <w:pPr>
        <w:spacing w:after="120"/>
        <w:ind w:firstLine="720"/>
        <w:rPr>
          <w:rFonts w:ascii="Times New Roman" w:hAnsi="Times New Roman"/>
        </w:rPr>
      </w:pPr>
      <w:r w:rsidRPr="00EF570E">
        <w:rPr>
          <w:rFonts w:ascii="Times New Roman" w:hAnsi="Times New Roman"/>
          <w:i/>
        </w:rPr>
        <w:t>Fifth</w:t>
      </w:r>
      <w:r w:rsidRPr="00EF570E" w:rsidR="00A50C5D">
        <w:rPr>
          <w:rFonts w:ascii="Times New Roman" w:hAnsi="Times New Roman"/>
        </w:rPr>
        <w:t xml:space="preserve">, the </w:t>
      </w:r>
      <w:r w:rsidRPr="003E219F" w:rsidR="00C4689A">
        <w:rPr>
          <w:rFonts w:ascii="Times New Roman" w:hAnsi="Times New Roman" w:cs="Times New Roman"/>
        </w:rPr>
        <w:t>Bureau</w:t>
      </w:r>
      <w:r w:rsidRPr="00EF570E" w:rsidR="00C4689A">
        <w:rPr>
          <w:rFonts w:ascii="Times New Roman" w:hAnsi="Times New Roman"/>
        </w:rPr>
        <w:t xml:space="preserve"> </w:t>
      </w:r>
      <w:r w:rsidRPr="00EF570E" w:rsidR="00A50C5D">
        <w:rPr>
          <w:rFonts w:ascii="Times New Roman" w:hAnsi="Times New Roman"/>
        </w:rPr>
        <w:t>will accept plans that are agree</w:t>
      </w:r>
      <w:r w:rsidRPr="00EF570E">
        <w:rPr>
          <w:rFonts w:ascii="Times New Roman" w:hAnsi="Times New Roman"/>
        </w:rPr>
        <w:t>d</w:t>
      </w:r>
      <w:r w:rsidRPr="00EF570E" w:rsidR="00A50C5D">
        <w:rPr>
          <w:rFonts w:ascii="Times New Roman" w:hAnsi="Times New Roman"/>
        </w:rPr>
        <w:t xml:space="preserve"> to </w:t>
      </w:r>
      <w:r w:rsidRPr="00EF570E" w:rsidR="00451766">
        <w:rPr>
          <w:rFonts w:ascii="Times New Roman" w:hAnsi="Times New Roman"/>
        </w:rPr>
        <w:t xml:space="preserve">by </w:t>
      </w:r>
      <w:r w:rsidRPr="00EF570E" w:rsidR="00A50C5D">
        <w:rPr>
          <w:rFonts w:ascii="Times New Roman" w:hAnsi="Times New Roman"/>
        </w:rPr>
        <w:t xml:space="preserve">all </w:t>
      </w:r>
      <w:r w:rsidRPr="00EF570E">
        <w:rPr>
          <w:rFonts w:ascii="Times New Roman" w:hAnsi="Times New Roman"/>
        </w:rPr>
        <w:t xml:space="preserve">incumbent licensees within </w:t>
      </w:r>
      <w:r w:rsidRPr="00EF570E" w:rsidR="0084324C">
        <w:rPr>
          <w:rFonts w:ascii="Times New Roman" w:hAnsi="Times New Roman"/>
        </w:rPr>
        <w:t xml:space="preserve">a relevant </w:t>
      </w:r>
      <w:r w:rsidRPr="00EF570E">
        <w:rPr>
          <w:rFonts w:ascii="Times New Roman" w:hAnsi="Times New Roman"/>
        </w:rPr>
        <w:t>area</w:t>
      </w:r>
      <w:r w:rsidRPr="00EF570E" w:rsidR="00A50C5D">
        <w:rPr>
          <w:rFonts w:ascii="Times New Roman" w:hAnsi="Times New Roman"/>
        </w:rPr>
        <w:t xml:space="preserve"> as long as the plan increases the amount of contiguous spectrum for at least one of the licensees and does not increase the aggregate MHz-Pops held by those </w:t>
      </w:r>
      <w:r w:rsidRPr="00EF570E" w:rsidR="00573227">
        <w:rPr>
          <w:rFonts w:ascii="Times New Roman" w:hAnsi="Times New Roman"/>
        </w:rPr>
        <w:t xml:space="preserve">licensees </w:t>
      </w:r>
      <w:r w:rsidRPr="00EF570E" w:rsidR="00A50C5D">
        <w:rPr>
          <w:rFonts w:ascii="Times New Roman" w:hAnsi="Times New Roman"/>
        </w:rPr>
        <w:t xml:space="preserve">in the </w:t>
      </w:r>
      <w:r w:rsidRPr="00EF570E" w:rsidR="0084324C">
        <w:rPr>
          <w:rFonts w:ascii="Times New Roman" w:hAnsi="Times New Roman"/>
        </w:rPr>
        <w:t xml:space="preserve">relevant </w:t>
      </w:r>
      <w:r w:rsidRPr="00EF570E" w:rsidR="00A50C5D">
        <w:rPr>
          <w:rFonts w:ascii="Times New Roman" w:hAnsi="Times New Roman"/>
        </w:rPr>
        <w:t>area.</w:t>
      </w:r>
      <w:r>
        <w:rPr>
          <w:rStyle w:val="FootnoteReference"/>
          <w:rFonts w:ascii="Times New Roman" w:hAnsi="Times New Roman"/>
        </w:rPr>
        <w:footnoteReference w:id="29"/>
      </w:r>
      <w:r w:rsidRPr="00EF570E" w:rsidR="00A50C5D">
        <w:rPr>
          <w:rFonts w:ascii="Times New Roman" w:hAnsi="Times New Roman"/>
        </w:rPr>
        <w:t xml:space="preserve">  </w:t>
      </w:r>
      <w:r w:rsidRPr="00EF570E">
        <w:rPr>
          <w:rFonts w:ascii="Times New Roman" w:hAnsi="Times New Roman"/>
        </w:rPr>
        <w:t>For this purpose, we define the relevant area as a PEA, unless a</w:t>
      </w:r>
      <w:r w:rsidRPr="00EF570E">
        <w:rPr>
          <w:rFonts w:ascii="Times New Roman" w:hAnsi="Times New Roman"/>
        </w:rPr>
        <w:t xml:space="preserve">ny RSA licenses in the PEA cross that PEA boundary, in which case the adjacent PEA(s) that the RSA license overlaps must also be included in the relevant area.  We define relevant licensees as both PEA license holders and RSA license holders whose license </w:t>
      </w:r>
      <w:r w:rsidRPr="00EF570E">
        <w:rPr>
          <w:rFonts w:ascii="Times New Roman" w:hAnsi="Times New Roman"/>
        </w:rPr>
        <w:t>area falls within that relevant area.</w:t>
      </w:r>
      <w:r>
        <w:rPr>
          <w:rStyle w:val="FootnoteReference"/>
          <w:rFonts w:ascii="Times New Roman" w:hAnsi="Times New Roman"/>
        </w:rPr>
        <w:footnoteReference w:id="30"/>
      </w:r>
      <w:r w:rsidRPr="00EF570E">
        <w:rPr>
          <w:rFonts w:ascii="Times New Roman" w:hAnsi="Times New Roman"/>
        </w:rPr>
        <w:t xml:space="preserve">  These plans may include not only voluntary swaps among incumbents’ license holdings but also use of the FCC’s inventory of unassigned 39 GHz spectrum blocks.  </w:t>
      </w:r>
      <w:r w:rsidRPr="00EF570E" w:rsidR="00A50C5D">
        <w:rPr>
          <w:rFonts w:ascii="Times New Roman" w:hAnsi="Times New Roman"/>
        </w:rPr>
        <w:t xml:space="preserve">The </w:t>
      </w:r>
      <w:r w:rsidRPr="003E219F" w:rsidR="004B572F">
        <w:rPr>
          <w:rFonts w:ascii="Times New Roman" w:hAnsi="Times New Roman" w:cs="Times New Roman"/>
        </w:rPr>
        <w:t>Bureau</w:t>
      </w:r>
      <w:r w:rsidRPr="00EF570E" w:rsidR="004B572F">
        <w:rPr>
          <w:rFonts w:ascii="Times New Roman" w:hAnsi="Times New Roman"/>
        </w:rPr>
        <w:t xml:space="preserve"> </w:t>
      </w:r>
      <w:r w:rsidRPr="00EF570E" w:rsidR="00A50C5D">
        <w:rPr>
          <w:rFonts w:ascii="Times New Roman" w:hAnsi="Times New Roman"/>
        </w:rPr>
        <w:t xml:space="preserve">will also accept plans from a subset of licensees in an area that agree to license swaps </w:t>
      </w:r>
      <w:r w:rsidRPr="00EF570E" w:rsidR="00A50C5D">
        <w:rPr>
          <w:rFonts w:ascii="Times New Roman" w:hAnsi="Times New Roman"/>
        </w:rPr>
        <w:t>provided that</w:t>
      </w:r>
      <w:r w:rsidRPr="00EF570E" w:rsidR="00A50C5D">
        <w:rPr>
          <w:rFonts w:ascii="Times New Roman" w:hAnsi="Times New Roman"/>
        </w:rPr>
        <w:t xml:space="preserve"> they meet these same criteria and do </w:t>
      </w:r>
      <w:r w:rsidRPr="00EF570E" w:rsidR="0084324C">
        <w:rPr>
          <w:rFonts w:ascii="Times New Roman" w:hAnsi="Times New Roman"/>
        </w:rPr>
        <w:t xml:space="preserve">not infringe on the ability of </w:t>
      </w:r>
      <w:r w:rsidRPr="00EF570E" w:rsidR="00A50C5D">
        <w:rPr>
          <w:rFonts w:ascii="Times New Roman" w:hAnsi="Times New Roman"/>
        </w:rPr>
        <w:t xml:space="preserve">the other licensees in the area to apply for blocks contiguous to their existing license holdings pursuant to the criteria </w:t>
      </w:r>
      <w:r w:rsidRPr="00EF570E" w:rsidR="005F6364">
        <w:rPr>
          <w:rFonts w:ascii="Times New Roman" w:hAnsi="Times New Roman"/>
        </w:rPr>
        <w:t>above</w:t>
      </w:r>
      <w:r w:rsidRPr="00EF570E" w:rsidR="00A50C5D">
        <w:rPr>
          <w:rFonts w:ascii="Times New Roman" w:hAnsi="Times New Roman"/>
        </w:rPr>
        <w:t>.  Licensees applying to modify their licenses pursuant to a voluntary agreement should file a copy of that agreement with their application.</w:t>
      </w:r>
      <w:r>
        <w:rPr>
          <w:rStyle w:val="FootnoteReference"/>
          <w:rFonts w:ascii="Times New Roman" w:hAnsi="Times New Roman"/>
        </w:rPr>
        <w:footnoteReference w:id="31"/>
      </w:r>
    </w:p>
    <w:p w:rsidR="008D4BD4" w:rsidRPr="00EF570E" w:rsidP="00BC32FF">
      <w:pPr>
        <w:spacing w:after="120"/>
        <w:ind w:firstLine="720"/>
        <w:rPr>
          <w:rFonts w:ascii="Times New Roman" w:hAnsi="Times New Roman"/>
        </w:rPr>
      </w:pPr>
      <w:r w:rsidRPr="00EF570E">
        <w:rPr>
          <w:rFonts w:ascii="Times New Roman" w:hAnsi="Times New Roman"/>
        </w:rPr>
        <w:t>Further, while this approach is voluntary, the Commission emphasized that “it is [the Commission’s] hope and expecta</w:t>
      </w:r>
      <w:r w:rsidRPr="00EF570E">
        <w:rPr>
          <w:rFonts w:ascii="Times New Roman" w:hAnsi="Times New Roman"/>
        </w:rPr>
        <w:t>tion that all licensees will take advantage of this opportunity to convert their licenses to the new flexible use licensing scheme and band plan.”</w:t>
      </w:r>
      <w:r>
        <w:rPr>
          <w:rStyle w:val="FootnoteReference"/>
          <w:rFonts w:ascii="Times New Roman" w:hAnsi="Times New Roman"/>
        </w:rPr>
        <w:footnoteReference w:id="32"/>
      </w:r>
      <w:r w:rsidRPr="00EF570E" w:rsidR="0071257C">
        <w:rPr>
          <w:rFonts w:ascii="Times New Roman" w:hAnsi="Times New Roman"/>
        </w:rPr>
        <w:t xml:space="preserve">  Notably, “under Section 316 of the Act we retain the right to modify any license consistent with the public interest.”</w:t>
      </w:r>
      <w:r>
        <w:rPr>
          <w:rStyle w:val="FootnoteReference"/>
          <w:rFonts w:ascii="Times New Roman" w:hAnsi="Times New Roman"/>
        </w:rPr>
        <w:footnoteReference w:id="33"/>
      </w:r>
    </w:p>
    <w:p w:rsidR="008B23B5">
      <w:pPr>
        <w:spacing w:after="0" w:line="240" w:lineRule="auto"/>
        <w:rPr>
          <w:rFonts w:ascii="Times New Roman" w:hAnsi="Times New Roman"/>
          <w:b/>
          <w:u w:val="single"/>
        </w:rPr>
      </w:pPr>
      <w:r>
        <w:rPr>
          <w:rFonts w:ascii="Times New Roman" w:hAnsi="Times New Roman"/>
          <w:b/>
          <w:u w:val="single"/>
        </w:rPr>
        <w:br w:type="page"/>
      </w:r>
    </w:p>
    <w:p w:rsidR="008D4BD4" w:rsidRPr="00EF570E" w:rsidP="00BC32FF">
      <w:pPr>
        <w:spacing w:before="240" w:after="120"/>
        <w:rPr>
          <w:rFonts w:ascii="Times New Roman" w:hAnsi="Times New Roman"/>
        </w:rPr>
      </w:pPr>
      <w:r w:rsidRPr="00EF570E">
        <w:rPr>
          <w:rFonts w:ascii="Times New Roman" w:hAnsi="Times New Roman"/>
          <w:b/>
          <w:u w:val="single"/>
        </w:rPr>
        <w:t>Further Assistance</w:t>
      </w:r>
    </w:p>
    <w:p w:rsidR="008D4BD4" w:rsidRPr="00EF570E" w:rsidP="00BC32FF">
      <w:pPr>
        <w:spacing w:after="120"/>
        <w:rPr>
          <w:rFonts w:ascii="Times New Roman" w:hAnsi="Times New Roman"/>
        </w:rPr>
      </w:pPr>
      <w:r w:rsidRPr="00EF570E">
        <w:rPr>
          <w:rFonts w:ascii="Times New Roman" w:hAnsi="Times New Roman"/>
        </w:rPr>
        <w:t xml:space="preserve">Detailed filing instructions for the 39 GHz rebanding process will be available at </w:t>
      </w:r>
      <w:r>
        <w:fldChar w:fldCharType="begin"/>
      </w:r>
      <w:r>
        <w:instrText xml:space="preserve"> HYPERLINK "https://www.fcc.gov/wireless/support/universal-licensing-system-uls-resources/39ghz-channel-swap-instructions" </w:instrText>
      </w:r>
      <w:r>
        <w:fldChar w:fldCharType="separate"/>
      </w:r>
      <w:r w:rsidRPr="007B15B3" w:rsidR="00B736DA">
        <w:rPr>
          <w:rStyle w:val="Hyperlink"/>
          <w:rFonts w:ascii="Times New Roman" w:hAnsi="Times New Roman" w:cs="Times New Roman"/>
        </w:rPr>
        <w:t>https://www.fcc.gov/wireless/support/universal-licensing-system-uls-resources/39ghz-channel-swap-instructions</w:t>
      </w:r>
      <w:r>
        <w:fldChar w:fldCharType="end"/>
      </w:r>
      <w:r w:rsidRPr="003E219F" w:rsidR="00D7017F">
        <w:rPr>
          <w:rFonts w:ascii="Times New Roman" w:hAnsi="Times New Roman" w:cs="Times New Roman"/>
        </w:rPr>
        <w:t>.</w:t>
      </w:r>
    </w:p>
    <w:p w:rsidR="008D4BD4" w:rsidRPr="00EF570E" w:rsidP="00BC32FF">
      <w:pPr>
        <w:spacing w:after="120"/>
        <w:rPr>
          <w:rFonts w:ascii="Times New Roman" w:hAnsi="Times New Roman"/>
        </w:rPr>
      </w:pPr>
      <w:r w:rsidRPr="00EF570E">
        <w:rPr>
          <w:rFonts w:ascii="Times New Roman" w:hAnsi="Times New Roman"/>
        </w:rPr>
        <w:t xml:space="preserve">Filing questions may be directed to FCC Licensing Support via the web at </w:t>
      </w:r>
      <w:r>
        <w:fldChar w:fldCharType="begin"/>
      </w:r>
      <w:r>
        <w:instrText xml:space="preserve"> HYPERLINK "https://www.fcc.gov/wireless/available-support-services" </w:instrText>
      </w:r>
      <w:r>
        <w:fldChar w:fldCharType="separate"/>
      </w:r>
      <w:r w:rsidRPr="00B87D4E">
        <w:rPr>
          <w:rStyle w:val="Hyperlink"/>
          <w:rFonts w:ascii="Times New Roman" w:hAnsi="Times New Roman"/>
        </w:rPr>
        <w:t>https://www.fcc.gov/wireless/available-support-services</w:t>
      </w:r>
      <w:r>
        <w:fldChar w:fldCharType="end"/>
      </w:r>
      <w:bookmarkStart w:id="8" w:name="_GoBack"/>
      <w:bookmarkEnd w:id="8"/>
      <w:r w:rsidRPr="00EF570E">
        <w:rPr>
          <w:rFonts w:ascii="Times New Roman" w:hAnsi="Times New Roman"/>
        </w:rPr>
        <w:t xml:space="preserve">, or by telephone at 1-877-480-3201 (select option #2).  The support hours of operation are 8 a.m. to 6 p.m. </w:t>
      </w:r>
      <w:r w:rsidRPr="003E219F">
        <w:rPr>
          <w:rFonts w:ascii="Times New Roman" w:hAnsi="Times New Roman" w:cs="Times New Roman"/>
        </w:rPr>
        <w:t>ET</w:t>
      </w:r>
      <w:r w:rsidRPr="00EF570E">
        <w:rPr>
          <w:rFonts w:ascii="Times New Roman" w:hAnsi="Times New Roman"/>
        </w:rPr>
        <w:t xml:space="preserve">, Monday through </w:t>
      </w:r>
      <w:r w:rsidRPr="00EF570E">
        <w:rPr>
          <w:rFonts w:ascii="Times New Roman" w:hAnsi="Times New Roman"/>
        </w:rPr>
        <w:t xml:space="preserve">Friday (except Federal holidays).  </w:t>
      </w:r>
    </w:p>
    <w:p w:rsidR="008D4BD4" w:rsidRPr="00EF570E" w:rsidP="00BC32FF">
      <w:pPr>
        <w:spacing w:after="120"/>
        <w:rPr>
          <w:rFonts w:ascii="Times New Roman" w:hAnsi="Times New Roman"/>
        </w:rPr>
      </w:pPr>
      <w:r w:rsidRPr="00EF570E">
        <w:rPr>
          <w:rFonts w:ascii="Times New Roman" w:hAnsi="Times New Roman"/>
        </w:rPr>
        <w:t>Legal questions regarding this Public Notice may be directed to Simon Banyai (Simon.Banyai@fcc.gov; 418-1443), Broadband Division, WTB.</w:t>
      </w:r>
    </w:p>
    <w:p w:rsidR="005805D3" w:rsidRPr="00EF570E" w:rsidP="00A50C5D">
      <w:pPr>
        <w:spacing w:after="120"/>
        <w:rPr>
          <w:rFonts w:ascii="Times New Roman" w:hAnsi="Times New Roman"/>
        </w:rPr>
      </w:pPr>
      <w:r w:rsidRPr="00EF570E">
        <w:rPr>
          <w:rFonts w:ascii="Times New Roman" w:hAnsi="Times New Roman"/>
        </w:rPr>
        <w:t>By the Chief, Wireless Telecommunications Bureau</w:t>
      </w:r>
    </w:p>
    <w:p w:rsidR="005805D3" w:rsidRPr="00EF570E" w:rsidP="0011673B">
      <w:pPr>
        <w:rPr>
          <w:rFonts w:ascii="Times New Roman" w:hAnsi="Times New Roman"/>
        </w:rPr>
      </w:pPr>
    </w:p>
    <w:p w:rsidR="008D4BD4" w:rsidRPr="00EF570E" w:rsidP="008D4BD4">
      <w:pPr>
        <w:tabs>
          <w:tab w:val="left" w:pos="3255"/>
        </w:tabs>
        <w:jc w:val="center"/>
        <w:rPr>
          <w:rFonts w:ascii="Times New Roman" w:hAnsi="Times New Roman"/>
          <w:b/>
        </w:rPr>
      </w:pPr>
      <w:r w:rsidRPr="00EF570E">
        <w:rPr>
          <w:rFonts w:ascii="Times New Roman" w:hAnsi="Times New Roman"/>
          <w:b/>
        </w:rPr>
        <w:t>-FCC-</w:t>
      </w:r>
    </w:p>
    <w:p w:rsidR="0011673B" w:rsidRPr="00EF570E" w:rsidP="008D4BD4">
      <w:pPr>
        <w:jc w:val="center"/>
        <w:rPr>
          <w:rFonts w:ascii="Times New Roman" w:hAnsi="Times New Roman"/>
        </w:rPr>
      </w:pPr>
    </w:p>
    <w:sectPr w:rsidSect="002C4500">
      <w:type w:val="continuous"/>
      <w:pgSz w:w="12240" w:h="15840" w:code="1"/>
      <w:pgMar w:top="1080" w:right="1440" w:bottom="1440" w:left="1440" w:header="720" w:footer="576"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32326205"/>
      <w:docPartObj>
        <w:docPartGallery w:val="Page Numbers (Bottom of Page)"/>
        <w:docPartUnique/>
      </w:docPartObj>
    </w:sdtPr>
    <w:sdtEndPr>
      <w:rPr>
        <w:noProof/>
      </w:rPr>
    </w:sdtEndPr>
    <w:sdtContent>
      <w:p w:rsidR="00460AD4" w:rsidRPr="002C4500" w:rsidP="002C4500">
        <w:pPr>
          <w:pStyle w:val="Footer"/>
          <w:jc w:val="center"/>
          <w:rPr>
            <w:rFonts w:ascii="Times New Roman" w:hAnsi="Times New Roman" w:cs="Times New Roman"/>
            <w:noProof/>
          </w:rPr>
        </w:pPr>
        <w:r w:rsidRPr="002C4500">
          <w:rPr>
            <w:rFonts w:ascii="Times New Roman" w:hAnsi="Times New Roman" w:cs="Times New Roman"/>
          </w:rPr>
          <w:fldChar w:fldCharType="begin"/>
        </w:r>
        <w:r w:rsidRPr="002C4500">
          <w:rPr>
            <w:rFonts w:ascii="Times New Roman" w:hAnsi="Times New Roman" w:cs="Times New Roman"/>
          </w:rPr>
          <w:instrText xml:space="preserve"> PAGE   \* MERGEFORMAT </w:instrText>
        </w:r>
        <w:r w:rsidRPr="002C4500">
          <w:rPr>
            <w:rFonts w:ascii="Times New Roman" w:hAnsi="Times New Roman" w:cs="Times New Roman"/>
          </w:rPr>
          <w:fldChar w:fldCharType="separate"/>
        </w:r>
        <w:r>
          <w:rPr>
            <w:rFonts w:ascii="Times New Roman" w:hAnsi="Times New Roman" w:cs="Times New Roman"/>
            <w:noProof/>
          </w:rPr>
          <w:t>6</w:t>
        </w:r>
        <w:r w:rsidRPr="002C4500">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0B58">
      <w:r>
        <w:separator/>
      </w:r>
    </w:p>
  </w:footnote>
  <w:footnote w:type="continuationSeparator" w:id="1">
    <w:p w:rsidR="002C0B58">
      <w:r>
        <w:continuationSeparator/>
      </w:r>
    </w:p>
  </w:footnote>
  <w:footnote w:type="continuationNotice" w:id="2">
    <w:p w:rsidR="002C0B58"/>
  </w:footnote>
  <w:footnote w:id="3">
    <w:p w:rsidR="00460AD4" w:rsidRPr="00EF570E" w:rsidP="00BC32FF">
      <w:pPr>
        <w:pStyle w:val="FootnoteText"/>
        <w:tabs>
          <w:tab w:val="clear" w:pos="720"/>
        </w:tabs>
        <w:rPr>
          <w:rFonts w:ascii="Times New Roman" w:hAnsi="Times New Roman"/>
          <w:i/>
          <w:sz w:val="20"/>
        </w:rPr>
      </w:pPr>
      <w:r w:rsidRPr="00EF570E">
        <w:rPr>
          <w:rStyle w:val="FootnoteReference"/>
          <w:rFonts w:ascii="Times New Roman" w:hAnsi="Times New Roman"/>
          <w:sz w:val="20"/>
        </w:rPr>
        <w:footnoteRef/>
      </w:r>
      <w:r w:rsidRPr="00EF570E">
        <w:rPr>
          <w:rFonts w:ascii="Times New Roman" w:hAnsi="Times New Roman"/>
          <w:sz w:val="20"/>
        </w:rPr>
        <w:t xml:space="preserve"> </w:t>
      </w:r>
      <w:r w:rsidRPr="00EF570E">
        <w:rPr>
          <w:rFonts w:ascii="Times New Roman" w:hAnsi="Times New Roman"/>
          <w:i/>
          <w:sz w:val="20"/>
        </w:rPr>
        <w:t>Use of Spectrum Ban</w:t>
      </w:r>
      <w:r w:rsidRPr="00EF570E">
        <w:rPr>
          <w:rFonts w:ascii="Times New Roman" w:hAnsi="Times New Roman"/>
          <w:i/>
          <w:sz w:val="20"/>
        </w:rPr>
        <w:t>ds Above 24 GHz For Mobile Radio Services, et al</w:t>
      </w:r>
      <w:r w:rsidRPr="00EF570E">
        <w:rPr>
          <w:rFonts w:ascii="Times New Roman" w:hAnsi="Times New Roman"/>
          <w:sz w:val="20"/>
        </w:rPr>
        <w:t>., Report and Order and Further Notice of Proposed Rulemaking, 31 FCC Rcd 8014 (2016) (</w:t>
      </w:r>
      <w:r w:rsidRPr="00EF570E">
        <w:rPr>
          <w:rFonts w:ascii="Times New Roman" w:hAnsi="Times New Roman"/>
          <w:i/>
          <w:sz w:val="20"/>
        </w:rPr>
        <w:t>Spectrum Frontiers R&amp;O</w:t>
      </w:r>
      <w:r w:rsidRPr="00EF570E">
        <w:rPr>
          <w:rFonts w:ascii="Times New Roman" w:hAnsi="Times New Roman"/>
          <w:sz w:val="20"/>
        </w:rPr>
        <w:t xml:space="preserve">).  </w:t>
      </w:r>
    </w:p>
  </w:footnote>
  <w:footnote w:id="4">
    <w:p w:rsidR="00460AD4" w:rsidRPr="00EF570E" w:rsidP="00BC32FF">
      <w:pPr>
        <w:pStyle w:val="FootnoteText"/>
        <w:tabs>
          <w:tab w:val="clear" w:pos="720"/>
        </w:tabs>
        <w:rPr>
          <w:rFonts w:ascii="Times New Roman" w:hAnsi="Times New Roman"/>
          <w:sz w:val="20"/>
        </w:rPr>
      </w:pPr>
      <w:r w:rsidRPr="00EF570E">
        <w:rPr>
          <w:rStyle w:val="FootnoteReference"/>
          <w:rFonts w:ascii="Times New Roman" w:hAnsi="Times New Roman"/>
          <w:sz w:val="20"/>
        </w:rPr>
        <w:footnoteRef/>
      </w:r>
      <w:r w:rsidRPr="00EF570E">
        <w:rPr>
          <w:rFonts w:ascii="Times New Roman" w:hAnsi="Times New Roman"/>
          <w:sz w:val="20"/>
        </w:rPr>
        <w:t xml:space="preserve"> </w:t>
      </w:r>
      <w:r w:rsidRPr="00EF570E">
        <w:rPr>
          <w:rFonts w:ascii="Times New Roman" w:hAnsi="Times New Roman"/>
          <w:i/>
          <w:sz w:val="20"/>
        </w:rPr>
        <w:t>See, e.g.,</w:t>
      </w:r>
      <w:r w:rsidRPr="00EF570E">
        <w:rPr>
          <w:rFonts w:ascii="Times New Roman" w:hAnsi="Times New Roman"/>
          <w:sz w:val="20"/>
        </w:rPr>
        <w:t xml:space="preserve"> Letter from Alex Starr, AT&amp;T, to Marlene Dortch, Secretary, FCC, GN Docket No. 14-177 </w:t>
      </w:r>
      <w:r w:rsidRPr="00EF570E">
        <w:rPr>
          <w:rFonts w:ascii="Times New Roman" w:hAnsi="Times New Roman"/>
          <w:i/>
          <w:sz w:val="20"/>
        </w:rPr>
        <w:t>et al.,</w:t>
      </w:r>
      <w:r w:rsidRPr="00EF570E">
        <w:rPr>
          <w:rFonts w:ascii="Times New Roman" w:hAnsi="Times New Roman"/>
          <w:sz w:val="20"/>
        </w:rPr>
        <w:t xml:space="preserve"> at Attach. (filed Dec. 12, 2017); Letter from Charla M. Rath, Vice President, Verizon, to Marlene H. Dortch, Secretary, FCC, GN Docket No. 14-177</w:t>
      </w:r>
      <w:r w:rsidRPr="00EF570E">
        <w:rPr>
          <w:rFonts w:ascii="Times New Roman" w:hAnsi="Times New Roman"/>
          <w:i/>
          <w:sz w:val="20"/>
        </w:rPr>
        <w:t>,</w:t>
      </w:r>
      <w:r w:rsidRPr="00EF570E">
        <w:rPr>
          <w:rFonts w:ascii="Times New Roman" w:hAnsi="Times New Roman"/>
          <w:sz w:val="20"/>
        </w:rPr>
        <w:t xml:space="preserve"> at Attach. 2 (</w:t>
      </w:r>
      <w:r w:rsidRPr="00EF570E">
        <w:rPr>
          <w:rFonts w:ascii="Times New Roman" w:hAnsi="Times New Roman"/>
          <w:sz w:val="20"/>
        </w:rPr>
        <w:t xml:space="preserve">filed Apr. 24, 2018). </w:t>
      </w:r>
    </w:p>
  </w:footnote>
  <w:footnote w:id="5">
    <w:p w:rsidR="00460AD4" w:rsidRPr="00EF570E" w:rsidP="00BC32FF">
      <w:pPr>
        <w:pStyle w:val="FootnoteText"/>
        <w:tabs>
          <w:tab w:val="clear" w:pos="720"/>
        </w:tabs>
        <w:rPr>
          <w:rFonts w:ascii="Times New Roman" w:hAnsi="Times New Roman"/>
          <w:sz w:val="20"/>
        </w:rPr>
      </w:pPr>
      <w:r w:rsidRPr="00EF570E">
        <w:rPr>
          <w:rStyle w:val="FootnoteReference"/>
          <w:rFonts w:ascii="Times New Roman" w:hAnsi="Times New Roman"/>
          <w:sz w:val="20"/>
        </w:rPr>
        <w:footnoteRef/>
      </w:r>
      <w:r w:rsidRPr="00EF570E">
        <w:rPr>
          <w:rFonts w:ascii="Times New Roman" w:hAnsi="Times New Roman"/>
          <w:sz w:val="20"/>
        </w:rPr>
        <w:t xml:space="preserve"> </w:t>
      </w:r>
      <w:bookmarkStart w:id="1" w:name="_Hlk515347091"/>
      <w:r w:rsidRPr="00EF570E">
        <w:rPr>
          <w:rFonts w:ascii="Times New Roman" w:hAnsi="Times New Roman"/>
          <w:i/>
          <w:sz w:val="20"/>
        </w:rPr>
        <w:t>Spectrum Frontiers R&amp;O</w:t>
      </w:r>
      <w:bookmarkEnd w:id="1"/>
      <w:r w:rsidRPr="00EF570E">
        <w:rPr>
          <w:rFonts w:ascii="Times New Roman" w:hAnsi="Times New Roman"/>
          <w:i/>
          <w:sz w:val="20"/>
        </w:rPr>
        <w:t xml:space="preserve">, </w:t>
      </w:r>
      <w:r w:rsidRPr="00EF570E">
        <w:rPr>
          <w:rFonts w:ascii="Times New Roman" w:hAnsi="Times New Roman"/>
          <w:sz w:val="20"/>
        </w:rPr>
        <w:t xml:space="preserve">31 FCC Rcd at 8043-56, paras. 73-100.    </w:t>
      </w:r>
    </w:p>
  </w:footnote>
  <w:footnote w:id="6">
    <w:p w:rsidR="00460AD4" w:rsidRPr="00EF570E" w:rsidP="00BC32FF">
      <w:pPr>
        <w:pStyle w:val="FootnoteText"/>
        <w:rPr>
          <w:rFonts w:ascii="Times New Roman" w:hAnsi="Times New Roman"/>
          <w:sz w:val="20"/>
        </w:rPr>
      </w:pPr>
      <w:r w:rsidRPr="00EF570E">
        <w:rPr>
          <w:rStyle w:val="FootnoteReference"/>
          <w:rFonts w:ascii="Times New Roman" w:hAnsi="Times New Roman"/>
          <w:sz w:val="20"/>
        </w:rPr>
        <w:footnoteRef/>
      </w:r>
      <w:r w:rsidRPr="00EF570E">
        <w:rPr>
          <w:rFonts w:ascii="Times New Roman" w:hAnsi="Times New Roman"/>
          <w:sz w:val="20"/>
        </w:rPr>
        <w:t xml:space="preserve"> </w:t>
      </w:r>
      <w:r w:rsidRPr="00EF570E">
        <w:rPr>
          <w:rFonts w:ascii="Times New Roman" w:hAnsi="Times New Roman"/>
          <w:i/>
          <w:sz w:val="20"/>
        </w:rPr>
        <w:t>See</w:t>
      </w:r>
      <w:r w:rsidRPr="00EF570E">
        <w:rPr>
          <w:rFonts w:ascii="Times New Roman" w:hAnsi="Times New Roman"/>
          <w:sz w:val="20"/>
        </w:rPr>
        <w:t xml:space="preserve"> </w:t>
      </w:r>
      <w:r w:rsidRPr="00EF570E" w:rsidR="0059588D">
        <w:rPr>
          <w:rFonts w:ascii="Times New Roman" w:hAnsi="Times New Roman"/>
          <w:i/>
          <w:sz w:val="20"/>
        </w:rPr>
        <w:t>id.</w:t>
      </w:r>
      <w:r w:rsidRPr="00EF570E">
        <w:rPr>
          <w:rFonts w:ascii="Times New Roman" w:hAnsi="Times New Roman"/>
          <w:sz w:val="20"/>
        </w:rPr>
        <w:t xml:space="preserve"> at 8043-44, para. 74.  </w:t>
      </w:r>
    </w:p>
  </w:footnote>
  <w:footnote w:id="7">
    <w:p w:rsidR="00460AD4" w:rsidRPr="00EF570E" w:rsidP="00A50C5D">
      <w:pPr>
        <w:pStyle w:val="FootnoteText"/>
        <w:rPr>
          <w:rFonts w:ascii="Times New Roman" w:hAnsi="Times New Roman"/>
          <w:sz w:val="20"/>
        </w:rPr>
      </w:pPr>
      <w:r w:rsidRPr="00EF570E">
        <w:rPr>
          <w:rStyle w:val="FootnoteReference"/>
          <w:rFonts w:ascii="Times New Roman" w:hAnsi="Times New Roman"/>
          <w:sz w:val="20"/>
        </w:rPr>
        <w:footnoteRef/>
      </w:r>
      <w:r w:rsidRPr="00EF570E">
        <w:rPr>
          <w:rFonts w:ascii="Times New Roman" w:hAnsi="Times New Roman"/>
          <w:sz w:val="20"/>
        </w:rPr>
        <w:t xml:space="preserve"> For administrative efficiency, existing EA licenses and leases have been converted into unpaired 50 megahertz blocks licensed on a PEA basis.  </w:t>
      </w:r>
      <w:r w:rsidRPr="00EF570E">
        <w:rPr>
          <w:rFonts w:ascii="Times New Roman" w:hAnsi="Times New Roman"/>
          <w:i/>
          <w:sz w:val="20"/>
        </w:rPr>
        <w:t>See Wireless Telecommunications Bureau Announces Conversion of Incumbent 28 GHz and 39 GHz Licenses to the Upper</w:t>
      </w:r>
      <w:r w:rsidRPr="00EF570E">
        <w:rPr>
          <w:rFonts w:ascii="Times New Roman" w:hAnsi="Times New Roman"/>
          <w:i/>
          <w:sz w:val="20"/>
        </w:rPr>
        <w:t xml:space="preserve"> Microwave Flexible Use Service, </w:t>
      </w:r>
      <w:r w:rsidRPr="00EF570E">
        <w:rPr>
          <w:rFonts w:ascii="Times New Roman" w:hAnsi="Times New Roman"/>
          <w:sz w:val="20"/>
        </w:rPr>
        <w:t>Public Notice, GN Docket No. 14-177, DA 18-550 (WTB, rel. May 25, 2018).</w:t>
      </w:r>
      <w:r w:rsidRPr="00EF570E">
        <w:rPr>
          <w:rFonts w:ascii="Times New Roman" w:hAnsi="Times New Roman"/>
          <w:b/>
          <w:sz w:val="20"/>
        </w:rPr>
        <w:t xml:space="preserve"> </w:t>
      </w:r>
      <w:r w:rsidRPr="00EF570E">
        <w:rPr>
          <w:rFonts w:ascii="Times New Roman" w:hAnsi="Times New Roman"/>
          <w:sz w:val="20"/>
        </w:rPr>
        <w:t xml:space="preserve"> </w:t>
      </w:r>
    </w:p>
  </w:footnote>
  <w:footnote w:id="8">
    <w:p w:rsidR="00460AD4" w:rsidRPr="00EF570E" w:rsidP="00BC32FF">
      <w:pPr>
        <w:pStyle w:val="FootnoteText"/>
        <w:rPr>
          <w:rFonts w:ascii="Times New Roman" w:hAnsi="Times New Roman"/>
          <w:sz w:val="20"/>
        </w:rPr>
      </w:pPr>
      <w:r w:rsidRPr="00EF570E">
        <w:rPr>
          <w:rStyle w:val="FootnoteReference"/>
          <w:rFonts w:ascii="Times New Roman" w:hAnsi="Times New Roman"/>
          <w:sz w:val="20"/>
        </w:rPr>
        <w:footnoteRef/>
      </w:r>
      <w:r w:rsidRPr="00EF570E">
        <w:rPr>
          <w:rFonts w:ascii="Times New Roman" w:hAnsi="Times New Roman"/>
          <w:sz w:val="20"/>
        </w:rPr>
        <w:t xml:space="preserve"> </w:t>
      </w:r>
      <w:r w:rsidRPr="00EF570E">
        <w:rPr>
          <w:rFonts w:ascii="Times New Roman" w:hAnsi="Times New Roman"/>
          <w:i/>
          <w:sz w:val="20"/>
        </w:rPr>
        <w:t>Spectrum Frontiers R&amp;O</w:t>
      </w:r>
      <w:r w:rsidRPr="00EF570E">
        <w:rPr>
          <w:rFonts w:ascii="Times New Roman" w:hAnsi="Times New Roman"/>
          <w:sz w:val="20"/>
        </w:rPr>
        <w:t>, 31 FCC Rcd at 805</w:t>
      </w:r>
      <w:r w:rsidRPr="00EF570E" w:rsidR="00024DF1">
        <w:rPr>
          <w:rFonts w:ascii="Times New Roman" w:hAnsi="Times New Roman"/>
          <w:sz w:val="20"/>
        </w:rPr>
        <w:t>3-5</w:t>
      </w:r>
      <w:r w:rsidRPr="00EF570E">
        <w:rPr>
          <w:rFonts w:ascii="Times New Roman" w:hAnsi="Times New Roman"/>
          <w:sz w:val="20"/>
        </w:rPr>
        <w:t>4, para. 97.</w:t>
      </w:r>
    </w:p>
  </w:footnote>
  <w:footnote w:id="9">
    <w:p w:rsidR="00460AD4" w:rsidRPr="00EF570E" w:rsidP="00BC32FF">
      <w:pPr>
        <w:pStyle w:val="FootnoteText"/>
        <w:rPr>
          <w:rFonts w:ascii="Times New Roman" w:hAnsi="Times New Roman"/>
          <w:sz w:val="20"/>
        </w:rPr>
      </w:pPr>
      <w:r w:rsidRPr="00EF570E">
        <w:rPr>
          <w:rStyle w:val="FootnoteReference"/>
          <w:rFonts w:ascii="Times New Roman" w:hAnsi="Times New Roman"/>
          <w:sz w:val="20"/>
        </w:rPr>
        <w:footnoteRef/>
      </w:r>
      <w:r w:rsidRPr="00EF570E">
        <w:rPr>
          <w:rFonts w:ascii="Times New Roman" w:hAnsi="Times New Roman"/>
          <w:sz w:val="20"/>
        </w:rPr>
        <w:t xml:space="preserve"> </w:t>
      </w:r>
      <w:r w:rsidRPr="00EF570E">
        <w:rPr>
          <w:rFonts w:ascii="Times New Roman" w:hAnsi="Times New Roman"/>
          <w:i/>
          <w:sz w:val="20"/>
        </w:rPr>
        <w:t>Id.</w:t>
      </w:r>
      <w:r w:rsidRPr="00EF570E">
        <w:rPr>
          <w:rFonts w:ascii="Times New Roman" w:hAnsi="Times New Roman"/>
          <w:sz w:val="20"/>
        </w:rPr>
        <w:t xml:space="preserve"> at 8053-56, paras. 97-100.  </w:t>
      </w:r>
    </w:p>
  </w:footnote>
  <w:footnote w:id="10">
    <w:p w:rsidR="00460AD4" w:rsidRPr="00EF570E" w:rsidP="00A50C5D">
      <w:pPr>
        <w:pStyle w:val="FootnoteText"/>
        <w:rPr>
          <w:rFonts w:ascii="Times New Roman" w:hAnsi="Times New Roman"/>
          <w:sz w:val="20"/>
        </w:rPr>
      </w:pPr>
      <w:r w:rsidRPr="00EF570E">
        <w:rPr>
          <w:rStyle w:val="FootnoteReference"/>
          <w:rFonts w:ascii="Times New Roman" w:hAnsi="Times New Roman"/>
          <w:sz w:val="20"/>
        </w:rPr>
        <w:footnoteRef/>
      </w:r>
      <w:r w:rsidRPr="00EF570E">
        <w:rPr>
          <w:rFonts w:ascii="Times New Roman" w:hAnsi="Times New Roman"/>
          <w:sz w:val="20"/>
        </w:rPr>
        <w:t xml:space="preserve"> </w:t>
      </w:r>
      <w:r w:rsidRPr="00EF570E">
        <w:rPr>
          <w:rFonts w:ascii="Times New Roman" w:hAnsi="Times New Roman"/>
          <w:i/>
          <w:sz w:val="20"/>
        </w:rPr>
        <w:t>Id.</w:t>
      </w:r>
      <w:bookmarkStart w:id="2" w:name="_Hlk515348299"/>
      <w:r w:rsidRPr="00EF570E">
        <w:rPr>
          <w:rFonts w:ascii="Times New Roman" w:hAnsi="Times New Roman"/>
          <w:sz w:val="20"/>
        </w:rPr>
        <w:t xml:space="preserve">  </w:t>
      </w:r>
      <w:bookmarkEnd w:id="2"/>
    </w:p>
  </w:footnote>
  <w:footnote w:id="11">
    <w:p w:rsidR="00924026" w:rsidRPr="00990745">
      <w:pPr>
        <w:pStyle w:val="FootnoteText"/>
        <w:rPr>
          <w:rFonts w:ascii="Times New Roman" w:hAnsi="Times New Roman"/>
          <w:sz w:val="20"/>
        </w:rPr>
      </w:pPr>
      <w:r>
        <w:rPr>
          <w:rStyle w:val="FootnoteReference"/>
        </w:rPr>
        <w:footnoteRef/>
      </w:r>
      <w:r>
        <w:t xml:space="preserve"> </w:t>
      </w:r>
      <w:r w:rsidRPr="00990745">
        <w:rPr>
          <w:rFonts w:ascii="Times New Roman" w:hAnsi="Times New Roman"/>
          <w:sz w:val="20"/>
        </w:rPr>
        <w:t>We note that incumbent licensees may apply f</w:t>
      </w:r>
      <w:r w:rsidRPr="00990745">
        <w:rPr>
          <w:rFonts w:ascii="Times New Roman" w:hAnsi="Times New Roman"/>
          <w:sz w:val="20"/>
        </w:rPr>
        <w:t xml:space="preserve">or the transfer of licenses between licensees as well as other modifications through other Commission processes. </w:t>
      </w:r>
    </w:p>
  </w:footnote>
  <w:footnote w:id="12">
    <w:p w:rsidR="00A23561">
      <w:pPr>
        <w:pStyle w:val="FootnoteText"/>
      </w:pPr>
      <w:r>
        <w:rPr>
          <w:rStyle w:val="FootnoteReference"/>
        </w:rPr>
        <w:footnoteRef/>
      </w:r>
      <w:r>
        <w:t xml:space="preserve"> </w:t>
      </w:r>
      <w:r w:rsidRPr="00924026" w:rsidR="007B737B">
        <w:rPr>
          <w:rFonts w:ascii="Times New Roman" w:hAnsi="Times New Roman" w:cs="Times New Roman"/>
          <w:sz w:val="20"/>
          <w:szCs w:val="20"/>
        </w:rPr>
        <w:t xml:space="preserve">Applicants must file separate applications if aggregating spectrum for PEA licenses and </w:t>
      </w:r>
      <w:r w:rsidR="007B737B">
        <w:rPr>
          <w:rFonts w:ascii="Times New Roman" w:hAnsi="Times New Roman" w:cs="Times New Roman"/>
          <w:sz w:val="20"/>
          <w:szCs w:val="20"/>
        </w:rPr>
        <w:t xml:space="preserve">for </w:t>
      </w:r>
      <w:r w:rsidRPr="00924026" w:rsidR="007B737B">
        <w:rPr>
          <w:rFonts w:ascii="Times New Roman" w:hAnsi="Times New Roman" w:cs="Times New Roman"/>
          <w:sz w:val="20"/>
          <w:szCs w:val="20"/>
        </w:rPr>
        <w:t xml:space="preserve">RSA licenses.  In other words, a licensee that holds both RSA licenses and PEA licenses cannot aggregate spectrum from both </w:t>
      </w:r>
      <w:r w:rsidR="007B737B">
        <w:rPr>
          <w:rFonts w:ascii="Times New Roman" w:hAnsi="Times New Roman" w:cs="Times New Roman"/>
          <w:sz w:val="20"/>
          <w:szCs w:val="20"/>
        </w:rPr>
        <w:t xml:space="preserve">sets of licenses </w:t>
      </w:r>
      <w:r w:rsidRPr="00924026" w:rsidR="007B737B">
        <w:rPr>
          <w:rFonts w:ascii="Times New Roman" w:hAnsi="Times New Roman" w:cs="Times New Roman"/>
          <w:sz w:val="20"/>
          <w:szCs w:val="20"/>
        </w:rPr>
        <w:t xml:space="preserve">on to the same 100 megahertz or 200 megahertz </w:t>
      </w:r>
      <w:r w:rsidRPr="00924026" w:rsidR="007B737B">
        <w:rPr>
          <w:rFonts w:ascii="Times New Roman" w:hAnsi="Times New Roman" w:cs="Times New Roman"/>
          <w:sz w:val="20"/>
          <w:szCs w:val="20"/>
        </w:rPr>
        <w:t>license</w:t>
      </w:r>
      <w:r w:rsidRPr="00924026" w:rsidR="007B737B">
        <w:rPr>
          <w:rFonts w:ascii="Times New Roman" w:hAnsi="Times New Roman" w:cs="Times New Roman"/>
          <w:sz w:val="20"/>
          <w:szCs w:val="20"/>
        </w:rPr>
        <w:t xml:space="preserve"> (because the geography covered by each license is different).</w:t>
      </w:r>
      <w:r w:rsidRPr="007B737B" w:rsidR="007B737B">
        <w:t xml:space="preserve"> </w:t>
      </w:r>
      <w:r w:rsidR="00090D53">
        <w:t xml:space="preserve"> </w:t>
      </w:r>
      <w:r w:rsidRPr="00924026" w:rsidR="007B737B">
        <w:rPr>
          <w:rFonts w:ascii="Times New Roman" w:hAnsi="Times New Roman" w:cs="Times New Roman"/>
          <w:sz w:val="20"/>
          <w:szCs w:val="20"/>
        </w:rPr>
        <w:t>In addition,</w:t>
      </w:r>
      <w:r w:rsidR="007B737B">
        <w:t xml:space="preserve"> </w:t>
      </w:r>
      <w:r w:rsidR="001B0E84">
        <w:rPr>
          <w:rFonts w:ascii="Times New Roman" w:hAnsi="Times New Roman" w:cs="Times New Roman"/>
          <w:sz w:val="20"/>
          <w:szCs w:val="20"/>
        </w:rPr>
        <w:t>l</w:t>
      </w:r>
      <w:r w:rsidRPr="00924026">
        <w:rPr>
          <w:rFonts w:ascii="Times New Roman" w:hAnsi="Times New Roman" w:cs="Times New Roman"/>
          <w:sz w:val="20"/>
          <w:szCs w:val="20"/>
        </w:rPr>
        <w:t>icensees should</w:t>
      </w:r>
      <w:r>
        <w:t xml:space="preserve"> i</w:t>
      </w:r>
      <w:r w:rsidRPr="00924026">
        <w:rPr>
          <w:rFonts w:ascii="Times New Roman" w:hAnsi="Times New Roman" w:cs="Times New Roman"/>
          <w:sz w:val="20"/>
          <w:szCs w:val="20"/>
        </w:rPr>
        <w:t xml:space="preserve">dentify </w:t>
      </w:r>
      <w:r>
        <w:rPr>
          <w:rFonts w:ascii="Times New Roman" w:hAnsi="Times New Roman" w:cs="Times New Roman"/>
          <w:sz w:val="20"/>
          <w:szCs w:val="20"/>
        </w:rPr>
        <w:t>in their applications any</w:t>
      </w:r>
      <w:r w:rsidRPr="00924026">
        <w:rPr>
          <w:rFonts w:ascii="Times New Roman" w:hAnsi="Times New Roman" w:cs="Times New Roman"/>
          <w:sz w:val="20"/>
          <w:szCs w:val="20"/>
        </w:rPr>
        <w:t xml:space="preserve"> leases associated with </w:t>
      </w:r>
      <w:r>
        <w:rPr>
          <w:rFonts w:ascii="Times New Roman" w:hAnsi="Times New Roman" w:cs="Times New Roman"/>
          <w:sz w:val="20"/>
          <w:szCs w:val="20"/>
        </w:rPr>
        <w:t>the</w:t>
      </w:r>
      <w:r w:rsidRPr="00924026">
        <w:rPr>
          <w:rFonts w:ascii="Times New Roman" w:hAnsi="Times New Roman" w:cs="Times New Roman"/>
          <w:sz w:val="20"/>
          <w:szCs w:val="20"/>
        </w:rPr>
        <w:t xml:space="preserve"> licenses to be swapped to determine which leases will remain with the license after the swap is completed and which leases will be terminated.  </w:t>
      </w:r>
      <w:r>
        <w:rPr>
          <w:rFonts w:ascii="Times New Roman" w:hAnsi="Times New Roman" w:cs="Times New Roman"/>
          <w:sz w:val="20"/>
          <w:szCs w:val="20"/>
        </w:rPr>
        <w:t>Licensees also sho</w:t>
      </w:r>
      <w:r>
        <w:rPr>
          <w:rFonts w:ascii="Times New Roman" w:hAnsi="Times New Roman" w:cs="Times New Roman"/>
          <w:sz w:val="20"/>
          <w:szCs w:val="20"/>
        </w:rPr>
        <w:t>uld identify</w:t>
      </w:r>
      <w:r w:rsidRPr="00924026">
        <w:rPr>
          <w:rFonts w:ascii="Times New Roman" w:hAnsi="Times New Roman" w:cs="Times New Roman"/>
          <w:sz w:val="20"/>
          <w:szCs w:val="20"/>
        </w:rPr>
        <w:t xml:space="preserve"> the amount of spectrum that is associated with each lease, and the specific frequencies for any point-to-point links.</w:t>
      </w:r>
    </w:p>
  </w:footnote>
  <w:footnote w:id="13">
    <w:p w:rsidR="00460AD4" w:rsidRPr="00EF570E">
      <w:pPr>
        <w:pStyle w:val="FootnoteText"/>
        <w:rPr>
          <w:rFonts w:ascii="Times New Roman" w:hAnsi="Times New Roman"/>
          <w:sz w:val="20"/>
        </w:rPr>
      </w:pPr>
      <w:r w:rsidRPr="00EF570E">
        <w:rPr>
          <w:rStyle w:val="FootnoteReference"/>
          <w:rFonts w:ascii="Times New Roman" w:hAnsi="Times New Roman"/>
          <w:sz w:val="20"/>
        </w:rPr>
        <w:footnoteRef/>
      </w:r>
      <w:r w:rsidRPr="00EF570E">
        <w:rPr>
          <w:rFonts w:ascii="Times New Roman" w:hAnsi="Times New Roman"/>
          <w:sz w:val="20"/>
        </w:rPr>
        <w:t xml:space="preserve"> </w:t>
      </w:r>
      <w:r w:rsidRPr="00EF570E">
        <w:rPr>
          <w:rFonts w:ascii="Times New Roman" w:hAnsi="Times New Roman"/>
          <w:i/>
          <w:sz w:val="20"/>
        </w:rPr>
        <w:t>Spectrum Frontiers R&amp;O</w:t>
      </w:r>
      <w:r w:rsidRPr="00EF570E">
        <w:rPr>
          <w:rFonts w:ascii="Times New Roman" w:hAnsi="Times New Roman"/>
          <w:sz w:val="20"/>
        </w:rPr>
        <w:t>, 31 FCC Rcd at 80</w:t>
      </w:r>
      <w:r w:rsidRPr="00EF570E" w:rsidR="00823CB3">
        <w:rPr>
          <w:rFonts w:ascii="Times New Roman" w:hAnsi="Times New Roman"/>
          <w:sz w:val="20"/>
        </w:rPr>
        <w:t>54-</w:t>
      </w:r>
      <w:r w:rsidRPr="00EF570E">
        <w:rPr>
          <w:rFonts w:ascii="Times New Roman" w:hAnsi="Times New Roman"/>
          <w:sz w:val="20"/>
        </w:rPr>
        <w:t>55, para</w:t>
      </w:r>
      <w:r w:rsidRPr="00EF570E" w:rsidR="00823CB3">
        <w:rPr>
          <w:rFonts w:ascii="Times New Roman" w:hAnsi="Times New Roman"/>
          <w:sz w:val="20"/>
        </w:rPr>
        <w:t>s</w:t>
      </w:r>
      <w:r w:rsidRPr="00EF570E">
        <w:rPr>
          <w:rFonts w:ascii="Times New Roman" w:hAnsi="Times New Roman"/>
          <w:sz w:val="20"/>
        </w:rPr>
        <w:t xml:space="preserve">. </w:t>
      </w:r>
      <w:r w:rsidRPr="00EF570E" w:rsidR="00823CB3">
        <w:rPr>
          <w:rFonts w:ascii="Times New Roman" w:hAnsi="Times New Roman"/>
          <w:sz w:val="20"/>
        </w:rPr>
        <w:t>98-</w:t>
      </w:r>
      <w:r w:rsidRPr="00EF570E">
        <w:rPr>
          <w:rFonts w:ascii="Times New Roman" w:hAnsi="Times New Roman"/>
          <w:sz w:val="20"/>
        </w:rPr>
        <w:t xml:space="preserve">99.  </w:t>
      </w:r>
      <w:r w:rsidRPr="00EF570E" w:rsidR="00732C19">
        <w:rPr>
          <w:rFonts w:ascii="Times New Roman" w:hAnsi="Times New Roman"/>
          <w:sz w:val="20"/>
        </w:rPr>
        <w:t>Independent of the voluntary rebanding process, we note that any RSA licensee may file an application to cancel its license(s)</w:t>
      </w:r>
      <w:r w:rsidRPr="00EF570E" w:rsidR="00584135">
        <w:rPr>
          <w:rFonts w:ascii="Times New Roman" w:hAnsi="Times New Roman"/>
          <w:sz w:val="20"/>
        </w:rPr>
        <w:t>, regardless of whether they fall wholly within a PEA block</w:t>
      </w:r>
      <w:r w:rsidRPr="00EF570E" w:rsidR="00732C19">
        <w:rPr>
          <w:rFonts w:ascii="Times New Roman" w:hAnsi="Times New Roman"/>
          <w:sz w:val="20"/>
        </w:rPr>
        <w:t>.</w:t>
      </w:r>
    </w:p>
  </w:footnote>
  <w:footnote w:id="14">
    <w:p w:rsidR="00460AD4" w:rsidRPr="00EF570E">
      <w:pPr>
        <w:pStyle w:val="FootnoteText"/>
        <w:rPr>
          <w:rFonts w:ascii="Times New Roman" w:hAnsi="Times New Roman"/>
          <w:sz w:val="20"/>
        </w:rPr>
      </w:pPr>
      <w:r w:rsidRPr="00EF570E">
        <w:rPr>
          <w:rStyle w:val="FootnoteReference"/>
          <w:rFonts w:ascii="Times New Roman" w:hAnsi="Times New Roman"/>
          <w:sz w:val="20"/>
        </w:rPr>
        <w:footnoteRef/>
      </w:r>
      <w:r w:rsidRPr="00EF570E">
        <w:rPr>
          <w:rFonts w:ascii="Times New Roman" w:hAnsi="Times New Roman"/>
          <w:sz w:val="20"/>
        </w:rPr>
        <w:t xml:space="preserve"> </w:t>
      </w:r>
      <w:r w:rsidRPr="00EF570E" w:rsidR="00024DF1">
        <w:rPr>
          <w:rFonts w:ascii="Times New Roman" w:hAnsi="Times New Roman"/>
          <w:i/>
          <w:sz w:val="20"/>
        </w:rPr>
        <w:t xml:space="preserve"> </w:t>
      </w:r>
      <w:r w:rsidRPr="00EF570E" w:rsidR="00573227">
        <w:rPr>
          <w:rFonts w:ascii="Times New Roman" w:hAnsi="Times New Roman"/>
          <w:i/>
          <w:sz w:val="20"/>
        </w:rPr>
        <w:t>Spectrum Frontiers R&amp;O,</w:t>
      </w:r>
      <w:r w:rsidRPr="00EF570E" w:rsidR="00573227">
        <w:rPr>
          <w:rFonts w:ascii="Times New Roman" w:hAnsi="Times New Roman"/>
          <w:sz w:val="20"/>
        </w:rPr>
        <w:t xml:space="preserve"> 31 FCC Rcd </w:t>
      </w:r>
      <w:r w:rsidRPr="00EF570E" w:rsidR="00024DF1">
        <w:rPr>
          <w:rFonts w:ascii="Times New Roman" w:hAnsi="Times New Roman"/>
          <w:sz w:val="20"/>
        </w:rPr>
        <w:t xml:space="preserve">at 8055-56, para. 100.  </w:t>
      </w:r>
    </w:p>
  </w:footnote>
  <w:footnote w:id="15">
    <w:p w:rsidR="00495662" w:rsidRPr="00EF570E">
      <w:pPr>
        <w:pStyle w:val="FootnoteText"/>
        <w:rPr>
          <w:rFonts w:ascii="Times New Roman" w:hAnsi="Times New Roman"/>
          <w:sz w:val="20"/>
        </w:rPr>
      </w:pPr>
      <w:r w:rsidRPr="00EF570E">
        <w:rPr>
          <w:rStyle w:val="FootnoteReference"/>
          <w:rFonts w:ascii="Times New Roman" w:hAnsi="Times New Roman"/>
        </w:rPr>
        <w:footnoteRef/>
      </w:r>
      <w:r w:rsidRPr="00EF570E">
        <w:rPr>
          <w:rFonts w:ascii="Times New Roman" w:hAnsi="Times New Roman"/>
        </w:rPr>
        <w:t xml:space="preserve"> </w:t>
      </w:r>
      <w:r w:rsidRPr="00EF570E" w:rsidR="00732C19">
        <w:rPr>
          <w:rFonts w:ascii="Times New Roman" w:hAnsi="Times New Roman"/>
          <w:sz w:val="20"/>
        </w:rPr>
        <w:t>An</w:t>
      </w:r>
      <w:r w:rsidRPr="00EF570E">
        <w:rPr>
          <w:rFonts w:ascii="Times New Roman" w:hAnsi="Times New Roman"/>
          <w:sz w:val="20"/>
        </w:rPr>
        <w:t xml:space="preserve"> </w:t>
      </w:r>
      <w:r w:rsidRPr="00EF570E" w:rsidR="00732C19">
        <w:rPr>
          <w:rFonts w:ascii="Times New Roman" w:hAnsi="Times New Roman"/>
          <w:sz w:val="20"/>
        </w:rPr>
        <w:t>“</w:t>
      </w:r>
      <w:r w:rsidRPr="00EF570E">
        <w:rPr>
          <w:rFonts w:ascii="Times New Roman" w:hAnsi="Times New Roman"/>
          <w:sz w:val="20"/>
        </w:rPr>
        <w:t>even 100 megahertz block</w:t>
      </w:r>
      <w:r w:rsidRPr="00EF570E" w:rsidR="00732C19">
        <w:rPr>
          <w:rFonts w:ascii="Times New Roman" w:hAnsi="Times New Roman"/>
          <w:sz w:val="20"/>
        </w:rPr>
        <w:t>”</w:t>
      </w:r>
      <w:r w:rsidRPr="00EF570E">
        <w:rPr>
          <w:rFonts w:ascii="Times New Roman" w:hAnsi="Times New Roman"/>
          <w:sz w:val="20"/>
        </w:rPr>
        <w:t xml:space="preserve"> </w:t>
      </w:r>
      <w:r w:rsidRPr="00EF570E" w:rsidR="00584135">
        <w:rPr>
          <w:rFonts w:ascii="Times New Roman" w:hAnsi="Times New Roman"/>
          <w:sz w:val="20"/>
        </w:rPr>
        <w:t>is one that sits</w:t>
      </w:r>
      <w:r w:rsidRPr="00EF570E" w:rsidR="00732C19">
        <w:rPr>
          <w:rFonts w:ascii="Times New Roman" w:hAnsi="Times New Roman"/>
          <w:sz w:val="20"/>
        </w:rPr>
        <w:t xml:space="preserve"> </w:t>
      </w:r>
      <w:r w:rsidRPr="00EF570E">
        <w:rPr>
          <w:rFonts w:ascii="Times New Roman" w:hAnsi="Times New Roman"/>
          <w:sz w:val="20"/>
        </w:rPr>
        <w:t xml:space="preserve">at either edge of the 200 megahertz channels </w:t>
      </w:r>
      <w:r w:rsidRPr="00EF570E" w:rsidR="00584135">
        <w:rPr>
          <w:rFonts w:ascii="Times New Roman" w:hAnsi="Times New Roman"/>
          <w:sz w:val="20"/>
        </w:rPr>
        <w:t>in the band plan adopted</w:t>
      </w:r>
      <w:r w:rsidRPr="00EF570E">
        <w:rPr>
          <w:rFonts w:ascii="Times New Roman" w:hAnsi="Times New Roman"/>
          <w:sz w:val="20"/>
        </w:rPr>
        <w:t xml:space="preserve"> in the </w:t>
      </w:r>
      <w:r w:rsidRPr="00EF570E">
        <w:rPr>
          <w:rFonts w:ascii="Times New Roman" w:hAnsi="Times New Roman"/>
          <w:i/>
          <w:sz w:val="20"/>
        </w:rPr>
        <w:t>Spectrum Frontiers R&amp;O.</w:t>
      </w:r>
      <w:r w:rsidRPr="00EF570E">
        <w:rPr>
          <w:rFonts w:ascii="Times New Roman" w:hAnsi="Times New Roman"/>
          <w:sz w:val="20"/>
        </w:rPr>
        <w:t xml:space="preserve">  </w:t>
      </w:r>
      <w:r w:rsidRPr="00EF570E">
        <w:rPr>
          <w:rFonts w:ascii="Times New Roman" w:hAnsi="Times New Roman"/>
          <w:i/>
          <w:sz w:val="20"/>
        </w:rPr>
        <w:t>See</w:t>
      </w:r>
      <w:r w:rsidRPr="00EF570E">
        <w:rPr>
          <w:rFonts w:ascii="Times New Roman" w:hAnsi="Times New Roman"/>
          <w:sz w:val="20"/>
        </w:rPr>
        <w:t xml:space="preserve"> </w:t>
      </w:r>
      <w:r w:rsidRPr="00EF570E">
        <w:rPr>
          <w:rFonts w:ascii="Times New Roman" w:hAnsi="Times New Roman"/>
          <w:i/>
          <w:sz w:val="20"/>
        </w:rPr>
        <w:t>Spectrum Frontiers R&amp;O</w:t>
      </w:r>
      <w:r w:rsidRPr="00EF570E">
        <w:rPr>
          <w:rFonts w:ascii="Times New Roman" w:hAnsi="Times New Roman"/>
          <w:sz w:val="20"/>
        </w:rPr>
        <w:t xml:space="preserve">, 31 FCC Rcd at 8053, para. 95; 47 CFR § 30.4. </w:t>
      </w:r>
      <w:r w:rsidRPr="00EF570E" w:rsidR="00BA125A">
        <w:rPr>
          <w:rFonts w:ascii="Times New Roman" w:hAnsi="Times New Roman"/>
          <w:sz w:val="20"/>
        </w:rPr>
        <w:t xml:space="preserve"> </w:t>
      </w:r>
      <w:r w:rsidRPr="00EF570E">
        <w:rPr>
          <w:rFonts w:ascii="Times New Roman" w:hAnsi="Times New Roman"/>
          <w:sz w:val="20"/>
        </w:rPr>
        <w:t xml:space="preserve">For example, the first channel in the 39 GHz band plan is 38.6-38.8 GHz, </w:t>
      </w:r>
      <w:r w:rsidRPr="00EF570E" w:rsidR="00BA125A">
        <w:rPr>
          <w:rFonts w:ascii="Times New Roman" w:hAnsi="Times New Roman"/>
          <w:sz w:val="20"/>
        </w:rPr>
        <w:t xml:space="preserve">and </w:t>
      </w:r>
      <w:r w:rsidRPr="00EF570E">
        <w:rPr>
          <w:rFonts w:ascii="Times New Roman" w:hAnsi="Times New Roman"/>
          <w:sz w:val="20"/>
        </w:rPr>
        <w:t>the</w:t>
      </w:r>
      <w:r w:rsidRPr="00EF570E">
        <w:rPr>
          <w:rFonts w:ascii="Times New Roman" w:hAnsi="Times New Roman"/>
          <w:sz w:val="20"/>
        </w:rPr>
        <w:t xml:space="preserve"> even 100 megahertz </w:t>
      </w:r>
      <w:r w:rsidRPr="00EF570E" w:rsidR="00BA125A">
        <w:rPr>
          <w:rFonts w:ascii="Times New Roman" w:hAnsi="Times New Roman"/>
          <w:sz w:val="20"/>
        </w:rPr>
        <w:t>blocks</w:t>
      </w:r>
      <w:r w:rsidRPr="00EF570E">
        <w:rPr>
          <w:rFonts w:ascii="Times New Roman" w:hAnsi="Times New Roman"/>
          <w:sz w:val="20"/>
        </w:rPr>
        <w:t xml:space="preserve"> </w:t>
      </w:r>
      <w:r w:rsidRPr="00EF570E" w:rsidR="00BA125A">
        <w:rPr>
          <w:rFonts w:ascii="Times New Roman" w:hAnsi="Times New Roman"/>
          <w:sz w:val="20"/>
        </w:rPr>
        <w:t xml:space="preserve">within that channel </w:t>
      </w:r>
      <w:r w:rsidRPr="00EF570E">
        <w:rPr>
          <w:rFonts w:ascii="Times New Roman" w:hAnsi="Times New Roman"/>
          <w:sz w:val="20"/>
        </w:rPr>
        <w:t>are 38.6-38.7 GHz and 38.7-38.8 GHz</w:t>
      </w:r>
      <w:r w:rsidRPr="00EF570E" w:rsidR="001F4CCA">
        <w:rPr>
          <w:rFonts w:ascii="Times New Roman" w:hAnsi="Times New Roman"/>
          <w:sz w:val="20"/>
        </w:rPr>
        <w:t>.  In</w:t>
      </w:r>
      <w:r w:rsidRPr="00EF570E" w:rsidR="00BA125A">
        <w:rPr>
          <w:rFonts w:ascii="Times New Roman" w:hAnsi="Times New Roman"/>
          <w:sz w:val="20"/>
        </w:rPr>
        <w:t xml:space="preserve"> contrast, 38.65-38.75 </w:t>
      </w:r>
      <w:r w:rsidRPr="00EF570E" w:rsidR="00B36BCB">
        <w:rPr>
          <w:rFonts w:ascii="Times New Roman" w:hAnsi="Times New Roman"/>
          <w:sz w:val="20"/>
        </w:rPr>
        <w:t xml:space="preserve">GHz </w:t>
      </w:r>
      <w:r w:rsidRPr="00EF570E" w:rsidR="00BA125A">
        <w:rPr>
          <w:rFonts w:ascii="Times New Roman" w:hAnsi="Times New Roman"/>
          <w:sz w:val="20"/>
        </w:rPr>
        <w:t>is not an even 100 megahertz block, and therefore</w:t>
      </w:r>
      <w:r w:rsidRPr="00EF570E" w:rsidR="001F4CCA">
        <w:rPr>
          <w:rFonts w:ascii="Times New Roman" w:hAnsi="Times New Roman"/>
          <w:sz w:val="20"/>
        </w:rPr>
        <w:t>, when evaluating the contiguity of blocks</w:t>
      </w:r>
      <w:r w:rsidRPr="00EF570E" w:rsidR="00732C19">
        <w:rPr>
          <w:rFonts w:ascii="Times New Roman" w:hAnsi="Times New Roman"/>
          <w:sz w:val="20"/>
        </w:rPr>
        <w:t xml:space="preserve"> to fill a </w:t>
      </w:r>
      <w:r w:rsidRPr="00EF570E" w:rsidR="00732C19">
        <w:rPr>
          <w:rFonts w:ascii="Times New Roman" w:hAnsi="Times New Roman"/>
          <w:sz w:val="20"/>
        </w:rPr>
        <w:t>100 megahertz</w:t>
      </w:r>
      <w:r w:rsidRPr="00EF570E" w:rsidR="00732C19">
        <w:rPr>
          <w:rFonts w:ascii="Times New Roman" w:hAnsi="Times New Roman"/>
          <w:sz w:val="20"/>
        </w:rPr>
        <w:t xml:space="preserve"> channel</w:t>
      </w:r>
      <w:r w:rsidRPr="00EF570E" w:rsidR="001F4CCA">
        <w:rPr>
          <w:rFonts w:ascii="Times New Roman" w:hAnsi="Times New Roman"/>
          <w:sz w:val="20"/>
        </w:rPr>
        <w:t xml:space="preserve">, </w:t>
      </w:r>
      <w:r w:rsidRPr="00EF570E" w:rsidR="00BA125A">
        <w:rPr>
          <w:rFonts w:ascii="Times New Roman" w:hAnsi="Times New Roman"/>
          <w:sz w:val="20"/>
        </w:rPr>
        <w:t>the 38.65-38.7 GHz and 38.7-38.75 GHz blocks are not considered contiguous.</w:t>
      </w:r>
      <w:r w:rsidRPr="00EF570E">
        <w:rPr>
          <w:rFonts w:ascii="Times New Roman" w:hAnsi="Times New Roman"/>
          <w:sz w:val="20"/>
        </w:rPr>
        <w:t xml:space="preserve">  </w:t>
      </w:r>
    </w:p>
  </w:footnote>
  <w:footnote w:id="16">
    <w:p w:rsidR="00460AD4" w:rsidRPr="00EF570E">
      <w:pPr>
        <w:pStyle w:val="FootnoteText"/>
        <w:rPr>
          <w:rFonts w:ascii="Times New Roman" w:hAnsi="Times New Roman"/>
          <w:sz w:val="20"/>
        </w:rPr>
      </w:pPr>
      <w:r w:rsidRPr="00EF570E">
        <w:rPr>
          <w:rStyle w:val="FootnoteReference"/>
          <w:rFonts w:ascii="Times New Roman" w:hAnsi="Times New Roman"/>
          <w:sz w:val="20"/>
        </w:rPr>
        <w:footnoteRef/>
      </w:r>
      <w:r w:rsidRPr="00EF570E">
        <w:rPr>
          <w:rFonts w:ascii="Times New Roman" w:hAnsi="Times New Roman"/>
          <w:sz w:val="20"/>
        </w:rPr>
        <w:t xml:space="preserve"> In other words, the 39.05-39.10 GHz block standing alone is contiguous with the 39.00-39.05 GHz block but not the 39.10-39.15 GHz block.  The 39.00-39.10 GHz block </w:t>
      </w:r>
      <w:r w:rsidRPr="00EF570E">
        <w:rPr>
          <w:rFonts w:ascii="Times New Roman" w:hAnsi="Times New Roman"/>
          <w:sz w:val="20"/>
        </w:rPr>
        <w:t>as a whole is</w:t>
      </w:r>
      <w:r w:rsidRPr="00EF570E">
        <w:rPr>
          <w:rFonts w:ascii="Times New Roman" w:hAnsi="Times New Roman"/>
          <w:sz w:val="20"/>
        </w:rPr>
        <w:t xml:space="preserve"> contiguous wi</w:t>
      </w:r>
      <w:r w:rsidRPr="00EF570E">
        <w:rPr>
          <w:rFonts w:ascii="Times New Roman" w:hAnsi="Times New Roman"/>
          <w:sz w:val="20"/>
        </w:rPr>
        <w:t xml:space="preserve">th the 39.10-39.20 GHz block but not the 38.90-39.00 GHz block.  The 39.00-39.20 GHz block </w:t>
      </w:r>
      <w:r w:rsidRPr="00EF570E" w:rsidR="001B7D3A">
        <w:rPr>
          <w:rFonts w:ascii="Times New Roman" w:hAnsi="Times New Roman"/>
          <w:sz w:val="20"/>
        </w:rPr>
        <w:t xml:space="preserve">as a whole </w:t>
      </w:r>
      <w:r w:rsidRPr="00EF570E">
        <w:rPr>
          <w:rFonts w:ascii="Times New Roman" w:hAnsi="Times New Roman"/>
          <w:sz w:val="20"/>
        </w:rPr>
        <w:t>is</w:t>
      </w:r>
      <w:r w:rsidRPr="00EF570E">
        <w:rPr>
          <w:rFonts w:ascii="Times New Roman" w:hAnsi="Times New Roman"/>
          <w:sz w:val="20"/>
        </w:rPr>
        <w:t xml:space="preserve"> contig</w:t>
      </w:r>
      <w:r w:rsidRPr="00EF570E" w:rsidR="00605CB4">
        <w:rPr>
          <w:rFonts w:ascii="Times New Roman" w:hAnsi="Times New Roman"/>
          <w:sz w:val="20"/>
        </w:rPr>
        <w:t>u</w:t>
      </w:r>
      <w:r w:rsidRPr="00EF570E">
        <w:rPr>
          <w:rFonts w:ascii="Times New Roman" w:hAnsi="Times New Roman"/>
          <w:sz w:val="20"/>
        </w:rPr>
        <w:t>ous with both the 38.80-39.00 GHz block and the 39.20-39.40 GHz block.</w:t>
      </w:r>
    </w:p>
  </w:footnote>
  <w:footnote w:id="17">
    <w:p w:rsidR="00BA125A" w:rsidRPr="00EF570E" w:rsidP="00BA125A">
      <w:pPr>
        <w:pStyle w:val="FootnoteText"/>
        <w:rPr>
          <w:rFonts w:ascii="Times New Roman" w:hAnsi="Times New Roman"/>
        </w:rPr>
      </w:pPr>
      <w:r w:rsidRPr="00EF570E">
        <w:rPr>
          <w:rStyle w:val="FootnoteReference"/>
          <w:rFonts w:ascii="Times New Roman" w:hAnsi="Times New Roman"/>
          <w:sz w:val="20"/>
        </w:rPr>
        <w:footnoteRef/>
      </w:r>
      <w:r w:rsidRPr="00EF570E">
        <w:rPr>
          <w:rFonts w:ascii="Times New Roman" w:hAnsi="Times New Roman"/>
          <w:sz w:val="20"/>
        </w:rPr>
        <w:t xml:space="preserve"> In other words, the 39.05-39.10 GHz block is contiguous with the 39.10-</w:t>
      </w:r>
      <w:r w:rsidRPr="00EF570E">
        <w:rPr>
          <w:rFonts w:ascii="Times New Roman" w:hAnsi="Times New Roman"/>
          <w:sz w:val="20"/>
        </w:rPr>
        <w:t>39.</w:t>
      </w:r>
      <w:r w:rsidRPr="00EF570E" w:rsidR="00732C19">
        <w:rPr>
          <w:rFonts w:ascii="Times New Roman" w:hAnsi="Times New Roman"/>
          <w:sz w:val="20"/>
        </w:rPr>
        <w:t xml:space="preserve">20 </w:t>
      </w:r>
      <w:r w:rsidRPr="00EF570E">
        <w:rPr>
          <w:rFonts w:ascii="Times New Roman" w:hAnsi="Times New Roman"/>
          <w:sz w:val="20"/>
        </w:rPr>
        <w:t xml:space="preserve">GHz block if and only if the licensee of the 39.05-39.10 GHz block also </w:t>
      </w:r>
      <w:r w:rsidRPr="00EF570E" w:rsidR="005530A6">
        <w:rPr>
          <w:rFonts w:ascii="Times New Roman" w:hAnsi="Times New Roman"/>
          <w:sz w:val="20"/>
        </w:rPr>
        <w:t xml:space="preserve">holds a license </w:t>
      </w:r>
      <w:r w:rsidRPr="00EF570E">
        <w:rPr>
          <w:rFonts w:ascii="Times New Roman" w:hAnsi="Times New Roman"/>
          <w:sz w:val="20"/>
        </w:rPr>
        <w:t>or has applied for the 39.00-39.05 GHz block.</w:t>
      </w:r>
    </w:p>
  </w:footnote>
  <w:footnote w:id="18">
    <w:p w:rsidR="00460AD4" w:rsidRPr="00EF570E" w:rsidP="00BC32FF">
      <w:pPr>
        <w:pStyle w:val="FootnoteText"/>
        <w:rPr>
          <w:rFonts w:ascii="Times New Roman" w:hAnsi="Times New Roman"/>
          <w:sz w:val="20"/>
        </w:rPr>
      </w:pPr>
      <w:r w:rsidRPr="00EF570E">
        <w:rPr>
          <w:rStyle w:val="FootnoteReference"/>
          <w:rFonts w:ascii="Times New Roman" w:hAnsi="Times New Roman"/>
          <w:sz w:val="20"/>
        </w:rPr>
        <w:footnoteRef/>
      </w:r>
      <w:r w:rsidRPr="00EF570E">
        <w:rPr>
          <w:rFonts w:ascii="Times New Roman" w:hAnsi="Times New Roman"/>
          <w:sz w:val="20"/>
        </w:rPr>
        <w:t xml:space="preserve"> </w:t>
      </w:r>
      <w:bookmarkStart w:id="3" w:name="_Hlk516210785"/>
      <w:r w:rsidRPr="00EF570E">
        <w:rPr>
          <w:rFonts w:ascii="Times New Roman" w:hAnsi="Times New Roman"/>
          <w:i/>
          <w:sz w:val="20"/>
        </w:rPr>
        <w:t>Spectrum Frontiers R&amp;O</w:t>
      </w:r>
      <w:r w:rsidRPr="00EF570E">
        <w:rPr>
          <w:rFonts w:ascii="Times New Roman" w:hAnsi="Times New Roman"/>
          <w:sz w:val="20"/>
        </w:rPr>
        <w:t xml:space="preserve">, 31 FCC Rcd at 8053-56, paras. 97-100.  </w:t>
      </w:r>
      <w:bookmarkEnd w:id="3"/>
    </w:p>
  </w:footnote>
  <w:footnote w:id="19">
    <w:p w:rsidR="00460AD4" w:rsidRPr="00EF570E" w:rsidP="00BC32FF">
      <w:pPr>
        <w:pStyle w:val="FootnoteText"/>
        <w:rPr>
          <w:rFonts w:ascii="Times New Roman" w:hAnsi="Times New Roman"/>
          <w:sz w:val="20"/>
        </w:rPr>
      </w:pPr>
      <w:r w:rsidRPr="00EF570E">
        <w:rPr>
          <w:rStyle w:val="FootnoteReference"/>
          <w:rFonts w:ascii="Times New Roman" w:hAnsi="Times New Roman"/>
          <w:sz w:val="20"/>
        </w:rPr>
        <w:footnoteRef/>
      </w:r>
      <w:r w:rsidRPr="00EF570E">
        <w:rPr>
          <w:rFonts w:ascii="Times New Roman" w:hAnsi="Times New Roman"/>
          <w:sz w:val="20"/>
        </w:rPr>
        <w:t xml:space="preserve"> We note that in a separate context—adopting a ba</w:t>
      </w:r>
      <w:r w:rsidRPr="00EF570E">
        <w:rPr>
          <w:rFonts w:ascii="Times New Roman" w:hAnsi="Times New Roman"/>
          <w:sz w:val="20"/>
        </w:rPr>
        <w:t xml:space="preserve">nd plan with 100 megahertz channels in the 24 GHz Band for the Upper Microwave Flexible Use Service (UMFUS)—the Commission recognized that 100 megahertz channels are consistent with developing industry standards.  </w:t>
      </w:r>
      <w:r w:rsidRPr="00EF570E">
        <w:rPr>
          <w:rFonts w:ascii="Times New Roman" w:hAnsi="Times New Roman"/>
          <w:i/>
          <w:sz w:val="20"/>
        </w:rPr>
        <w:t>See Use of Spectrum Bands Above 24 GHz For</w:t>
      </w:r>
      <w:r w:rsidRPr="00EF570E">
        <w:rPr>
          <w:rFonts w:ascii="Times New Roman" w:hAnsi="Times New Roman"/>
          <w:i/>
          <w:sz w:val="20"/>
        </w:rPr>
        <w:t xml:space="preserve"> Mobile Radio Services, et al., Second Report and Order, Second Further Notice of Proposed Rulemaking</w:t>
      </w:r>
      <w:r w:rsidRPr="00EF570E">
        <w:rPr>
          <w:rFonts w:ascii="Times New Roman" w:hAnsi="Times New Roman"/>
          <w:sz w:val="20"/>
        </w:rPr>
        <w:t>, Order on Reconsideration, and Memorandum Opinion and Order, 32 FCC Rcd 10988, 11000, paras. 34-35 (2017).</w:t>
      </w:r>
    </w:p>
  </w:footnote>
  <w:footnote w:id="20">
    <w:p w:rsidR="00460AD4" w:rsidRPr="00EF570E" w:rsidP="00BC32FF">
      <w:pPr>
        <w:pStyle w:val="FootnoteText"/>
        <w:rPr>
          <w:rFonts w:ascii="Times New Roman" w:hAnsi="Times New Roman"/>
          <w:sz w:val="20"/>
        </w:rPr>
      </w:pPr>
      <w:r w:rsidRPr="00EF570E">
        <w:rPr>
          <w:rStyle w:val="FootnoteReference"/>
          <w:rFonts w:ascii="Times New Roman" w:hAnsi="Times New Roman"/>
          <w:sz w:val="20"/>
        </w:rPr>
        <w:footnoteRef/>
      </w:r>
      <w:r w:rsidRPr="00EF570E">
        <w:rPr>
          <w:rFonts w:ascii="Times New Roman" w:hAnsi="Times New Roman"/>
          <w:sz w:val="20"/>
        </w:rPr>
        <w:t xml:space="preserve"> </w:t>
      </w:r>
      <w:r w:rsidRPr="00EF570E">
        <w:rPr>
          <w:rFonts w:ascii="Times New Roman" w:hAnsi="Times New Roman"/>
          <w:i/>
          <w:sz w:val="20"/>
        </w:rPr>
        <w:t xml:space="preserve">See Spectrum Frontiers R&amp;O, </w:t>
      </w:r>
      <w:r w:rsidRPr="00EF570E">
        <w:rPr>
          <w:rFonts w:ascii="Times New Roman" w:hAnsi="Times New Roman"/>
          <w:sz w:val="20"/>
        </w:rPr>
        <w:t>31 FCC Rcd at 805</w:t>
      </w:r>
      <w:r w:rsidRPr="00EF570E">
        <w:rPr>
          <w:rFonts w:ascii="Times New Roman" w:hAnsi="Times New Roman"/>
          <w:sz w:val="20"/>
        </w:rPr>
        <w:t xml:space="preserve">2-53, paras. 94-96.  </w:t>
      </w:r>
    </w:p>
  </w:footnote>
  <w:footnote w:id="21">
    <w:p w:rsidR="00460AD4" w:rsidRPr="00EF570E" w:rsidP="000060E9">
      <w:pPr>
        <w:pStyle w:val="FootnoteText"/>
        <w:rPr>
          <w:rFonts w:ascii="Times New Roman" w:hAnsi="Times New Roman"/>
          <w:sz w:val="20"/>
        </w:rPr>
      </w:pPr>
      <w:r w:rsidRPr="00EF570E">
        <w:rPr>
          <w:rStyle w:val="FootnoteReference"/>
          <w:rFonts w:ascii="Times New Roman" w:hAnsi="Times New Roman"/>
          <w:sz w:val="20"/>
        </w:rPr>
        <w:footnoteRef/>
      </w:r>
      <w:r w:rsidRPr="00EF570E">
        <w:rPr>
          <w:rFonts w:ascii="Times New Roman" w:hAnsi="Times New Roman"/>
          <w:sz w:val="20"/>
        </w:rPr>
        <w:t xml:space="preserve"> </w:t>
      </w:r>
      <w:r w:rsidRPr="00EF570E">
        <w:rPr>
          <w:rFonts w:ascii="Times New Roman" w:hAnsi="Times New Roman"/>
          <w:i/>
          <w:sz w:val="20"/>
        </w:rPr>
        <w:t>See</w:t>
      </w:r>
      <w:r w:rsidRPr="00EF570E">
        <w:rPr>
          <w:rFonts w:ascii="Times New Roman" w:hAnsi="Times New Roman"/>
          <w:sz w:val="20"/>
        </w:rPr>
        <w:t xml:space="preserve"> </w:t>
      </w:r>
      <w:r w:rsidRPr="00EF570E" w:rsidR="00F51D61">
        <w:rPr>
          <w:rFonts w:ascii="Times New Roman" w:hAnsi="Times New Roman"/>
          <w:i/>
          <w:sz w:val="20"/>
        </w:rPr>
        <w:t>id.</w:t>
      </w:r>
      <w:r w:rsidRPr="00EF570E">
        <w:rPr>
          <w:rFonts w:ascii="Times New Roman" w:hAnsi="Times New Roman"/>
          <w:sz w:val="20"/>
        </w:rPr>
        <w:t xml:space="preserve"> at 8054-55, para. 98.  </w:t>
      </w:r>
    </w:p>
  </w:footnote>
  <w:footnote w:id="22">
    <w:p w:rsidR="00460AD4" w:rsidRPr="00EF570E">
      <w:pPr>
        <w:pStyle w:val="FootnoteText"/>
        <w:rPr>
          <w:rFonts w:ascii="Times New Roman" w:hAnsi="Times New Roman"/>
          <w:sz w:val="20"/>
        </w:rPr>
      </w:pPr>
      <w:r w:rsidRPr="00EF570E">
        <w:rPr>
          <w:rStyle w:val="FootnoteReference"/>
          <w:rFonts w:ascii="Times New Roman" w:hAnsi="Times New Roman"/>
          <w:sz w:val="20"/>
        </w:rPr>
        <w:footnoteRef/>
      </w:r>
      <w:r w:rsidRPr="00EF570E">
        <w:rPr>
          <w:rFonts w:ascii="Times New Roman" w:hAnsi="Times New Roman"/>
          <w:sz w:val="20"/>
        </w:rPr>
        <w:t xml:space="preserve"> For example, licensee A holds the 39.00-39.05 GHz block and licensee B holds the 39.10-39.20 GHz block.  Licensee A could not request the 38.95-39.00 </w:t>
      </w:r>
      <w:r w:rsidRPr="00EF570E" w:rsidR="00F51D61">
        <w:rPr>
          <w:rFonts w:ascii="Times New Roman" w:hAnsi="Times New Roman"/>
          <w:sz w:val="20"/>
        </w:rPr>
        <w:t xml:space="preserve">GHz </w:t>
      </w:r>
      <w:r w:rsidRPr="00EF570E">
        <w:rPr>
          <w:rFonts w:ascii="Times New Roman" w:hAnsi="Times New Roman"/>
          <w:sz w:val="20"/>
        </w:rPr>
        <w:t xml:space="preserve">or 39.20-39.25 GHz blocks (because they </w:t>
      </w:r>
      <w:r w:rsidRPr="00EF570E">
        <w:rPr>
          <w:rFonts w:ascii="Times New Roman" w:hAnsi="Times New Roman"/>
          <w:sz w:val="20"/>
        </w:rPr>
        <w:t>would not be contiguous), but it could request the 39.05-39.10 GHz block (because it is contig</w:t>
      </w:r>
      <w:r w:rsidRPr="00EF570E" w:rsidR="00605CB4">
        <w:rPr>
          <w:rFonts w:ascii="Times New Roman" w:hAnsi="Times New Roman"/>
          <w:sz w:val="20"/>
        </w:rPr>
        <w:t>u</w:t>
      </w:r>
      <w:r w:rsidRPr="00EF570E">
        <w:rPr>
          <w:rFonts w:ascii="Times New Roman" w:hAnsi="Times New Roman"/>
          <w:sz w:val="20"/>
        </w:rPr>
        <w:t xml:space="preserve">ous and no other licensee can request </w:t>
      </w:r>
      <w:r w:rsidRPr="00EF570E" w:rsidR="00F51D61">
        <w:rPr>
          <w:rFonts w:ascii="Times New Roman" w:hAnsi="Times New Roman"/>
          <w:sz w:val="20"/>
        </w:rPr>
        <w:t xml:space="preserve">it </w:t>
      </w:r>
      <w:r w:rsidRPr="00EF570E">
        <w:rPr>
          <w:rFonts w:ascii="Times New Roman" w:hAnsi="Times New Roman"/>
          <w:sz w:val="20"/>
        </w:rPr>
        <w:t>at the lowest level of contiguity).  Licensee B could not request the 38.95-39.00</w:t>
      </w:r>
      <w:r w:rsidRPr="00EF570E" w:rsidR="00F51D61">
        <w:rPr>
          <w:rFonts w:ascii="Times New Roman" w:hAnsi="Times New Roman"/>
          <w:sz w:val="20"/>
        </w:rPr>
        <w:t xml:space="preserve"> GHz</w:t>
      </w:r>
      <w:r w:rsidRPr="00EF570E">
        <w:rPr>
          <w:rFonts w:ascii="Times New Roman" w:hAnsi="Times New Roman"/>
          <w:sz w:val="20"/>
        </w:rPr>
        <w:t xml:space="preserve"> or 39.20-39.25 GHz blocks (because</w:t>
      </w:r>
      <w:r w:rsidRPr="00EF570E">
        <w:rPr>
          <w:rFonts w:ascii="Times New Roman" w:hAnsi="Times New Roman"/>
          <w:sz w:val="20"/>
        </w:rPr>
        <w:t xml:space="preserve"> they would not be contiguous) and could not request the 39.05-39.10 GHz block (because licensee A could request that block at a lower level of contiguity).</w:t>
      </w:r>
    </w:p>
  </w:footnote>
  <w:footnote w:id="23">
    <w:p w:rsidR="00A17C05" w:rsidRPr="00EF570E" w:rsidP="00A17C05">
      <w:pPr>
        <w:pStyle w:val="FootnoteText"/>
        <w:rPr>
          <w:rFonts w:ascii="Times New Roman" w:hAnsi="Times New Roman"/>
        </w:rPr>
      </w:pPr>
      <w:r w:rsidRPr="00EF570E">
        <w:rPr>
          <w:rStyle w:val="FootnoteReference"/>
          <w:rFonts w:ascii="Times New Roman" w:hAnsi="Times New Roman"/>
          <w:sz w:val="20"/>
        </w:rPr>
        <w:footnoteRef/>
      </w:r>
      <w:r w:rsidRPr="00EF570E">
        <w:rPr>
          <w:rFonts w:ascii="Times New Roman" w:hAnsi="Times New Roman"/>
          <w:sz w:val="20"/>
        </w:rPr>
        <w:t xml:space="preserve"> </w:t>
      </w:r>
      <w:r w:rsidRPr="00EF570E">
        <w:rPr>
          <w:rFonts w:ascii="Times New Roman" w:hAnsi="Times New Roman"/>
          <w:sz w:val="20"/>
        </w:rPr>
        <w:t>In order to</w:t>
      </w:r>
      <w:r w:rsidRPr="00EF570E">
        <w:rPr>
          <w:rFonts w:ascii="Times New Roman" w:hAnsi="Times New Roman"/>
          <w:sz w:val="20"/>
        </w:rPr>
        <w:t xml:space="preserve"> create 400 megahertz contiguous blocks, </w:t>
      </w:r>
      <w:r w:rsidRPr="00EF570E" w:rsidR="004408C6">
        <w:rPr>
          <w:rFonts w:ascii="Times New Roman" w:hAnsi="Times New Roman"/>
          <w:sz w:val="20"/>
        </w:rPr>
        <w:t xml:space="preserve">a </w:t>
      </w:r>
      <w:r w:rsidRPr="00EF570E">
        <w:rPr>
          <w:rFonts w:ascii="Times New Roman" w:hAnsi="Times New Roman"/>
          <w:sz w:val="20"/>
        </w:rPr>
        <w:t xml:space="preserve">licensee would </w:t>
      </w:r>
      <w:r w:rsidRPr="00EF570E" w:rsidR="004408C6">
        <w:rPr>
          <w:rFonts w:ascii="Times New Roman" w:hAnsi="Times New Roman"/>
          <w:sz w:val="20"/>
        </w:rPr>
        <w:t>need to hold</w:t>
      </w:r>
      <w:r w:rsidRPr="00EF570E">
        <w:rPr>
          <w:rFonts w:ascii="Times New Roman" w:hAnsi="Times New Roman"/>
          <w:sz w:val="20"/>
        </w:rPr>
        <w:t xml:space="preserve"> two separate 20</w:t>
      </w:r>
      <w:r w:rsidRPr="00EF570E">
        <w:rPr>
          <w:rFonts w:ascii="Times New Roman" w:hAnsi="Times New Roman"/>
          <w:sz w:val="20"/>
        </w:rPr>
        <w:t>0 megahertz licenses adjacent to one another.</w:t>
      </w:r>
      <w:r w:rsidRPr="00EF570E">
        <w:rPr>
          <w:rFonts w:ascii="Times New Roman" w:hAnsi="Times New Roman"/>
        </w:rPr>
        <w:t xml:space="preserve">  </w:t>
      </w:r>
    </w:p>
  </w:footnote>
  <w:footnote w:id="24">
    <w:p w:rsidR="005530A6" w:rsidRPr="00EF570E" w:rsidP="005530A6">
      <w:pPr>
        <w:pStyle w:val="FootnoteText"/>
        <w:rPr>
          <w:rFonts w:ascii="Times New Roman" w:hAnsi="Times New Roman"/>
        </w:rPr>
      </w:pPr>
      <w:r w:rsidRPr="00EF570E">
        <w:rPr>
          <w:rStyle w:val="FootnoteReference"/>
          <w:rFonts w:ascii="Times New Roman" w:hAnsi="Times New Roman"/>
        </w:rPr>
        <w:footnoteRef/>
      </w:r>
      <w:r w:rsidRPr="00EF570E">
        <w:rPr>
          <w:rFonts w:ascii="Times New Roman" w:hAnsi="Times New Roman"/>
        </w:rPr>
        <w:t xml:space="preserve"> </w:t>
      </w:r>
      <w:r w:rsidRPr="00EF570E">
        <w:rPr>
          <w:rFonts w:ascii="Times New Roman" w:hAnsi="Times New Roman"/>
          <w:i/>
          <w:sz w:val="20"/>
        </w:rPr>
        <w:t>See</w:t>
      </w:r>
      <w:r w:rsidRPr="00EF570E">
        <w:rPr>
          <w:rFonts w:ascii="Times New Roman" w:hAnsi="Times New Roman"/>
        </w:rPr>
        <w:t xml:space="preserve"> </w:t>
      </w:r>
      <w:r w:rsidRPr="00EF570E">
        <w:rPr>
          <w:rFonts w:ascii="Times New Roman" w:hAnsi="Times New Roman"/>
          <w:i/>
          <w:sz w:val="20"/>
        </w:rPr>
        <w:t>Spectrum Frontiers R&amp;O</w:t>
      </w:r>
      <w:r w:rsidRPr="00EF570E">
        <w:rPr>
          <w:rFonts w:ascii="Times New Roman" w:hAnsi="Times New Roman"/>
          <w:sz w:val="20"/>
        </w:rPr>
        <w:t xml:space="preserve">, 31 FCC Rcd at 8055, para. 99.  </w:t>
      </w:r>
    </w:p>
  </w:footnote>
  <w:footnote w:id="25">
    <w:p w:rsidR="00460AD4" w:rsidRPr="00EF570E">
      <w:pPr>
        <w:pStyle w:val="FootnoteText"/>
        <w:rPr>
          <w:rFonts w:ascii="Times New Roman" w:hAnsi="Times New Roman"/>
          <w:sz w:val="20"/>
        </w:rPr>
      </w:pPr>
      <w:r w:rsidRPr="00EF570E">
        <w:rPr>
          <w:rStyle w:val="FootnoteReference"/>
          <w:rFonts w:ascii="Times New Roman" w:hAnsi="Times New Roman"/>
          <w:sz w:val="20"/>
        </w:rPr>
        <w:footnoteRef/>
      </w:r>
      <w:r w:rsidRPr="00EF570E">
        <w:rPr>
          <w:rFonts w:ascii="Times New Roman" w:hAnsi="Times New Roman"/>
          <w:sz w:val="20"/>
        </w:rPr>
        <w:t xml:space="preserve"> </w:t>
      </w:r>
      <w:r w:rsidRPr="00EF570E" w:rsidR="00D632CA">
        <w:rPr>
          <w:rFonts w:ascii="Times New Roman" w:hAnsi="Times New Roman"/>
          <w:i/>
          <w:sz w:val="20"/>
        </w:rPr>
        <w:t>Spectrum Frontiers R&amp;O</w:t>
      </w:r>
      <w:r w:rsidRPr="00EF570E" w:rsidR="00D632CA">
        <w:rPr>
          <w:rFonts w:ascii="Times New Roman" w:hAnsi="Times New Roman"/>
          <w:sz w:val="20"/>
        </w:rPr>
        <w:t xml:space="preserve">, 31 FCC Rcd at 8055, para. 99.  </w:t>
      </w:r>
    </w:p>
  </w:footnote>
  <w:footnote w:id="26">
    <w:p w:rsidR="00460AD4" w:rsidRPr="00EF570E" w:rsidP="00BC32FF">
      <w:pPr>
        <w:pStyle w:val="FootnoteText"/>
        <w:rPr>
          <w:rFonts w:ascii="Times New Roman" w:hAnsi="Times New Roman"/>
          <w:sz w:val="20"/>
        </w:rPr>
      </w:pPr>
      <w:r w:rsidRPr="00EF570E">
        <w:rPr>
          <w:rStyle w:val="FootnoteReference"/>
          <w:rFonts w:ascii="Times New Roman" w:hAnsi="Times New Roman"/>
          <w:sz w:val="20"/>
        </w:rPr>
        <w:footnoteRef/>
      </w:r>
      <w:r w:rsidRPr="00EF570E">
        <w:rPr>
          <w:rFonts w:ascii="Times New Roman" w:hAnsi="Times New Roman"/>
          <w:sz w:val="20"/>
        </w:rPr>
        <w:t xml:space="preserve"> </w:t>
      </w:r>
      <w:bookmarkStart w:id="6" w:name="_Hlk515009388"/>
      <w:r w:rsidRPr="00EF570E" w:rsidR="00D632CA">
        <w:rPr>
          <w:rFonts w:ascii="Times New Roman" w:hAnsi="Times New Roman"/>
          <w:i/>
          <w:sz w:val="20"/>
        </w:rPr>
        <w:t>Id</w:t>
      </w:r>
      <w:r w:rsidRPr="00EF570E">
        <w:rPr>
          <w:rFonts w:ascii="Times New Roman" w:hAnsi="Times New Roman"/>
          <w:sz w:val="20"/>
        </w:rPr>
        <w:t xml:space="preserve">.  </w:t>
      </w:r>
      <w:bookmarkEnd w:id="6"/>
    </w:p>
  </w:footnote>
  <w:footnote w:id="27">
    <w:p w:rsidR="00460AD4" w:rsidRPr="00EF570E" w:rsidP="002D64D4">
      <w:pPr>
        <w:pStyle w:val="FootnoteText"/>
        <w:rPr>
          <w:rFonts w:ascii="Times New Roman" w:hAnsi="Times New Roman"/>
          <w:sz w:val="20"/>
        </w:rPr>
      </w:pPr>
      <w:r w:rsidRPr="00EF570E">
        <w:rPr>
          <w:rStyle w:val="FootnoteReference"/>
          <w:rFonts w:ascii="Times New Roman" w:hAnsi="Times New Roman"/>
          <w:sz w:val="20"/>
        </w:rPr>
        <w:footnoteRef/>
      </w:r>
      <w:r w:rsidRPr="00EF570E">
        <w:rPr>
          <w:rFonts w:ascii="Times New Roman" w:hAnsi="Times New Roman"/>
          <w:sz w:val="20"/>
        </w:rPr>
        <w:t xml:space="preserve"> Licensees should measure encumbrances by MHz-pops.  </w:t>
      </w:r>
      <w:r w:rsidRPr="00EF570E" w:rsidR="00584135">
        <w:rPr>
          <w:rFonts w:ascii="Times New Roman" w:hAnsi="Times New Roman"/>
          <w:i/>
          <w:sz w:val="20"/>
        </w:rPr>
        <w:t>See</w:t>
      </w:r>
      <w:r w:rsidRPr="00EF570E" w:rsidR="00584135">
        <w:rPr>
          <w:rFonts w:ascii="Times New Roman" w:hAnsi="Times New Roman"/>
          <w:sz w:val="20"/>
        </w:rPr>
        <w:t xml:space="preserve"> </w:t>
      </w:r>
      <w:r w:rsidRPr="00EF570E" w:rsidR="00584135">
        <w:rPr>
          <w:rFonts w:ascii="Times New Roman" w:hAnsi="Times New Roman"/>
          <w:i/>
          <w:sz w:val="20"/>
        </w:rPr>
        <w:t>Spectrum Frontiers R&amp;O</w:t>
      </w:r>
      <w:r w:rsidRPr="00EF570E" w:rsidR="00584135">
        <w:rPr>
          <w:rFonts w:ascii="Times New Roman" w:hAnsi="Times New Roman"/>
          <w:sz w:val="20"/>
        </w:rPr>
        <w:t>, 31 FCC Rcd at 8055, para. 99 (</w:t>
      </w:r>
      <w:r w:rsidRPr="00EF570E" w:rsidR="00584135">
        <w:rPr>
          <w:rFonts w:ascii="Times New Roman" w:hAnsi="Times New Roman"/>
          <w:i/>
          <w:sz w:val="20"/>
        </w:rPr>
        <w:t>citing</w:t>
      </w:r>
      <w:r w:rsidRPr="00EF570E" w:rsidR="00584135">
        <w:rPr>
          <w:rFonts w:ascii="Times New Roman" w:hAnsi="Times New Roman"/>
          <w:sz w:val="20"/>
        </w:rPr>
        <w:t xml:space="preserve"> Letter from Davidi Jonas, CEO and President, Straight Path Communications, Inc., to Marlene H. Dortch, Secretary, FCC, GN Docket No. 14-177, at Attach. 1 at 3 (filed April 4, 2016</w:t>
      </w:r>
      <w:r w:rsidRPr="00EF570E" w:rsidR="00584135">
        <w:rPr>
          <w:rFonts w:ascii="Times New Roman" w:hAnsi="Times New Roman"/>
          <w:sz w:val="18"/>
        </w:rPr>
        <w:t>))</w:t>
      </w:r>
      <w:r w:rsidRPr="00EF570E" w:rsidR="00584135">
        <w:rPr>
          <w:rFonts w:ascii="Times New Roman" w:hAnsi="Times New Roman"/>
          <w:sz w:val="20"/>
        </w:rPr>
        <w:t xml:space="preserve">.  </w:t>
      </w:r>
      <w:r w:rsidRPr="00EF570E">
        <w:rPr>
          <w:rFonts w:ascii="Times New Roman" w:hAnsi="Times New Roman"/>
          <w:sz w:val="20"/>
        </w:rPr>
        <w:t>As part of any PEA licensee’s app</w:t>
      </w:r>
      <w:r w:rsidRPr="00EF570E">
        <w:rPr>
          <w:rFonts w:ascii="Times New Roman" w:hAnsi="Times New Roman"/>
          <w:sz w:val="20"/>
        </w:rPr>
        <w:t>lication to swap to a different block that is co-channel with (i.e., encumbered by) an RSA license(s), the PEA licensee must file with the Commission a statement of the population covered by the RSA license(s) to support its claim that in aggregate, the ne</w:t>
      </w:r>
      <w:r w:rsidRPr="00EF570E">
        <w:rPr>
          <w:rFonts w:ascii="Times New Roman" w:hAnsi="Times New Roman"/>
          <w:sz w:val="20"/>
        </w:rPr>
        <w:t>w PEA block(s) it is applying for results in a license that is equally or more encumbered than the original PEA block(s) it is giving up.</w:t>
      </w:r>
    </w:p>
  </w:footnote>
  <w:footnote w:id="28">
    <w:p w:rsidR="00460AD4" w:rsidRPr="00EF570E" w:rsidP="00BC32FF">
      <w:pPr>
        <w:pStyle w:val="FootnoteText"/>
        <w:rPr>
          <w:rFonts w:ascii="Times New Roman" w:hAnsi="Times New Roman"/>
          <w:sz w:val="20"/>
        </w:rPr>
      </w:pPr>
      <w:r w:rsidRPr="00EF570E">
        <w:rPr>
          <w:rStyle w:val="FootnoteReference"/>
          <w:rFonts w:ascii="Times New Roman" w:hAnsi="Times New Roman"/>
          <w:sz w:val="20"/>
        </w:rPr>
        <w:footnoteRef/>
      </w:r>
      <w:r w:rsidRPr="00EF570E" w:rsidR="008D4BD4">
        <w:rPr>
          <w:rFonts w:ascii="Times New Roman" w:hAnsi="Times New Roman"/>
          <w:sz w:val="20"/>
        </w:rPr>
        <w:t xml:space="preserve"> </w:t>
      </w:r>
      <w:r w:rsidRPr="00EF570E" w:rsidR="008D4BD4">
        <w:rPr>
          <w:rFonts w:ascii="Times New Roman" w:hAnsi="Times New Roman"/>
          <w:i/>
          <w:sz w:val="20"/>
        </w:rPr>
        <w:t xml:space="preserve">Spectrum Frontiers R&amp;O, </w:t>
      </w:r>
      <w:r w:rsidRPr="00EF570E" w:rsidR="008D4BD4">
        <w:rPr>
          <w:rFonts w:ascii="Times New Roman" w:hAnsi="Times New Roman"/>
          <w:sz w:val="20"/>
        </w:rPr>
        <w:t>31 FCC Rcd at 8055, para. 99.</w:t>
      </w:r>
    </w:p>
  </w:footnote>
  <w:footnote w:id="29">
    <w:p w:rsidR="00460AD4" w:rsidRPr="00EF570E" w:rsidP="00A50C5D">
      <w:pPr>
        <w:pStyle w:val="FootnoteText"/>
        <w:rPr>
          <w:rFonts w:ascii="Times New Roman" w:hAnsi="Times New Roman"/>
          <w:sz w:val="20"/>
        </w:rPr>
      </w:pPr>
      <w:r w:rsidRPr="00EF570E">
        <w:rPr>
          <w:rStyle w:val="FootnoteReference"/>
          <w:rFonts w:ascii="Times New Roman" w:hAnsi="Times New Roman"/>
          <w:sz w:val="20"/>
        </w:rPr>
        <w:footnoteRef/>
      </w:r>
      <w:r w:rsidRPr="00EF570E">
        <w:rPr>
          <w:rFonts w:ascii="Times New Roman" w:hAnsi="Times New Roman"/>
          <w:sz w:val="20"/>
        </w:rPr>
        <w:t xml:space="preserve"> </w:t>
      </w:r>
      <w:bookmarkStart w:id="7" w:name="_Hlk516063471"/>
      <w:r w:rsidRPr="00EF570E" w:rsidR="0059588D">
        <w:rPr>
          <w:rFonts w:ascii="Times New Roman" w:hAnsi="Times New Roman"/>
          <w:i/>
          <w:sz w:val="20"/>
        </w:rPr>
        <w:t>Id.</w:t>
      </w:r>
      <w:r w:rsidRPr="00EF570E">
        <w:rPr>
          <w:rFonts w:ascii="Times New Roman" w:hAnsi="Times New Roman"/>
          <w:sz w:val="20"/>
        </w:rPr>
        <w:t xml:space="preserve"> at 8054</w:t>
      </w:r>
      <w:r w:rsidRPr="00EF570E" w:rsidR="0059588D">
        <w:rPr>
          <w:rFonts w:ascii="Times New Roman" w:hAnsi="Times New Roman"/>
          <w:sz w:val="20"/>
        </w:rPr>
        <w:t>-55</w:t>
      </w:r>
      <w:r w:rsidRPr="00EF570E">
        <w:rPr>
          <w:rFonts w:ascii="Times New Roman" w:hAnsi="Times New Roman"/>
          <w:sz w:val="20"/>
        </w:rPr>
        <w:t xml:space="preserve">, para. 98.  </w:t>
      </w:r>
      <w:bookmarkEnd w:id="7"/>
      <w:r w:rsidRPr="00EF570E">
        <w:rPr>
          <w:rFonts w:ascii="Times New Roman" w:hAnsi="Times New Roman"/>
          <w:sz w:val="20"/>
        </w:rPr>
        <w:t xml:space="preserve">Notably, we would not require swaps in this circumstance to be adjacent to one another so long as overall contiguity is increased.  In other words, </w:t>
      </w:r>
      <w:r w:rsidRPr="00EF570E" w:rsidR="00726165">
        <w:rPr>
          <w:rFonts w:ascii="Times New Roman" w:hAnsi="Times New Roman"/>
          <w:sz w:val="20"/>
        </w:rPr>
        <w:t>with the agreement of all incumbent licensees in an area, unassigned 200 megahertz blocks that are otherwise not adjacent and contiguous for any licensee could be included in a swap plan.</w:t>
      </w:r>
    </w:p>
  </w:footnote>
  <w:footnote w:id="30">
    <w:p w:rsidR="00460AD4" w:rsidRPr="00EF570E">
      <w:pPr>
        <w:pStyle w:val="FootnoteText"/>
        <w:rPr>
          <w:rFonts w:ascii="Times New Roman" w:hAnsi="Times New Roman"/>
          <w:sz w:val="20"/>
        </w:rPr>
      </w:pPr>
      <w:r w:rsidRPr="00EF570E">
        <w:rPr>
          <w:rStyle w:val="FootnoteReference"/>
          <w:rFonts w:ascii="Times New Roman" w:hAnsi="Times New Roman"/>
          <w:sz w:val="20"/>
        </w:rPr>
        <w:footnoteRef/>
      </w:r>
      <w:r w:rsidRPr="00EF570E">
        <w:rPr>
          <w:rFonts w:ascii="Times New Roman" w:hAnsi="Times New Roman"/>
          <w:sz w:val="20"/>
        </w:rPr>
        <w:t xml:space="preserve"> If only one licensee holds licenses in a relevant area, the </w:t>
      </w:r>
      <w:r w:rsidRPr="003E219F" w:rsidR="00C4689A">
        <w:rPr>
          <w:rFonts w:ascii="Times New Roman" w:hAnsi="Times New Roman" w:cs="Times New Roman"/>
          <w:sz w:val="20"/>
        </w:rPr>
        <w:t>Bureau</w:t>
      </w:r>
      <w:r w:rsidRPr="00EF570E" w:rsidR="00C4689A">
        <w:rPr>
          <w:rFonts w:ascii="Times New Roman" w:hAnsi="Times New Roman"/>
          <w:sz w:val="20"/>
        </w:rPr>
        <w:t xml:space="preserve"> </w:t>
      </w:r>
      <w:r w:rsidRPr="00EF570E">
        <w:rPr>
          <w:rFonts w:ascii="Times New Roman" w:hAnsi="Times New Roman"/>
          <w:sz w:val="20"/>
        </w:rPr>
        <w:t xml:space="preserve">will accept applications in which the licensee proposes to acquire the same amount of MHz-Pops in the relevant area that it proposes to relinquish, </w:t>
      </w:r>
      <w:r w:rsidRPr="00EF570E">
        <w:rPr>
          <w:rFonts w:ascii="Times New Roman" w:hAnsi="Times New Roman"/>
          <w:sz w:val="20"/>
        </w:rPr>
        <w:t>as long as</w:t>
      </w:r>
      <w:r w:rsidRPr="00EF570E">
        <w:rPr>
          <w:rFonts w:ascii="Times New Roman" w:hAnsi="Times New Roman"/>
          <w:sz w:val="20"/>
        </w:rPr>
        <w:t xml:space="preserve"> it meets the end goal of creating a contiguous block or blocks of spectrum. </w:t>
      </w:r>
      <w:r w:rsidRPr="00EF570E">
        <w:rPr>
          <w:rFonts w:ascii="Times New Roman" w:hAnsi="Times New Roman"/>
          <w:i/>
          <w:sz w:val="20"/>
        </w:rPr>
        <w:t xml:space="preserve"> </w:t>
      </w:r>
      <w:r w:rsidRPr="00EF570E" w:rsidR="00F81C92">
        <w:rPr>
          <w:rFonts w:ascii="Times New Roman" w:hAnsi="Times New Roman"/>
          <w:i/>
          <w:sz w:val="20"/>
        </w:rPr>
        <w:t xml:space="preserve">Spectrum Frontiers R&amp;O, </w:t>
      </w:r>
      <w:r w:rsidRPr="00EF570E" w:rsidR="00F81C92">
        <w:rPr>
          <w:rFonts w:ascii="Times New Roman" w:hAnsi="Times New Roman"/>
          <w:sz w:val="20"/>
        </w:rPr>
        <w:t>31 FCC Rcd at 8054</w:t>
      </w:r>
      <w:r w:rsidRPr="00EF570E" w:rsidR="0059588D">
        <w:rPr>
          <w:rFonts w:ascii="Times New Roman" w:hAnsi="Times New Roman"/>
          <w:sz w:val="20"/>
        </w:rPr>
        <w:t>-55</w:t>
      </w:r>
      <w:r w:rsidRPr="00EF570E" w:rsidR="00F81C92">
        <w:rPr>
          <w:rFonts w:ascii="Times New Roman" w:hAnsi="Times New Roman"/>
          <w:sz w:val="20"/>
        </w:rPr>
        <w:t>, para. 98.</w:t>
      </w:r>
    </w:p>
  </w:footnote>
  <w:footnote w:id="31">
    <w:p w:rsidR="00CC5EE1">
      <w:pPr>
        <w:pStyle w:val="FootnoteText"/>
      </w:pPr>
      <w:r>
        <w:rPr>
          <w:rStyle w:val="FootnoteReference"/>
        </w:rPr>
        <w:footnoteRef/>
      </w:r>
      <w:r>
        <w:t xml:space="preserve"> </w:t>
      </w:r>
      <w:r w:rsidRPr="00924026">
        <w:rPr>
          <w:rFonts w:ascii="Times New Roman" w:hAnsi="Times New Roman" w:cs="Times New Roman"/>
          <w:sz w:val="20"/>
          <w:szCs w:val="20"/>
        </w:rPr>
        <w:t>Licensees who are swapping spectrum pursuant to an agreement should file their channel swap applications at the same time and each should file a copy of the channel swap agreement with their application.</w:t>
      </w:r>
    </w:p>
  </w:footnote>
  <w:footnote w:id="32">
    <w:p w:rsidR="00460AD4" w:rsidRPr="00EF570E" w:rsidP="002C4500">
      <w:pPr>
        <w:rPr>
          <w:rFonts w:ascii="Times New Roman" w:hAnsi="Times New Roman"/>
          <w:sz w:val="20"/>
        </w:rPr>
      </w:pPr>
      <w:r w:rsidRPr="00EF570E">
        <w:rPr>
          <w:rStyle w:val="FootnoteReference"/>
          <w:rFonts w:ascii="Times New Roman" w:hAnsi="Times New Roman"/>
          <w:sz w:val="20"/>
        </w:rPr>
        <w:footnoteRef/>
      </w:r>
      <w:r w:rsidRPr="00EF570E">
        <w:rPr>
          <w:rFonts w:ascii="Times New Roman" w:hAnsi="Times New Roman"/>
          <w:sz w:val="20"/>
        </w:rPr>
        <w:t xml:space="preserve"> </w:t>
      </w:r>
      <w:r w:rsidRPr="00EF570E" w:rsidR="0059588D">
        <w:rPr>
          <w:rFonts w:ascii="Times New Roman" w:hAnsi="Times New Roman"/>
          <w:i/>
          <w:sz w:val="20"/>
        </w:rPr>
        <w:t>Id.</w:t>
      </w:r>
      <w:r w:rsidRPr="00EF570E">
        <w:rPr>
          <w:rFonts w:ascii="Times New Roman" w:hAnsi="Times New Roman"/>
          <w:sz w:val="20"/>
        </w:rPr>
        <w:t xml:space="preserve"> at 80</w:t>
      </w:r>
      <w:r w:rsidRPr="00EF570E" w:rsidR="0059588D">
        <w:rPr>
          <w:rFonts w:ascii="Times New Roman" w:hAnsi="Times New Roman"/>
          <w:sz w:val="20"/>
        </w:rPr>
        <w:t>55-</w:t>
      </w:r>
      <w:r w:rsidRPr="00EF570E">
        <w:rPr>
          <w:rFonts w:ascii="Times New Roman" w:hAnsi="Times New Roman"/>
          <w:sz w:val="20"/>
        </w:rPr>
        <w:t xml:space="preserve">56, para. 100.  </w:t>
      </w:r>
    </w:p>
  </w:footnote>
  <w:footnote w:id="33">
    <w:p w:rsidR="00460AD4" w:rsidRPr="00EF570E">
      <w:pPr>
        <w:pStyle w:val="FootnoteText"/>
        <w:rPr>
          <w:rFonts w:ascii="Times New Roman" w:hAnsi="Times New Roman"/>
          <w:sz w:val="20"/>
        </w:rPr>
      </w:pPr>
      <w:r w:rsidRPr="00EF570E">
        <w:rPr>
          <w:rStyle w:val="FootnoteReference"/>
          <w:rFonts w:ascii="Times New Roman" w:hAnsi="Times New Roman"/>
          <w:sz w:val="20"/>
        </w:rPr>
        <w:footnoteRef/>
      </w:r>
      <w:r w:rsidRPr="00EF570E">
        <w:rPr>
          <w:rFonts w:ascii="Times New Roman" w:hAnsi="Times New Roman"/>
          <w:sz w:val="20"/>
        </w:rPr>
        <w:t xml:space="preserve"> </w:t>
      </w:r>
      <w:r w:rsidRPr="00EF570E">
        <w:rPr>
          <w:rFonts w:ascii="Times New Roman" w:hAnsi="Times New Roman"/>
          <w:i/>
          <w:sz w:val="20"/>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0AD4" w:rsidP="00AB5644">
    <w:pPr>
      <w:pStyle w:val="Header"/>
      <w:tabs>
        <w:tab w:val="clear" w:pos="4320"/>
        <w:tab w:val="clear" w:pos="8640"/>
      </w:tabs>
      <w:spacing w:before="40"/>
      <w:ind w:left="-720"/>
      <w:jc w:val="both"/>
      <w:rPr>
        <w:rFonts w:ascii="News Gothic MT" w:hAnsi="News Gothic MT"/>
        <w:b/>
        <w:kern w:val="28"/>
        <w:sz w:val="96"/>
      </w:rPr>
    </w:pPr>
    <w:r>
      <w:rPr>
        <w:rFonts w:ascii="News Gothic MT" w:hAnsi="News Gothic MT"/>
        <w:b/>
        <w:noProof/>
        <w:sz w:val="24"/>
      </w:rPr>
      <w:drawing>
        <wp:anchor distT="0" distB="0" distL="114300" distR="114300" simplePos="0" relativeHeight="251662336" behindDoc="1" locked="0" layoutInCell="0" allowOverlap="1">
          <wp:simplePos x="0" y="0"/>
          <wp:positionH relativeFrom="margin">
            <wp:align>left</wp:align>
          </wp:positionH>
          <wp:positionV relativeFrom="paragraph">
            <wp:posOffset>113030</wp:posOffset>
          </wp:positionV>
          <wp:extent cx="530352" cy="530352"/>
          <wp:effectExtent l="0" t="0" r="3175" b="3175"/>
          <wp:wrapTight wrapText="bothSides">
            <wp:wrapPolygon>
              <wp:start x="0" y="0"/>
              <wp:lineTo x="0" y="20953"/>
              <wp:lineTo x="20953" y="20953"/>
              <wp:lineTo x="20953" y="0"/>
              <wp:lineTo x="0" y="0"/>
            </wp:wrapPolygon>
          </wp:wrapTight>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98327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352" cy="530352"/>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460AD4" w:rsidRPr="002C4500" w:rsidP="002C4500">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73025</wp:posOffset>
              </wp:positionV>
              <wp:extent cx="2640965" cy="542925"/>
              <wp:effectExtent l="0" t="0" r="6985" b="9525"/>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292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0AD4" w:rsidP="00FA072E">
                          <w:pPr>
                            <w:spacing w:before="40" w:after="0"/>
                            <w:jc w:val="right"/>
                            <w:rPr>
                              <w:rFonts w:ascii="Arial" w:hAnsi="Arial"/>
                              <w:b/>
                              <w:sz w:val="16"/>
                            </w:rPr>
                          </w:pPr>
                          <w:r>
                            <w:rPr>
                              <w:rFonts w:ascii="Arial" w:hAnsi="Arial"/>
                              <w:b/>
                              <w:sz w:val="16"/>
                            </w:rPr>
                            <w:t>News Media Information 202 / 418-0500</w:t>
                          </w:r>
                        </w:p>
                        <w:p w:rsidR="00460AD4" w:rsidP="00FA072E">
                          <w:pPr>
                            <w:spacing w:after="0"/>
                            <w:jc w:val="right"/>
                            <w:rPr>
                              <w:rFonts w:ascii="Arial" w:hAnsi="Arial"/>
                              <w:b/>
                              <w:sz w:val="16"/>
                            </w:rPr>
                          </w:pPr>
                          <w:r>
                            <w:rPr>
                              <w:rFonts w:ascii="Arial" w:hAnsi="Arial"/>
                              <w:b/>
                              <w:sz w:val="16"/>
                            </w:rPr>
                            <w:tab/>
                            <w:t>Internet: http://www.fcc.gov</w:t>
                          </w:r>
                        </w:p>
                        <w:p w:rsidR="00460AD4" w:rsidP="00FA072E">
                          <w:pPr>
                            <w:spacing w:after="0"/>
                            <w:jc w:val="right"/>
                            <w:rPr>
                              <w:rFonts w:ascii="Arial" w:hAnsi="Arial"/>
                              <w:b/>
                              <w:sz w:val="16"/>
                            </w:rPr>
                          </w:pPr>
                          <w:r>
                            <w:rPr>
                              <w:rFonts w:ascii="Arial" w:hAnsi="Arial"/>
                              <w:b/>
                              <w:sz w:val="16"/>
                            </w:rPr>
                            <w:t>TTY: 1-888-835-5322</w:t>
                          </w:r>
                        </w:p>
                        <w:p w:rsidR="00460AD4">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207.95pt;height:42.75pt;margin-top:5.75pt;margin-left:156.75pt;mso-height-percent:0;mso-height-relative:page;mso-position-horizontal:right;mso-position-horizontal-relative:margin;mso-width-percent:0;mso-width-relative:page;mso-wrap-distance-bottom:0;mso-wrap-distance-left:9pt;mso-wrap-distance-right:9pt;mso-wrap-distance-top:0;mso-wrap-style:square;position:absolute;visibility:visible;v-text-anchor:top;z-index:251664384" o:allowincell="f" stroked="f">
              <v:textbox inset=",0,,0">
                <w:txbxContent>
                  <w:p w:rsidR="00460AD4" w:rsidP="00FA072E">
                    <w:pPr>
                      <w:spacing w:before="40" w:after="0"/>
                      <w:jc w:val="right"/>
                      <w:rPr>
                        <w:rFonts w:ascii="Arial" w:hAnsi="Arial"/>
                        <w:b/>
                        <w:sz w:val="16"/>
                      </w:rPr>
                    </w:pPr>
                    <w:r>
                      <w:rPr>
                        <w:rFonts w:ascii="Arial" w:hAnsi="Arial"/>
                        <w:b/>
                        <w:sz w:val="16"/>
                      </w:rPr>
                      <w:t>News Media Information 202 / 418-0500</w:t>
                    </w:r>
                  </w:p>
                  <w:p w:rsidR="00460AD4" w:rsidP="00FA072E">
                    <w:pPr>
                      <w:spacing w:after="0"/>
                      <w:jc w:val="right"/>
                      <w:rPr>
                        <w:rFonts w:ascii="Arial" w:hAnsi="Arial"/>
                        <w:b/>
                        <w:sz w:val="16"/>
                      </w:rPr>
                    </w:pPr>
                    <w:r>
                      <w:rPr>
                        <w:rFonts w:ascii="Arial" w:hAnsi="Arial"/>
                        <w:b/>
                        <w:sz w:val="16"/>
                      </w:rPr>
                      <w:tab/>
                      <w:t>Internet: http://www.fcc.gov</w:t>
                    </w:r>
                  </w:p>
                  <w:p w:rsidR="00460AD4" w:rsidP="00FA072E">
                    <w:pPr>
                      <w:spacing w:after="0"/>
                      <w:jc w:val="right"/>
                      <w:rPr>
                        <w:rFonts w:ascii="Arial" w:hAnsi="Arial"/>
                        <w:b/>
                        <w:sz w:val="16"/>
                      </w:rPr>
                    </w:pPr>
                    <w:r>
                      <w:rPr>
                        <w:rFonts w:ascii="Arial" w:hAnsi="Arial"/>
                        <w:b/>
                        <w:sz w:val="16"/>
                      </w:rPr>
                      <w:t>TTY: 1-888-835-5322</w:t>
                    </w:r>
                  </w:p>
                  <w:p w:rsidR="00460AD4">
                    <w:pPr>
                      <w:jc w:val="right"/>
                    </w:pPr>
                  </w:p>
                </w:txbxContent>
              </v:textbox>
              <w10:wrap anchorx="margin"/>
            </v:shape>
          </w:pict>
        </mc:Fallback>
      </mc:AlternateContent>
    </w:r>
    <w:r w:rsidR="00FA072E">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margin">
                <wp:align>left</wp:align>
              </wp:positionH>
              <wp:positionV relativeFrom="paragraph">
                <wp:posOffset>6350</wp:posOffset>
              </wp:positionV>
              <wp:extent cx="3067050" cy="640080"/>
              <wp:effectExtent l="0" t="0" r="0" b="762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6705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0AD4" w:rsidP="00FA072E">
                          <w:pPr>
                            <w:spacing w:after="0" w:line="240" w:lineRule="auto"/>
                            <w:rPr>
                              <w:rFonts w:ascii="Arial" w:hAnsi="Arial"/>
                              <w:b/>
                            </w:rPr>
                          </w:pPr>
                          <w:r>
                            <w:rPr>
                              <w:rFonts w:ascii="Arial" w:hAnsi="Arial"/>
                              <w:b/>
                            </w:rPr>
                            <w:t>Federal Communications Commission</w:t>
                          </w:r>
                        </w:p>
                        <w:p w:rsidR="00460AD4" w:rsidP="00FA072E">
                          <w:pPr>
                            <w:spacing w:after="0" w:line="240" w:lineRule="auto"/>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60AD4" w:rsidP="00FA072E">
                          <w:pPr>
                            <w:spacing w:after="0" w:line="240" w:lineRule="auto"/>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241.5pt;height:50.4pt;margin-top:0.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60AD4" w:rsidP="00FA072E">
                    <w:pPr>
                      <w:spacing w:after="0" w:line="240" w:lineRule="auto"/>
                      <w:rPr>
                        <w:rFonts w:ascii="Arial" w:hAnsi="Arial"/>
                        <w:b/>
                      </w:rPr>
                    </w:pPr>
                    <w:r>
                      <w:rPr>
                        <w:rFonts w:ascii="Arial" w:hAnsi="Arial"/>
                        <w:b/>
                      </w:rPr>
                      <w:t>Federal Communications Commission</w:t>
                    </w:r>
                  </w:p>
                  <w:p w:rsidR="00460AD4" w:rsidP="00FA072E">
                    <w:pPr>
                      <w:spacing w:after="0" w:line="240" w:lineRule="auto"/>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60AD4" w:rsidP="00FA072E">
                    <w:pPr>
                      <w:spacing w:after="0" w:line="240" w:lineRule="auto"/>
                      <w:rPr>
                        <w:rFonts w:ascii="Arial" w:hAnsi="Arial"/>
                        <w:sz w:val="24"/>
                      </w:rPr>
                    </w:pPr>
                    <w:r>
                      <w:rPr>
                        <w:rFonts w:ascii="Arial" w:hAnsi="Arial"/>
                        <w:b/>
                      </w:rPr>
                      <w:t>Washington, D.C. 20554</w:t>
                    </w:r>
                  </w:p>
                </w:txbxContent>
              </v:textbox>
              <w10:wrap anchorx="margin"/>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paragraph">
                <wp:posOffset>711911</wp:posOffset>
              </wp:positionV>
              <wp:extent cx="5886450" cy="2540"/>
              <wp:effectExtent l="0" t="0" r="19050" b="3556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left;mso-position-horizontal-relative:margin;mso-width-percent:0;mso-width-relative:page;mso-wrap-distance-bottom:0;mso-wrap-distance-left:9pt;mso-wrap-distance-right:9pt;mso-wrap-distance-top:0;mso-wrap-style:square;position:absolute;visibility:visible;z-index:251661312" from="0,56.05pt" to="463.5pt,56.25pt" o:allowincell="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206097"/>
    <w:multiLevelType w:val="hybridMultilevel"/>
    <w:tmpl w:val="B628B1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487E48A6"/>
    <w:multiLevelType w:val="hybridMultilevel"/>
    <w:tmpl w:val="9D30E670"/>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24816A2"/>
    <w:multiLevelType w:val="hybridMultilevel"/>
    <w:tmpl w:val="F3F0D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E514A8F"/>
    <w:multiLevelType w:val="hybridMultilevel"/>
    <w:tmpl w:val="1E0E71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9"/>
  </w:num>
  <w:num w:numId="14">
    <w:abstractNumId w:val="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grammar="clean"/>
  <w:linkStyl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6D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EF570E"/>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3A24EA"/>
    <w:pPr>
      <w:keepNext/>
      <w:widowControl w:val="0"/>
      <w:numPr>
        <w:ilvl w:val="1"/>
        <w:numId w:val="2"/>
      </w:numPr>
      <w:spacing w:after="220"/>
      <w:jc w:val="both"/>
      <w:outlineLvl w:val="1"/>
    </w:pPr>
    <w:rPr>
      <w:b/>
    </w:rPr>
  </w:style>
  <w:style w:type="paragraph" w:styleId="Heading3">
    <w:name w:val="heading 3"/>
    <w:basedOn w:val="Normal"/>
    <w:next w:val="Normal"/>
    <w:qFormat/>
    <w:rsid w:val="003A24EA"/>
    <w:pPr>
      <w:keepNext/>
      <w:widowControl w:val="0"/>
      <w:numPr>
        <w:ilvl w:val="2"/>
        <w:numId w:val="2"/>
      </w:numPr>
      <w:spacing w:after="220"/>
      <w:jc w:val="both"/>
      <w:outlineLvl w:val="2"/>
    </w:pPr>
    <w:rPr>
      <w:b/>
    </w:rPr>
  </w:style>
  <w:style w:type="paragraph" w:styleId="Heading4">
    <w:name w:val="heading 4"/>
    <w:basedOn w:val="Normal"/>
    <w:next w:val="Normal"/>
    <w:qFormat/>
    <w:rsid w:val="003A24EA"/>
    <w:pPr>
      <w:keepNext/>
      <w:widowControl w:val="0"/>
      <w:numPr>
        <w:ilvl w:val="3"/>
        <w:numId w:val="2"/>
      </w:numPr>
      <w:spacing w:after="220"/>
      <w:jc w:val="both"/>
      <w:outlineLvl w:val="3"/>
    </w:pPr>
    <w:rPr>
      <w:b/>
    </w:rPr>
  </w:style>
  <w:style w:type="paragraph" w:styleId="Heading5">
    <w:name w:val="heading 5"/>
    <w:basedOn w:val="Normal"/>
    <w:next w:val="Normal"/>
    <w:qFormat/>
    <w:rsid w:val="003A24EA"/>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3A24EA"/>
    <w:pPr>
      <w:widowControl w:val="0"/>
      <w:numPr>
        <w:ilvl w:val="5"/>
        <w:numId w:val="2"/>
      </w:numPr>
      <w:spacing w:after="220"/>
      <w:jc w:val="both"/>
      <w:outlineLvl w:val="5"/>
    </w:pPr>
    <w:rPr>
      <w:b/>
    </w:rPr>
  </w:style>
  <w:style w:type="paragraph" w:styleId="Heading7">
    <w:name w:val="heading 7"/>
    <w:basedOn w:val="Normal"/>
    <w:next w:val="Normal"/>
    <w:qFormat/>
    <w:rsid w:val="003A24EA"/>
    <w:pPr>
      <w:widowControl w:val="0"/>
      <w:numPr>
        <w:ilvl w:val="7"/>
        <w:numId w:val="2"/>
      </w:numPr>
      <w:spacing w:after="220"/>
      <w:jc w:val="both"/>
      <w:outlineLvl w:val="6"/>
    </w:pPr>
    <w:rPr>
      <w:b/>
    </w:rPr>
  </w:style>
  <w:style w:type="paragraph" w:styleId="Heading8">
    <w:name w:val="heading 8"/>
    <w:basedOn w:val="Normal"/>
    <w:next w:val="Normal"/>
    <w:qFormat/>
    <w:rsid w:val="003A24EA"/>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3A24EA"/>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rsid w:val="00B736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36DA"/>
  </w:style>
  <w:style w:type="paragraph" w:styleId="Header">
    <w:name w:val="header"/>
    <w:basedOn w:val="Normal"/>
    <w:semiHidden/>
    <w:rsid w:val="003A24EA"/>
    <w:pPr>
      <w:tabs>
        <w:tab w:val="center" w:pos="4320"/>
        <w:tab w:val="right" w:pos="8640"/>
      </w:tabs>
    </w:pPr>
  </w:style>
  <w:style w:type="paragraph" w:styleId="Footer">
    <w:name w:val="footer"/>
    <w:basedOn w:val="Normal"/>
    <w:link w:val="FooterChar"/>
    <w:rsid w:val="003A24EA"/>
    <w:pPr>
      <w:tabs>
        <w:tab w:val="center" w:pos="4320"/>
        <w:tab w:val="right" w:pos="8640"/>
      </w:tabs>
    </w:pPr>
  </w:style>
  <w:style w:type="character" w:styleId="Hyperlink">
    <w:name w:val="Hyperlink"/>
    <w:semiHidden/>
    <w:rsid w:val="003A24EA"/>
    <w:rPr>
      <w:color w:val="0000FF"/>
      <w:u w:val="single"/>
    </w:rPr>
  </w:style>
  <w:style w:type="paragraph" w:styleId="BlockText">
    <w:name w:val="Block Text"/>
    <w:basedOn w:val="Normal"/>
    <w:semiHidden/>
    <w:rsid w:val="003A24EA"/>
    <w:pPr>
      <w:widowControl w:val="0"/>
      <w:spacing w:after="220"/>
      <w:ind w:left="1440" w:right="1440"/>
      <w:jc w:val="both"/>
    </w:pPr>
  </w:style>
  <w:style w:type="paragraph" w:customStyle="1" w:styleId="Bullet">
    <w:name w:val="Bullet"/>
    <w:basedOn w:val="Normal"/>
    <w:rsid w:val="00EF570E"/>
    <w:pPr>
      <w:widowControl w:val="0"/>
      <w:numPr>
        <w:numId w:val="1"/>
      </w:numPr>
      <w:tabs>
        <w:tab w:val="clear" w:pos="2520"/>
      </w:tabs>
      <w:spacing w:after="220"/>
      <w:ind w:left="2160" w:hanging="720"/>
      <w:jc w:val="both"/>
    </w:pPr>
  </w:style>
  <w:style w:type="paragraph" w:styleId="Caption">
    <w:name w:val="caption"/>
    <w:basedOn w:val="Normal"/>
    <w:next w:val="Normal"/>
    <w:qFormat/>
    <w:rsid w:val="003A24EA"/>
    <w:pPr>
      <w:spacing w:before="120" w:after="120"/>
    </w:pPr>
    <w:rPr>
      <w:b/>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3A24EA"/>
    <w:rPr>
      <w:vertAlign w:val="superscript"/>
    </w:rPr>
  </w:style>
  <w:style w:type="paragraph" w:styleId="FootnoteText">
    <w:name w:val="footnote text"/>
    <w:aliases w:val="ALTS FOOTNOTE,Footnote Text Char Char Char Char,Footnote Text Char1,Footnote Text Char1 Char Char,Footnote Text Char1 Char Char Char Char Char Char,Footnote Text Char1 Char2 Char Char Char,Footnote Text Char2,Footnote Text Char2 Char,f,fn"/>
    <w:basedOn w:val="Normal"/>
    <w:link w:val="FootnoteTextChar"/>
    <w:rsid w:val="003A24EA"/>
    <w:pPr>
      <w:tabs>
        <w:tab w:val="left" w:pos="720"/>
      </w:tabs>
    </w:pPr>
  </w:style>
  <w:style w:type="paragraph" w:customStyle="1" w:styleId="NumberedList">
    <w:name w:val="Numbered List"/>
    <w:basedOn w:val="Normal"/>
    <w:rsid w:val="00EF570E"/>
    <w:pPr>
      <w:numPr>
        <w:numId w:val="11"/>
      </w:numPr>
      <w:tabs>
        <w:tab w:val="clear" w:pos="1080"/>
      </w:tabs>
      <w:spacing w:after="220"/>
      <w:ind w:firstLine="0"/>
    </w:pPr>
  </w:style>
  <w:style w:type="paragraph" w:customStyle="1" w:styleId="Paranum">
    <w:name w:val="Paranum"/>
    <w:basedOn w:val="Normal"/>
    <w:rsid w:val="00EF570E"/>
    <w:pPr>
      <w:widowControl w:val="0"/>
      <w:numPr>
        <w:numId w:val="12"/>
      </w:numPr>
      <w:tabs>
        <w:tab w:val="clear" w:pos="1080"/>
      </w:tabs>
      <w:spacing w:after="220"/>
      <w:jc w:val="both"/>
    </w:pPr>
  </w:style>
  <w:style w:type="paragraph" w:customStyle="1" w:styleId="TableFormat">
    <w:name w:val="Table Format"/>
    <w:basedOn w:val="Normal"/>
    <w:rsid w:val="003A24EA"/>
    <w:pPr>
      <w:widowControl w:val="0"/>
      <w:tabs>
        <w:tab w:val="left" w:pos="5040"/>
      </w:tabs>
      <w:spacing w:after="220"/>
      <w:ind w:left="5040" w:hanging="3600"/>
      <w:jc w:val="both"/>
    </w:pPr>
  </w:style>
  <w:style w:type="paragraph" w:styleId="TOC1">
    <w:name w:val="toc 1"/>
    <w:basedOn w:val="Normal"/>
    <w:next w:val="Normal"/>
    <w:autoRedefine/>
    <w:semiHidden/>
    <w:rsid w:val="003A24EA"/>
    <w:rPr>
      <w:caps/>
    </w:rPr>
  </w:style>
  <w:style w:type="character" w:styleId="FollowedHyperlink">
    <w:name w:val="FollowedHyperlink"/>
    <w:semiHidden/>
    <w:rsid w:val="003A24EA"/>
    <w:rPr>
      <w:color w:val="800080"/>
      <w:u w:val="single"/>
    </w:rPr>
  </w:style>
  <w:style w:type="character" w:customStyle="1" w:styleId="FootnoteTextChar">
    <w:name w:val="Footnote Text Char"/>
    <w:aliases w:val="ALTS FOOTNOTE Char,Footnote Text Char Char Char Char Char,Footnote Text Char1 Char,Footnote Text Char1 Char Char Char,Footnote Text Char1 Char Char Char Char Char Char Char,Footnote Text Char1 Char2 Char Char Char Char,f Char,fn Char"/>
    <w:link w:val="FootnoteText"/>
    <w:rsid w:val="00D165B6"/>
    <w:rPr>
      <w:sz w:val="22"/>
    </w:rPr>
  </w:style>
  <w:style w:type="character" w:styleId="CommentReference">
    <w:name w:val="annotation reference"/>
    <w:uiPriority w:val="99"/>
    <w:semiHidden/>
    <w:unhideWhenUsed/>
    <w:rsid w:val="0024513F"/>
    <w:rPr>
      <w:sz w:val="16"/>
      <w:szCs w:val="16"/>
    </w:rPr>
  </w:style>
  <w:style w:type="paragraph" w:styleId="CommentText">
    <w:name w:val="annotation text"/>
    <w:basedOn w:val="Normal"/>
    <w:link w:val="CommentTextChar"/>
    <w:uiPriority w:val="99"/>
    <w:unhideWhenUsed/>
    <w:rsid w:val="0024513F"/>
    <w:rPr>
      <w:sz w:val="20"/>
    </w:rPr>
  </w:style>
  <w:style w:type="character" w:customStyle="1" w:styleId="CommentTextChar">
    <w:name w:val="Comment Text Char"/>
    <w:basedOn w:val="DefaultParagraphFont"/>
    <w:link w:val="CommentText"/>
    <w:uiPriority w:val="99"/>
    <w:rsid w:val="0024513F"/>
  </w:style>
  <w:style w:type="paragraph" w:styleId="CommentSubject">
    <w:name w:val="annotation subject"/>
    <w:basedOn w:val="CommentText"/>
    <w:next w:val="CommentText"/>
    <w:link w:val="CommentSubjectChar"/>
    <w:uiPriority w:val="99"/>
    <w:semiHidden/>
    <w:unhideWhenUsed/>
    <w:rsid w:val="0024513F"/>
    <w:rPr>
      <w:b/>
      <w:bCs/>
    </w:rPr>
  </w:style>
  <w:style w:type="character" w:customStyle="1" w:styleId="CommentSubjectChar">
    <w:name w:val="Comment Subject Char"/>
    <w:link w:val="CommentSubject"/>
    <w:uiPriority w:val="99"/>
    <w:semiHidden/>
    <w:rsid w:val="0024513F"/>
    <w:rPr>
      <w:b/>
      <w:bCs/>
    </w:rPr>
  </w:style>
  <w:style w:type="paragraph" w:styleId="BalloonText">
    <w:name w:val="Balloon Text"/>
    <w:basedOn w:val="Normal"/>
    <w:link w:val="BalloonTextChar"/>
    <w:uiPriority w:val="99"/>
    <w:semiHidden/>
    <w:unhideWhenUsed/>
    <w:rsid w:val="0024513F"/>
    <w:rPr>
      <w:rFonts w:ascii="Segoe UI" w:hAnsi="Segoe UI" w:cs="Segoe UI"/>
      <w:sz w:val="18"/>
      <w:szCs w:val="18"/>
    </w:rPr>
  </w:style>
  <w:style w:type="character" w:customStyle="1" w:styleId="BalloonTextChar">
    <w:name w:val="Balloon Text Char"/>
    <w:link w:val="BalloonText"/>
    <w:uiPriority w:val="99"/>
    <w:semiHidden/>
    <w:rsid w:val="0024513F"/>
    <w:rPr>
      <w:rFonts w:ascii="Segoe UI" w:hAnsi="Segoe UI" w:cs="Segoe UI"/>
      <w:sz w:val="18"/>
      <w:szCs w:val="18"/>
    </w:rPr>
  </w:style>
  <w:style w:type="character" w:customStyle="1" w:styleId="FooterChar">
    <w:name w:val="Footer Char"/>
    <w:link w:val="Footer"/>
    <w:rsid w:val="00142FC3"/>
    <w:rPr>
      <w:sz w:val="22"/>
    </w:rPr>
  </w:style>
  <w:style w:type="paragraph" w:styleId="Revision">
    <w:name w:val="Revision"/>
    <w:hidden/>
    <w:uiPriority w:val="99"/>
    <w:semiHidden/>
    <w:rsid w:val="00D3237D"/>
    <w:rPr>
      <w:sz w:val="22"/>
    </w:rPr>
  </w:style>
  <w:style w:type="character" w:customStyle="1" w:styleId="UnresolvedMention1">
    <w:name w:val="Unresolved Mention1"/>
    <w:basedOn w:val="DefaultParagraphFont"/>
    <w:uiPriority w:val="99"/>
    <w:semiHidden/>
    <w:unhideWhenUsed/>
    <w:rsid w:val="00A47CB6"/>
    <w:rPr>
      <w:color w:val="808080"/>
      <w:shd w:val="clear" w:color="auto" w:fill="E6E6E6"/>
    </w:rPr>
  </w:style>
  <w:style w:type="paragraph" w:styleId="ListParagraph">
    <w:name w:val="List Paragraph"/>
    <w:basedOn w:val="Normal"/>
    <w:uiPriority w:val="34"/>
    <w:qFormat/>
    <w:rsid w:val="006F41A5"/>
    <w:pPr>
      <w:ind w:left="720"/>
      <w:contextualSpacing/>
    </w:pPr>
  </w:style>
  <w:style w:type="paragraph" w:customStyle="1" w:styleId="Default">
    <w:name w:val="Default"/>
    <w:rsid w:val="00AE7C16"/>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CA0983"/>
    <w:rPr>
      <w:color w:val="808080"/>
      <w:shd w:val="clear" w:color="auto" w:fill="E6E6E6"/>
    </w:rPr>
  </w:style>
  <w:style w:type="character" w:customStyle="1" w:styleId="UnresolvedMention3">
    <w:name w:val="Unresolved Mention3"/>
    <w:basedOn w:val="DefaultParagraphFont"/>
    <w:uiPriority w:val="99"/>
    <w:rsid w:val="005A2FC4"/>
    <w:rPr>
      <w:color w:val="808080"/>
      <w:shd w:val="clear" w:color="auto" w:fill="E6E6E6"/>
    </w:rPr>
  </w:style>
  <w:style w:type="character" w:customStyle="1" w:styleId="UnresolvedMention">
    <w:name w:val="Unresolved Mention"/>
    <w:basedOn w:val="DefaultParagraphFont"/>
    <w:uiPriority w:val="99"/>
    <w:rsid w:val="00B736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BC1DD-2650-437D-8DD2-75BF86EE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1671</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2018-06-15T16:21:00Z</dcterms:created>
  <dcterms:modified xsi:type="dcterms:W3CDTF">2018-06-15T16:39:00Z</dcterms:modified>
</cp:coreProperties>
</file>