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footerReference w:type="default" r:id="rId5"/>
          <w:headerReference w:type="first" r:id="rId6"/>
          <w:pgSz w:w="12240" w:h="15840" w:code="1"/>
          <w:pgMar w:top="720" w:right="720" w:bottom="1440" w:left="720" w:header="720" w:footer="1440" w:gutter="0"/>
          <w:cols w:space="720"/>
          <w:titlePg/>
        </w:sectPr>
      </w:pPr>
      <w:bookmarkStart w:id="1" w:name="_GoBack"/>
      <w:bookmarkEnd w:id="1"/>
    </w:p>
    <w:p w:rsidR="00A84607" w:rsidP="00A84607">
      <w:pPr>
        <w:jc w:val="right"/>
        <w:rPr>
          <w:sz w:val="24"/>
        </w:rPr>
      </w:pPr>
      <w:r>
        <w:rPr>
          <w:sz w:val="24"/>
        </w:rPr>
        <w:t>DA 18-625</w:t>
      </w:r>
    </w:p>
    <w:p w:rsidR="00A84607" w:rsidP="00A84607">
      <w:pPr>
        <w:spacing w:before="60"/>
        <w:jc w:val="right"/>
        <w:rPr>
          <w:sz w:val="24"/>
        </w:rPr>
      </w:pPr>
      <w:r>
        <w:rPr>
          <w:sz w:val="24"/>
        </w:rPr>
        <w:t>June 15, 2018</w:t>
      </w:r>
    </w:p>
    <w:p w:rsidR="00A84607" w:rsidP="00A84607">
      <w:pPr>
        <w:jc w:val="right"/>
        <w:rPr>
          <w:sz w:val="24"/>
        </w:rPr>
      </w:pPr>
    </w:p>
    <w:p w:rsidR="00A84607" w:rsidP="00A84607">
      <w:pPr>
        <w:jc w:val="center"/>
        <w:rPr>
          <w:b/>
          <w:szCs w:val="22"/>
        </w:rPr>
      </w:pPr>
      <w:r>
        <w:rPr>
          <w:b/>
          <w:szCs w:val="22"/>
        </w:rPr>
        <w:t>COMMISSION OPENS DOCKET FOR PROPOSED TRANSFER OF CONTROL</w:t>
      </w:r>
    </w:p>
    <w:p w:rsidR="00A84607" w:rsidP="00A84607">
      <w:pPr>
        <w:jc w:val="center"/>
        <w:rPr>
          <w:b/>
          <w:sz w:val="24"/>
        </w:rPr>
      </w:pPr>
      <w:r>
        <w:rPr>
          <w:b/>
          <w:szCs w:val="22"/>
        </w:rPr>
        <w:t>OF SPRINT CORPORATION TO T-MOBILE US, INC.</w:t>
      </w:r>
    </w:p>
    <w:p w:rsidR="00A84607" w:rsidP="00A84607">
      <w:pPr>
        <w:jc w:val="center"/>
        <w:rPr>
          <w:b/>
          <w:sz w:val="24"/>
        </w:rPr>
      </w:pPr>
    </w:p>
    <w:p w:rsidR="00A84607" w:rsidRPr="00C362DD" w:rsidP="00A84607">
      <w:pPr>
        <w:spacing w:after="240"/>
        <w:jc w:val="center"/>
        <w:rPr>
          <w:b/>
          <w:sz w:val="24"/>
        </w:rPr>
      </w:pPr>
      <w:r>
        <w:rPr>
          <w:b/>
          <w:sz w:val="24"/>
        </w:rPr>
        <w:t xml:space="preserve">WT Docket No. </w:t>
      </w:r>
      <w:r w:rsidRPr="00317D49">
        <w:rPr>
          <w:b/>
          <w:sz w:val="24"/>
        </w:rPr>
        <w:t>18-</w:t>
      </w:r>
      <w:r>
        <w:rPr>
          <w:b/>
          <w:sz w:val="24"/>
        </w:rPr>
        <w:t>197</w:t>
      </w:r>
    </w:p>
    <w:p w:rsidR="00A84607" w:rsidP="00A84607">
      <w:pPr>
        <w:spacing w:after="120"/>
        <w:ind w:firstLine="720"/>
        <w:rPr>
          <w:szCs w:val="22"/>
        </w:rPr>
      </w:pPr>
      <w:r>
        <w:rPr>
          <w:szCs w:val="22"/>
        </w:rPr>
        <w:t xml:space="preserve">On April 29, 2018, T-Mobile US, Inc. (T-Mobile), and Sprint Corporation (Sprint) announced an agreement </w:t>
      </w:r>
      <w:r w:rsidRPr="0007086F">
        <w:rPr>
          <w:szCs w:val="22"/>
        </w:rPr>
        <w:t>to merge in an all-stock transaction</w:t>
      </w:r>
      <w:r>
        <w:rPr>
          <w:szCs w:val="22"/>
        </w:rPr>
        <w:t xml:space="preserve">.  </w:t>
      </w:r>
      <w:r w:rsidRPr="00877FDB">
        <w:rPr>
          <w:szCs w:val="22"/>
        </w:rPr>
        <w:t xml:space="preserve">On June 14, 2018, </w:t>
      </w:r>
      <w:r>
        <w:rPr>
          <w:szCs w:val="22"/>
        </w:rPr>
        <w:t xml:space="preserve">T-Mobile and Sprint informed the Commission that on June 18, 2018, they plan on filing applications seeking Commission approval to transfer control to T-Mobile of the licenses and authorizations held by Sprint and its wholly-owned and controlled subsidiaries.  The purpose of this public notice is to announce the opening of a docket, WT Docket No. </w:t>
      </w:r>
      <w:r w:rsidRPr="00317D49">
        <w:rPr>
          <w:szCs w:val="22"/>
        </w:rPr>
        <w:t>18-</w:t>
      </w:r>
      <w:r>
        <w:rPr>
          <w:szCs w:val="22"/>
        </w:rPr>
        <w:t xml:space="preserve">197, and articulate the </w:t>
      </w:r>
      <w:r>
        <w:rPr>
          <w:i/>
          <w:szCs w:val="22"/>
        </w:rPr>
        <w:t>ex parte</w:t>
      </w:r>
      <w:r>
        <w:rPr>
          <w:szCs w:val="22"/>
        </w:rPr>
        <w:t xml:space="preserve"> status of discussions related to the proposed transaction.</w:t>
      </w:r>
    </w:p>
    <w:p w:rsidR="00A84607" w:rsidP="00A84607">
      <w:pPr>
        <w:tabs>
          <w:tab w:val="left" w:pos="-720"/>
        </w:tabs>
        <w:suppressAutoHyphens/>
        <w:spacing w:after="120"/>
        <w:ind w:firstLine="720"/>
        <w:rPr>
          <w:snapToGrid w:val="0"/>
          <w:spacing w:val="-2"/>
          <w:szCs w:val="22"/>
        </w:rPr>
      </w:pPr>
      <w:r>
        <w:rPr>
          <w:snapToGrid w:val="0"/>
          <w:szCs w:val="22"/>
        </w:rPr>
        <w:t>Pursuant to S</w:t>
      </w:r>
      <w:r w:rsidRPr="00680F93">
        <w:rPr>
          <w:snapToGrid w:val="0"/>
          <w:szCs w:val="22"/>
        </w:rPr>
        <w:t>ection 1.1200(a) of the Commission’s rules,</w:t>
      </w:r>
      <w:r>
        <w:rPr>
          <w:snapToGrid w:val="0"/>
          <w:sz w:val="20"/>
          <w:vertAlign w:val="superscript"/>
        </w:rPr>
        <w:footnoteReference w:id="2"/>
      </w:r>
      <w:r w:rsidRPr="00680F93">
        <w:rPr>
          <w:snapToGrid w:val="0"/>
          <w:szCs w:val="22"/>
        </w:rPr>
        <w:t xml:space="preserve"> the Commission may adopt modified or more stringent </w:t>
      </w:r>
      <w:r w:rsidRPr="00680F93">
        <w:rPr>
          <w:i/>
          <w:snapToGrid w:val="0"/>
          <w:szCs w:val="22"/>
        </w:rPr>
        <w:t>ex parte</w:t>
      </w:r>
      <w:r w:rsidRPr="00680F93">
        <w:rPr>
          <w:snapToGrid w:val="0"/>
          <w:szCs w:val="22"/>
        </w:rPr>
        <w:t xml:space="preserve"> procedures in particular proceedings if the public interest so requires.  We announce that as of the time </w:t>
      </w:r>
      <w:r>
        <w:rPr>
          <w:snapToGrid w:val="0"/>
          <w:szCs w:val="22"/>
        </w:rPr>
        <w:t>the a</w:t>
      </w:r>
      <w:r w:rsidRPr="00680F93">
        <w:rPr>
          <w:snapToGrid w:val="0"/>
          <w:szCs w:val="22"/>
        </w:rPr>
        <w:t xml:space="preserve">pplications are filed, this proceeding will be governed by permit-but-disclose </w:t>
      </w:r>
      <w:r w:rsidRPr="00680F93">
        <w:rPr>
          <w:i/>
          <w:snapToGrid w:val="0"/>
          <w:szCs w:val="22"/>
        </w:rPr>
        <w:t>ex parte</w:t>
      </w:r>
      <w:r w:rsidRPr="00680F93">
        <w:rPr>
          <w:snapToGrid w:val="0"/>
          <w:szCs w:val="22"/>
        </w:rPr>
        <w:t xml:space="preserve"> procedures that are applicable to no</w:t>
      </w:r>
      <w:r>
        <w:rPr>
          <w:snapToGrid w:val="0"/>
          <w:szCs w:val="22"/>
        </w:rPr>
        <w:t>n-restricted proceedings under S</w:t>
      </w:r>
      <w:r w:rsidRPr="00680F93">
        <w:rPr>
          <w:snapToGrid w:val="0"/>
          <w:szCs w:val="22"/>
        </w:rPr>
        <w:t>ection 1.1206 of the Commission’s rules.</w:t>
      </w:r>
      <w:r>
        <w:rPr>
          <w:snapToGrid w:val="0"/>
          <w:sz w:val="20"/>
          <w:vertAlign w:val="superscript"/>
        </w:rPr>
        <w:footnoteReference w:id="3"/>
      </w:r>
      <w:r w:rsidRPr="00680F93">
        <w:rPr>
          <w:snapToGrid w:val="0"/>
          <w:szCs w:val="22"/>
        </w:rPr>
        <w:t xml:space="preserve">  </w:t>
      </w:r>
      <w:r w:rsidRPr="00680F93">
        <w:rPr>
          <w:snapToGrid w:val="0"/>
          <w:spacing w:val="-2"/>
          <w:szCs w:val="22"/>
        </w:rPr>
        <w:t xml:space="preserve">Parties making oral </w:t>
      </w:r>
      <w:r w:rsidRPr="00680F93">
        <w:rPr>
          <w:i/>
          <w:snapToGrid w:val="0"/>
          <w:spacing w:val="-2"/>
          <w:szCs w:val="22"/>
        </w:rPr>
        <w:t>ex parte</w:t>
      </w:r>
      <w:r w:rsidRPr="00680F93">
        <w:rPr>
          <w:snapToGrid w:val="0"/>
          <w:spacing w:val="-2"/>
          <w:szCs w:val="22"/>
        </w:rPr>
        <w:t xml:space="preserve"> presentations are directed to the Commission’s </w:t>
      </w:r>
      <w:r>
        <w:rPr>
          <w:i/>
          <w:snapToGrid w:val="0"/>
          <w:spacing w:val="-2"/>
          <w:szCs w:val="22"/>
        </w:rPr>
        <w:t>ex parte</w:t>
      </w:r>
      <w:r>
        <w:rPr>
          <w:snapToGrid w:val="0"/>
          <w:spacing w:val="-2"/>
          <w:szCs w:val="22"/>
        </w:rPr>
        <w:t xml:space="preserve"> rules.  Parties </w:t>
      </w:r>
      <w:r w:rsidRPr="00680F93">
        <w:rPr>
          <w:snapToGrid w:val="0"/>
          <w:spacing w:val="-2"/>
          <w:szCs w:val="22"/>
        </w:rPr>
        <w:t>are reminded that memoranda summarizing the presentation must contain the presentation’s substance and not merely list the subjects discussed.</w:t>
      </w:r>
      <w:r>
        <w:rPr>
          <w:snapToGrid w:val="0"/>
          <w:spacing w:val="-2"/>
          <w:sz w:val="20"/>
          <w:vertAlign w:val="superscript"/>
        </w:rPr>
        <w:footnoteReference w:id="4"/>
      </w:r>
      <w:r w:rsidRPr="00680F93">
        <w:rPr>
          <w:snapToGrid w:val="0"/>
          <w:spacing w:val="-2"/>
          <w:szCs w:val="22"/>
        </w:rPr>
        <w:t xml:space="preserve">  More than a one- or two-sentence description of the views and arguments presented is generally required.</w:t>
      </w:r>
      <w:r>
        <w:rPr>
          <w:snapToGrid w:val="0"/>
          <w:spacing w:val="-2"/>
          <w:sz w:val="20"/>
          <w:vertAlign w:val="superscript"/>
        </w:rPr>
        <w:footnoteReference w:id="5"/>
      </w:r>
      <w:r w:rsidRPr="00680F93">
        <w:rPr>
          <w:snapToGrid w:val="0"/>
          <w:spacing w:val="-2"/>
          <w:szCs w:val="22"/>
        </w:rPr>
        <w:t xml:space="preserve">  </w:t>
      </w:r>
      <w:r>
        <w:rPr>
          <w:snapToGrid w:val="0"/>
          <w:spacing w:val="-2"/>
          <w:szCs w:val="22"/>
        </w:rPr>
        <w:t xml:space="preserve">The </w:t>
      </w:r>
      <w:r w:rsidRPr="00680F93">
        <w:rPr>
          <w:snapToGrid w:val="0"/>
          <w:spacing w:val="-2"/>
          <w:szCs w:val="22"/>
        </w:rPr>
        <w:t>rules pertaining to oral and written presentations are set forth in section 1.1206(b).</w:t>
      </w:r>
      <w:r>
        <w:rPr>
          <w:snapToGrid w:val="0"/>
          <w:spacing w:val="-2"/>
          <w:sz w:val="20"/>
          <w:vertAlign w:val="superscript"/>
        </w:rPr>
        <w:footnoteReference w:id="6"/>
      </w:r>
    </w:p>
    <w:p w:rsidR="00A84607" w:rsidP="00A84607">
      <w:pPr>
        <w:tabs>
          <w:tab w:val="left" w:pos="-720"/>
        </w:tabs>
        <w:suppressAutoHyphens/>
        <w:spacing w:after="120"/>
        <w:ind w:firstLine="720"/>
        <w:rPr>
          <w:szCs w:val="22"/>
        </w:rPr>
      </w:pPr>
      <w:r>
        <w:rPr>
          <w:snapToGrid w:val="0"/>
          <w:spacing w:val="-2"/>
          <w:szCs w:val="22"/>
        </w:rPr>
        <w:t>Under the Commission’s current procedures,</w:t>
      </w:r>
      <w:r>
        <w:rPr>
          <w:rStyle w:val="FootnoteReference"/>
          <w:snapToGrid w:val="0"/>
          <w:spacing w:val="-2"/>
          <w:sz w:val="20"/>
        </w:rPr>
        <w:footnoteReference w:id="7"/>
      </w:r>
      <w:r>
        <w:rPr>
          <w:snapToGrid w:val="0"/>
          <w:spacing w:val="-2"/>
          <w:szCs w:val="22"/>
        </w:rPr>
        <w:t xml:space="preserve"> n</w:t>
      </w:r>
      <w:r>
        <w:rPr>
          <w:szCs w:val="22"/>
        </w:rPr>
        <w:t xml:space="preserve">otices of the </w:t>
      </w:r>
      <w:r>
        <w:rPr>
          <w:i/>
          <w:szCs w:val="22"/>
        </w:rPr>
        <w:t xml:space="preserve">ex parte </w:t>
      </w:r>
      <w:r>
        <w:rPr>
          <w:szCs w:val="22"/>
        </w:rPr>
        <w:t>presentations,</w:t>
      </w:r>
      <w:r>
        <w:rPr>
          <w:i/>
          <w:szCs w:val="22"/>
        </w:rPr>
        <w:t xml:space="preserve"> </w:t>
      </w:r>
      <w:r>
        <w:rPr>
          <w:szCs w:val="22"/>
        </w:rPr>
        <w:t xml:space="preserve">which must include a reference to WT Docket No. </w:t>
      </w:r>
      <w:r w:rsidRPr="00317D49">
        <w:rPr>
          <w:szCs w:val="22"/>
        </w:rPr>
        <w:t>18-</w:t>
      </w:r>
      <w:r>
        <w:rPr>
          <w:szCs w:val="22"/>
        </w:rPr>
        <w:t>197, shall be filed electronically through the Commission’s Electronic Comment Filing System (ECFS) when feasible.</w:t>
      </w:r>
    </w:p>
    <w:p w:rsidR="00A84607" w:rsidP="00A84607">
      <w:pPr>
        <w:numPr>
          <w:ilvl w:val="0"/>
          <w:numId w:val="13"/>
        </w:numPr>
        <w:autoSpaceDE w:val="0"/>
        <w:autoSpaceDN w:val="0"/>
        <w:adjustRightInd w:val="0"/>
        <w:spacing w:after="120"/>
        <w:rPr>
          <w:szCs w:val="22"/>
        </w:rPr>
      </w:pPr>
      <w:r>
        <w:rPr>
          <w:b/>
          <w:szCs w:val="22"/>
        </w:rPr>
        <w:t>To file electronically</w:t>
      </w:r>
      <w:r>
        <w:rPr>
          <w:szCs w:val="22"/>
        </w:rPr>
        <w:t>,</w:t>
      </w:r>
      <w:r>
        <w:rPr>
          <w:rStyle w:val="FootnoteReference"/>
          <w:sz w:val="20"/>
        </w:rPr>
        <w:footnoteReference w:id="8"/>
      </w:r>
      <w:r>
        <w:rPr>
          <w:szCs w:val="22"/>
        </w:rPr>
        <w:t xml:space="preserve"> access ECFS via the Internet at http://apps.fcc.gov/ecfs.  In completing the transmittal screen, commenters should include their full name, U.S. Postal Service mailing address, and the applicable docket number.</w:t>
      </w:r>
    </w:p>
    <w:p w:rsidR="00A84607" w:rsidP="00A8460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w:t>
      </w:r>
      <w:r>
        <w:t>9050 Junction Drive, Annapolis Junction, MD 20701</w:t>
      </w:r>
      <w:r>
        <w:rPr>
          <w:rFonts w:cs="TmsRmn"/>
          <w:color w:val="000000"/>
          <w:szCs w:val="22"/>
        </w:rPr>
        <w:t>.  U.S. Postal Service first-class, Express, and Priority Mail should be addressed to 445 12th Street, SW, Washington, DC 20554.  All filings must be addressed to the Commission’s Secretary, Office of the Secretary, Federal Communications Commission.</w:t>
      </w:r>
    </w:p>
    <w:p w:rsidR="00A84607" w:rsidP="00A84607">
      <w:pPr>
        <w:spacing w:after="120"/>
        <w:ind w:firstLine="720"/>
        <w:rPr>
          <w:szCs w:val="22"/>
        </w:rPr>
      </w:pPr>
      <w:r>
        <w:rPr>
          <w:color w:val="000000"/>
          <w:szCs w:val="22"/>
        </w:rPr>
        <w:t xml:space="preserve">One copy of each </w:t>
      </w:r>
      <w:r>
        <w:rPr>
          <w:i/>
          <w:color w:val="000000"/>
          <w:szCs w:val="22"/>
        </w:rPr>
        <w:t>ex parte</w:t>
      </w:r>
      <w:r>
        <w:rPr>
          <w:color w:val="000000"/>
          <w:szCs w:val="22"/>
        </w:rPr>
        <w:t xml:space="preserve"> submission also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Kathy Harris, </w:t>
      </w:r>
      <w:r>
        <w:rPr>
          <w:szCs w:val="22"/>
        </w:rPr>
        <w:t xml:space="preserve">Mobility Division, </w:t>
      </w:r>
      <w:r>
        <w:rPr>
          <w:rFonts w:cs="TmsRmn"/>
          <w:szCs w:val="22"/>
        </w:rPr>
        <w:t>Wireless Telecommunications Bureau, at kathy.harris@fcc.gov or (202) 418-2643 (facsimile);</w:t>
      </w:r>
      <w:r>
        <w:rPr>
          <w:szCs w:val="22"/>
        </w:rPr>
        <w:t xml:space="preserve"> (2) Linda Ray, Broadband Division, Wireless Telecommunications Bureau, at linda.ray@fcc.gov or </w:t>
      </w:r>
      <w:r>
        <w:rPr>
          <w:rFonts w:cs="TmsRmn"/>
          <w:szCs w:val="22"/>
        </w:rPr>
        <w:t xml:space="preserve">(202) 418-7247 (facsimile); (3) </w:t>
      </w:r>
      <w:r>
        <w:rPr>
          <w:color w:val="000000"/>
          <w:szCs w:val="22"/>
        </w:rPr>
        <w:t xml:space="preserve">Kate Matraves, </w:t>
      </w:r>
      <w:r>
        <w:rPr>
          <w:szCs w:val="22"/>
        </w:rPr>
        <w:t>Competition and Infrastructure Policy Division</w:t>
      </w:r>
      <w:r>
        <w:rPr>
          <w:rFonts w:cs="TmsRmn"/>
          <w:szCs w:val="22"/>
        </w:rPr>
        <w:t xml:space="preserve">, </w:t>
      </w:r>
      <w:r>
        <w:rPr>
          <w:szCs w:val="22"/>
        </w:rPr>
        <w:t>Wireless Telecommunications Bureau</w:t>
      </w:r>
      <w:r>
        <w:rPr>
          <w:color w:val="000000"/>
          <w:szCs w:val="22"/>
        </w:rPr>
        <w:t>, at catherine.matraves@fcc.gov or (202) 418-0787</w:t>
      </w:r>
      <w:r>
        <w:rPr>
          <w:szCs w:val="22"/>
        </w:rPr>
        <w:t xml:space="preserve">; and </w:t>
      </w:r>
      <w:r>
        <w:rPr>
          <w:color w:val="000000"/>
          <w:szCs w:val="22"/>
        </w:rPr>
        <w:t>(4) Jim Bird, Office of General Counsel, at TransactionTeam@fcc.gov or (202) 418-1234 (facsimile)</w:t>
      </w:r>
      <w:r>
        <w:rPr>
          <w:szCs w:val="22"/>
        </w:rPr>
        <w:t>.</w:t>
      </w:r>
    </w:p>
    <w:p w:rsidR="00A84607" w:rsidRPr="00877FDB" w:rsidP="00A84607">
      <w:pPr>
        <w:ind w:firstLine="720"/>
        <w:rPr>
          <w:sz w:val="24"/>
          <w:szCs w:val="24"/>
        </w:rPr>
      </w:pPr>
      <w:r>
        <w:rPr>
          <w:szCs w:val="22"/>
        </w:rPr>
        <w:t>For further information, send an email to T-MobileSprintTransaction@fcc.gov.</w:t>
      </w: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FC2" w:rsidP="004D6FC2">
    <w:pPr>
      <w:pStyle w:val="Footer"/>
      <w:jc w:val="center"/>
    </w:pPr>
    <w:r>
      <w:fldChar w:fldCharType="begin"/>
    </w:r>
    <w:r>
      <w:instrText xml:space="preserve"> PAGE   \* MERGEFORMAT </w:instrText>
    </w:r>
    <w:r>
      <w:fldChar w:fldCharType="separate"/>
    </w:r>
    <w:r w:rsidR="003B394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4607">
      <w:r>
        <w:separator/>
      </w:r>
    </w:p>
  </w:footnote>
  <w:footnote w:type="continuationSeparator" w:id="1">
    <w:p w:rsidR="00A84607">
      <w:r>
        <w:continuationSeparator/>
      </w:r>
    </w:p>
  </w:footnote>
  <w:footnote w:id="2">
    <w:p w:rsidR="00A84607" w:rsidRPr="007067A6" w:rsidP="00A84607">
      <w:pPr>
        <w:pStyle w:val="FootnoteText"/>
        <w:spacing w:after="120"/>
        <w:rPr>
          <w:sz w:val="20"/>
        </w:rPr>
      </w:pPr>
      <w:r>
        <w:rPr>
          <w:rStyle w:val="FootnoteReference"/>
          <w:sz w:val="20"/>
        </w:rPr>
        <w:footnoteRef/>
      </w:r>
      <w:r>
        <w:t xml:space="preserve"> </w:t>
      </w:r>
      <w:r w:rsidRPr="005607BD">
        <w:rPr>
          <w:snapToGrid w:val="0"/>
          <w:sz w:val="20"/>
        </w:rPr>
        <w:t>47 CFR § 1.1200(a).</w:t>
      </w:r>
    </w:p>
  </w:footnote>
  <w:footnote w:id="3">
    <w:p w:rsidR="00A84607" w:rsidRPr="007067A6" w:rsidP="00A84607">
      <w:pPr>
        <w:pStyle w:val="FootnoteText"/>
        <w:spacing w:after="120"/>
        <w:rPr>
          <w:sz w:val="20"/>
        </w:rPr>
      </w:pPr>
      <w:r>
        <w:rPr>
          <w:rStyle w:val="FootnoteReference"/>
          <w:sz w:val="20"/>
        </w:rPr>
        <w:footnoteRef/>
      </w:r>
      <w:r>
        <w:t xml:space="preserve"> </w:t>
      </w:r>
      <w:r w:rsidRPr="005607BD">
        <w:rPr>
          <w:i/>
          <w:snapToGrid w:val="0"/>
          <w:sz w:val="20"/>
        </w:rPr>
        <w:t>Id</w:t>
      </w:r>
      <w:r w:rsidRPr="005607BD">
        <w:rPr>
          <w:snapToGrid w:val="0"/>
          <w:sz w:val="20"/>
        </w:rPr>
        <w:t>. § 1.1206.</w:t>
      </w:r>
    </w:p>
  </w:footnote>
  <w:footnote w:id="4">
    <w:p w:rsidR="00A84607" w:rsidRPr="007067A6" w:rsidP="00A84607">
      <w:pPr>
        <w:pStyle w:val="FootnoteText"/>
        <w:spacing w:after="120"/>
        <w:rPr>
          <w:sz w:val="20"/>
        </w:rPr>
      </w:pPr>
      <w:r>
        <w:rPr>
          <w:rStyle w:val="FootnoteReference"/>
          <w:sz w:val="20"/>
        </w:rPr>
        <w:footnoteRef/>
      </w:r>
      <w:r>
        <w:t xml:space="preserve"> </w:t>
      </w:r>
      <w:r w:rsidRPr="005607BD">
        <w:rPr>
          <w:i/>
          <w:snapToGrid w:val="0"/>
          <w:sz w:val="20"/>
        </w:rPr>
        <w:t>Id</w:t>
      </w:r>
      <w:r w:rsidRPr="005607BD">
        <w:rPr>
          <w:snapToGrid w:val="0"/>
          <w:sz w:val="20"/>
        </w:rPr>
        <w:t>. § 1.1206</w:t>
      </w:r>
      <w:r>
        <w:rPr>
          <w:snapToGrid w:val="0"/>
          <w:sz w:val="20"/>
        </w:rPr>
        <w:t>(b)(1)</w:t>
      </w:r>
      <w:r w:rsidRPr="005607BD">
        <w:rPr>
          <w:snapToGrid w:val="0"/>
          <w:sz w:val="20"/>
        </w:rPr>
        <w:t>.</w:t>
      </w:r>
    </w:p>
  </w:footnote>
  <w:footnote w:id="5">
    <w:p w:rsidR="00A84607" w:rsidRPr="007067A6" w:rsidP="00A84607">
      <w:pPr>
        <w:pStyle w:val="FootnoteText"/>
        <w:spacing w:after="120"/>
        <w:rPr>
          <w:sz w:val="20"/>
        </w:rPr>
      </w:pPr>
      <w:r>
        <w:rPr>
          <w:rStyle w:val="FootnoteReference"/>
          <w:sz w:val="20"/>
        </w:rPr>
        <w:footnoteRef/>
      </w:r>
      <w:r>
        <w:t xml:space="preserve"> </w:t>
      </w:r>
      <w:r>
        <w:rPr>
          <w:i/>
          <w:snapToGrid w:val="0"/>
          <w:sz w:val="20"/>
        </w:rPr>
        <w:t>Id</w:t>
      </w:r>
      <w:r w:rsidRPr="005607BD">
        <w:rPr>
          <w:snapToGrid w:val="0"/>
          <w:sz w:val="20"/>
        </w:rPr>
        <w:t>. § 1.1206(b)(2).</w:t>
      </w:r>
    </w:p>
  </w:footnote>
  <w:footnote w:id="6">
    <w:p w:rsidR="00A84607" w:rsidRPr="00204425" w:rsidP="00A84607">
      <w:pPr>
        <w:pStyle w:val="FootnoteText"/>
        <w:spacing w:after="120"/>
        <w:rPr>
          <w:sz w:val="20"/>
        </w:rPr>
      </w:pPr>
      <w:r>
        <w:rPr>
          <w:rStyle w:val="FootnoteReference"/>
          <w:sz w:val="20"/>
        </w:rPr>
        <w:footnoteRef/>
      </w:r>
      <w:r>
        <w:t xml:space="preserve"> </w:t>
      </w:r>
      <w:r w:rsidRPr="00204425">
        <w:rPr>
          <w:i/>
          <w:sz w:val="20"/>
        </w:rPr>
        <w:t>Id.</w:t>
      </w:r>
      <w:r w:rsidRPr="00204425">
        <w:rPr>
          <w:spacing w:val="-2"/>
          <w:sz w:val="20"/>
        </w:rPr>
        <w:t xml:space="preserve"> § 1.1206(b).</w:t>
      </w:r>
    </w:p>
  </w:footnote>
  <w:footnote w:id="7">
    <w:p w:rsidR="00A84607" w:rsidRPr="00204425" w:rsidP="00A84607">
      <w:pPr>
        <w:pStyle w:val="FootnoteText"/>
        <w:spacing w:after="120"/>
        <w:rPr>
          <w:sz w:val="20"/>
        </w:rPr>
      </w:pPr>
      <w:r w:rsidRPr="00204425">
        <w:rPr>
          <w:rStyle w:val="FootnoteReference"/>
          <w:sz w:val="20"/>
        </w:rPr>
        <w:footnoteRef/>
      </w:r>
      <w:r w:rsidRPr="00204425">
        <w:rPr>
          <w:sz w:val="20"/>
        </w:rPr>
        <w:t xml:space="preserve"> </w:t>
      </w:r>
      <w:bookmarkStart w:id="2" w:name="SearchTerm"/>
      <w:r>
        <w:rPr>
          <w:i/>
          <w:sz w:val="20"/>
        </w:rPr>
        <w:t xml:space="preserve">See </w:t>
      </w:r>
      <w:r w:rsidRPr="007612E0">
        <w:rPr>
          <w:sz w:val="20"/>
        </w:rPr>
        <w:t>47 CFR § 1.1206(b)</w:t>
      </w:r>
      <w:r>
        <w:rPr>
          <w:sz w:val="20"/>
        </w:rPr>
        <w:t xml:space="preserve">(2).  </w:t>
      </w:r>
      <w:r>
        <w:rPr>
          <w:i/>
          <w:sz w:val="20"/>
        </w:rPr>
        <w:t xml:space="preserve">See also </w:t>
      </w:r>
      <w:r w:rsidRPr="00330618">
        <w:rPr>
          <w:bCs/>
          <w:i/>
          <w:sz w:val="20"/>
        </w:rPr>
        <w:t>FCC</w:t>
      </w:r>
      <w:r w:rsidRPr="00330618">
        <w:rPr>
          <w:i/>
          <w:sz w:val="20"/>
        </w:rPr>
        <w:t xml:space="preserve"> </w:t>
      </w:r>
      <w:bookmarkStart w:id="3" w:name="SR;2767"/>
      <w:bookmarkEnd w:id="3"/>
      <w:r w:rsidRPr="00330618">
        <w:rPr>
          <w:bCs/>
          <w:i/>
          <w:sz w:val="20"/>
        </w:rPr>
        <w:t>Announces</w:t>
      </w:r>
      <w:r w:rsidRPr="00330618">
        <w:rPr>
          <w:i/>
          <w:sz w:val="20"/>
        </w:rPr>
        <w:t xml:space="preserve"> </w:t>
      </w:r>
      <w:bookmarkStart w:id="4" w:name="SR;2768"/>
      <w:bookmarkEnd w:id="4"/>
      <w:r w:rsidRPr="00330618">
        <w:rPr>
          <w:bCs/>
          <w:i/>
          <w:sz w:val="20"/>
        </w:rPr>
        <w:t>Change</w:t>
      </w:r>
      <w:r w:rsidRPr="00330618">
        <w:rPr>
          <w:i/>
          <w:sz w:val="20"/>
        </w:rPr>
        <w:t xml:space="preserve"> in </w:t>
      </w:r>
      <w:bookmarkStart w:id="5" w:name="SR;2770"/>
      <w:bookmarkEnd w:id="5"/>
      <w:r w:rsidRPr="00330618">
        <w:rPr>
          <w:bCs/>
          <w:i/>
          <w:sz w:val="20"/>
        </w:rPr>
        <w:t>Filing</w:t>
      </w:r>
      <w:r w:rsidRPr="00330618">
        <w:rPr>
          <w:i/>
          <w:sz w:val="20"/>
        </w:rPr>
        <w:t xml:space="preserve"> </w:t>
      </w:r>
      <w:bookmarkStart w:id="6" w:name="SR;2771"/>
      <w:bookmarkEnd w:id="6"/>
      <w:r w:rsidRPr="00330618">
        <w:rPr>
          <w:bCs/>
          <w:i/>
          <w:sz w:val="20"/>
        </w:rPr>
        <w:t>Location</w:t>
      </w:r>
      <w:r w:rsidRPr="00330618">
        <w:rPr>
          <w:i/>
          <w:sz w:val="20"/>
        </w:rPr>
        <w:t xml:space="preserve"> for </w:t>
      </w:r>
      <w:bookmarkStart w:id="7" w:name="SR;2773"/>
      <w:bookmarkEnd w:id="7"/>
      <w:r w:rsidRPr="00330618">
        <w:rPr>
          <w:bCs/>
          <w:i/>
          <w:sz w:val="20"/>
        </w:rPr>
        <w:t>Paper</w:t>
      </w:r>
      <w:r w:rsidRPr="00330618">
        <w:rPr>
          <w:i/>
          <w:sz w:val="20"/>
        </w:rPr>
        <w:t xml:space="preserve"> </w:t>
      </w:r>
      <w:bookmarkStart w:id="8" w:name="SR;2774"/>
      <w:bookmarkEnd w:id="2"/>
      <w:bookmarkEnd w:id="8"/>
      <w:r w:rsidRPr="00330618">
        <w:rPr>
          <w:bCs/>
          <w:i/>
          <w:sz w:val="20"/>
        </w:rPr>
        <w:t>Documents</w:t>
      </w:r>
      <w:r w:rsidRPr="00330618">
        <w:rPr>
          <w:sz w:val="20"/>
        </w:rPr>
        <w:t xml:space="preserve">, </w:t>
      </w:r>
      <w:r w:rsidRPr="00330618">
        <w:rPr>
          <w:iCs/>
          <w:sz w:val="20"/>
        </w:rPr>
        <w:t>Public Notice</w:t>
      </w:r>
      <w:r w:rsidRPr="00330618">
        <w:rPr>
          <w:sz w:val="20"/>
        </w:rPr>
        <w:t>, 24 FCC Rcd 14312 (2009).</w:t>
      </w:r>
    </w:p>
  </w:footnote>
  <w:footnote w:id="8">
    <w:p w:rsidR="00A84607" w:rsidP="00A84607">
      <w:pPr>
        <w:pStyle w:val="FootnoteText"/>
        <w:rPr>
          <w:sz w:val="20"/>
        </w:rPr>
      </w:pPr>
      <w:r>
        <w:rPr>
          <w:rStyle w:val="FootnoteReference"/>
          <w:sz w:val="20"/>
        </w:rPr>
        <w:footnoteRef/>
      </w:r>
      <w:r>
        <w:rPr>
          <w:sz w:val="20"/>
        </w:rPr>
        <w:t xml:space="preserve"> </w:t>
      </w:r>
      <w:r>
        <w:rPr>
          <w:i/>
          <w:sz w:val="20"/>
        </w:rPr>
        <w:t>Electronic Filing of Documents in Rulemaking Proceedings</w:t>
      </w:r>
      <w:r>
        <w:rPr>
          <w:sz w:val="20"/>
        </w:rPr>
        <w:t>,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60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A84607"/>
    <w:rPr>
      <w:sz w:val="22"/>
    </w:rPr>
  </w:style>
  <w:style w:type="character" w:customStyle="1" w:styleId="HeaderChar">
    <w:name w:val="Header Char"/>
    <w:link w:val="Header"/>
    <w:uiPriority w:val="99"/>
    <w:rsid w:val="004D6FC2"/>
    <w:rPr>
      <w:sz w:val="22"/>
    </w:rPr>
  </w:style>
  <w:style w:type="character" w:customStyle="1" w:styleId="FooterChar">
    <w:name w:val="Footer Char"/>
    <w:link w:val="Footer"/>
    <w:uiPriority w:val="99"/>
    <w:rsid w:val="004D6F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