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D7D09" w:rsidRPr="00EF2C5A" w:rsidP="00AD7D09">
      <w:pPr>
        <w:pStyle w:val="Title"/>
        <w:outlineLvl w:val="0"/>
        <w:rPr>
          <w:szCs w:val="22"/>
        </w:rPr>
      </w:pPr>
      <w:r w:rsidRPr="00EF2C5A">
        <w:rPr>
          <w:szCs w:val="22"/>
        </w:rPr>
        <w:t>Before the</w:t>
      </w:r>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TeleUno</w:t>
            </w:r>
            <w:r>
              <w:rPr>
                <w:szCs w:val="22"/>
              </w:rPr>
              <w:t>, Inc.</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AD7D09" w:rsidP="00872D0C">
            <w:pPr>
              <w:pStyle w:val="TOAHeading"/>
              <w:rPr>
                <w:spacing w:val="-2"/>
              </w:rPr>
            </w:pPr>
            <w:r>
              <w:rPr>
                <w:szCs w:val="22"/>
              </w:rPr>
              <w:t>Complaint No</w:t>
            </w:r>
            <w:r w:rsidRPr="00EF2C5A">
              <w:rPr>
                <w:szCs w:val="22"/>
              </w:rPr>
              <w:t>.</w:t>
            </w:r>
            <w:r w:rsidR="00B474B4">
              <w:rPr>
                <w:spacing w:val="-2"/>
              </w:rPr>
              <w:t xml:space="preserve"> 353553</w:t>
            </w:r>
          </w:p>
          <w:p w:rsidR="00AD7D09" w:rsidRPr="00142D97" w:rsidP="00872D0C">
            <w:r>
              <w:t xml:space="preserve">                           </w:t>
            </w:r>
          </w:p>
        </w:tc>
      </w:tr>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p>
        </w:tc>
        <w:tc>
          <w:tcPr>
            <w:tcW w:w="630" w:type="dxa"/>
          </w:tcPr>
          <w:p w:rsidR="00AD7D09" w:rsidRPr="00142D97"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tc>
      </w:tr>
    </w:tbl>
    <w:p w:rsidR="00AD7D09" w:rsidRPr="00142D97" w:rsidP="00AD7D09">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Pr>
          <w:b/>
          <w:spacing w:val="-2"/>
        </w:rPr>
        <w:t>Adopted: June 20</w:t>
      </w:r>
      <w:r w:rsidRPr="00142D97">
        <w:rPr>
          <w:b/>
          <w:spacing w:val="-2"/>
        </w:rPr>
        <w:t>, 2018</w:t>
      </w:r>
      <w:r w:rsidRPr="00142D97">
        <w:rPr>
          <w:b/>
          <w:spacing w:val="-2"/>
        </w:rPr>
        <w:tab/>
        <w:t>Released:</w:t>
      </w:r>
      <w:r>
        <w:rPr>
          <w:b/>
          <w:spacing w:val="-2"/>
        </w:rPr>
        <w:t xml:space="preserve"> June 21</w:t>
      </w:r>
      <w:bookmarkStart w:id="0" w:name="_GoBack"/>
      <w:bookmarkEnd w:id="0"/>
      <w:r w:rsidRPr="00142D97">
        <w:rPr>
          <w:b/>
          <w:spacing w:val="-2"/>
        </w:rPr>
        <w:t>, 2018</w:t>
      </w:r>
    </w:p>
    <w:p w:rsidR="00AD7D09" w:rsidRPr="00142D97" w:rsidP="00AD7D09"/>
    <w:p w:rsidR="00AD7D09" w:rsidRPr="00142D97" w:rsidP="00AD7D09">
      <w:r w:rsidRPr="00142D97">
        <w:t>By the Deputy Chief, Consumer Policy Division, Consumer &amp; Governmental Affairs Bureau:</w:t>
      </w:r>
    </w:p>
    <w:p w:rsidR="00AD7D09" w:rsidRPr="00142D97" w:rsidP="00AD7D09">
      <w:pPr>
        <w:tabs>
          <w:tab w:val="left" w:pos="432"/>
        </w:tabs>
      </w:pPr>
    </w:p>
    <w:p w:rsidR="00AD7D09" w:rsidRPr="00142D97" w:rsidP="00AD7D09">
      <w:pPr>
        <w:numPr>
          <w:ilvl w:val="0"/>
          <w:numId w:val="7"/>
        </w:numPr>
        <w:tabs>
          <w:tab w:val="num" w:pos="0"/>
          <w:tab w:val="clear" w:pos="1440"/>
        </w:tabs>
        <w:spacing w:after="120"/>
        <w:ind w:left="0" w:firstLine="720"/>
        <w:jc w:val="left"/>
      </w:pPr>
      <w:r w:rsidRPr="00142D97">
        <w:t xml:space="preserve">In this Order, we consider </w:t>
      </w:r>
      <w:r>
        <w:t xml:space="preserve">the </w:t>
      </w:r>
      <w:r w:rsidRPr="00142D97">
        <w:t>complaint</w:t>
      </w:r>
      <w:r>
        <w:rPr>
          <w:rStyle w:val="FootnoteReference"/>
          <w:szCs w:val="22"/>
        </w:rPr>
        <w:footnoteReference w:id="3"/>
      </w:r>
      <w:r w:rsidRPr="00142D97">
        <w:t xml:space="preserve"> alleging that</w:t>
      </w:r>
      <w:r w:rsidR="00B474B4">
        <w:t xml:space="preserve"> </w:t>
      </w:r>
      <w:r w:rsidR="00B474B4">
        <w:t>TeleUno</w:t>
      </w:r>
      <w:r>
        <w:t>, Inc. (</w:t>
      </w:r>
      <w:r w:rsidR="00B474B4">
        <w:t>TeleUno</w:t>
      </w:r>
      <w:r>
        <w:t>)</w:t>
      </w:r>
      <w:r w:rsidRPr="00142D97">
        <w:t xml:space="preserve"> </w:t>
      </w:r>
      <w:r>
        <w:t>changed Complainant</w:t>
      </w:r>
      <w:r w:rsidRPr="00142D97">
        <w:t>’</w:t>
      </w:r>
      <w:r>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rsidR="00B474B4">
        <w:t>TeleUno</w:t>
      </w:r>
      <w:r>
        <w:t>’s</w:t>
      </w:r>
      <w:r>
        <w:t xml:space="preserve"> actions violated the Commission’s carrier change rules and we grant Complainant’s complaint</w:t>
      </w:r>
      <w:r w:rsidRPr="00142D97">
        <w:t>.</w:t>
      </w:r>
    </w:p>
    <w:p w:rsidR="00AD7D09" w:rsidRPr="00142D97" w:rsidP="00AD7D09">
      <w:pPr>
        <w:numPr>
          <w:ilvl w:val="0"/>
          <w:numId w:val="7"/>
        </w:numPr>
        <w:spacing w:after="120"/>
        <w:ind w:left="0" w:firstLine="720"/>
        <w:jc w:val="left"/>
      </w:pPr>
      <w:r w:rsidRPr="00142D97">
        <w:t>Section 258 of the Communications Act of 1934 (Act), as amended by the Telecommunications Act of 1996 (1996 Act)</w:t>
      </w:r>
      <w:r>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8"/>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9"/>
      </w:r>
      <w:r w:rsidRPr="00142D97">
        <w:t xml:space="preserve">  </w:t>
      </w:r>
    </w:p>
    <w:p w:rsidR="00AD7D09" w:rsidP="00AD7D09">
      <w:pPr>
        <w:numPr>
          <w:ilvl w:val="0"/>
          <w:numId w:val="7"/>
        </w:numPr>
        <w:tabs>
          <w:tab w:val="clear" w:pos="1440"/>
        </w:tabs>
        <w:spacing w:after="120"/>
        <w:ind w:left="0" w:firstLine="720"/>
        <w:jc w:val="left"/>
      </w:pPr>
      <w:r w:rsidRPr="00142D97">
        <w:t xml:space="preserve">We received </w:t>
      </w:r>
      <w:r>
        <w:t>Complainant</w:t>
      </w:r>
      <w:r w:rsidRPr="00142D97">
        <w:t>’</w:t>
      </w:r>
      <w:r>
        <w:t>s</w:t>
      </w:r>
      <w:r w:rsidRPr="00142D97">
        <w:t xml:space="preserve"> complaint</w:t>
      </w:r>
      <w:r>
        <w:t xml:space="preserve"> on </w:t>
      </w:r>
      <w:r w:rsidR="00B474B4">
        <w:t>June 20</w:t>
      </w:r>
      <w:r>
        <w:t>, 20</w:t>
      </w:r>
      <w:r w:rsidR="00B474B4">
        <w:t>5</w:t>
      </w:r>
      <w:r>
        <w:t>,</w:t>
      </w:r>
      <w:r w:rsidRPr="00142D97">
        <w:t xml:space="preserve"> alleging that Complainant’</w:t>
      </w:r>
      <w:r>
        <w:t>s</w:t>
      </w:r>
      <w:r w:rsidRPr="00142D97">
        <w:t xml:space="preserve"> tele</w:t>
      </w:r>
      <w:r>
        <w:t>communications service provider</w:t>
      </w:r>
      <w:r w:rsidRPr="00142D97">
        <w:t xml:space="preserve"> had b</w:t>
      </w:r>
      <w:r>
        <w:t>een changed without Complainant</w:t>
      </w:r>
      <w:r w:rsidRPr="00142D97">
        <w:t>’</w:t>
      </w:r>
      <w:r>
        <w:t>s</w:t>
      </w:r>
      <w:r w:rsidRPr="00142D97">
        <w:t xml:space="preserve"> authorization.</w:t>
      </w:r>
      <w:r>
        <w:rPr>
          <w:rStyle w:val="FootnoteReference"/>
          <w:szCs w:val="22"/>
        </w:rPr>
        <w:footnoteReference w:id="10"/>
      </w:r>
      <w:r w:rsidRPr="00142D97">
        <w:t xml:space="preserve">  Pursuant to Sections 1.719</w:t>
      </w:r>
      <w:r>
        <w:t xml:space="preserve"> </w:t>
      </w:r>
      <w:r w:rsidRPr="00142D97">
        <w:t>and 64.1150 of our rules,</w:t>
      </w:r>
      <w:r>
        <w:rPr>
          <w:rStyle w:val="FootnoteReference"/>
        </w:rPr>
        <w:footnoteReference w:id="11"/>
      </w:r>
      <w:r w:rsidRPr="00142D97">
        <w:t xml:space="preserve"> we notified </w:t>
      </w:r>
      <w:r w:rsidR="00B474B4">
        <w:t>TeleUno</w:t>
      </w:r>
      <w:r>
        <w:t xml:space="preserve"> of the complaint</w:t>
      </w:r>
      <w:r w:rsidRPr="00142D97">
        <w:t xml:space="preserve">.  </w:t>
      </w:r>
      <w:r w:rsidR="00B474B4">
        <w:t>TeleUno</w:t>
      </w:r>
      <w:r>
        <w:t xml:space="preserve"> has failed to respond to the complaint.  The failure of </w:t>
      </w:r>
      <w:r w:rsidR="00B474B4">
        <w:t>TeleUno</w:t>
      </w:r>
      <w:r>
        <w:t xml:space="preserve"> to respond or provide proof of verification is presumed to be clear and convincing evidence of a violation</w:t>
      </w:r>
      <w:r>
        <w:rPr>
          <w:rStyle w:val="FootnoteReference"/>
        </w:rPr>
        <w:footnoteReference w:id="12"/>
      </w:r>
      <w:r>
        <w:t xml:space="preserve">  Therefore, we find that </w:t>
      </w:r>
      <w:r w:rsidR="00B474B4">
        <w:t>TeleUno</w:t>
      </w:r>
      <w:r>
        <w:t>’s</w:t>
      </w:r>
      <w:r>
        <w:t xml:space="preserve"> actions resulted in a violation of our carrier change rules and we discuss </w:t>
      </w:r>
      <w:r w:rsidR="00B474B4">
        <w:t>TeleUno</w:t>
      </w:r>
      <w:r>
        <w:t>’s</w:t>
      </w:r>
      <w:r>
        <w:t xml:space="preserve"> liability below.</w:t>
      </w:r>
      <w:r>
        <w:rPr>
          <w:rStyle w:val="FootnoteReference"/>
        </w:rPr>
        <w:footnoteReference w:id="13"/>
      </w:r>
      <w:r w:rsidRPr="00142D97">
        <w:t xml:space="preserve">  </w:t>
      </w:r>
      <w:r>
        <w:t>We also will forward a copy of the record of this proceeding to our Enforcement Bureau to determine what additional action may be necessary.</w:t>
      </w:r>
    </w:p>
    <w:p w:rsidR="00AD7D09" w:rsidP="00AD7D09">
      <w:pPr>
        <w:numPr>
          <w:ilvl w:val="0"/>
          <w:numId w:val="7"/>
        </w:numPr>
        <w:tabs>
          <w:tab w:val="clear" w:pos="1440"/>
        </w:tabs>
        <w:spacing w:after="120"/>
        <w:ind w:left="0" w:firstLine="720"/>
        <w:jc w:val="left"/>
      </w:pPr>
      <w:r>
        <w:t>TeleUno</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4"/>
      </w:r>
      <w:r>
        <w:t xml:space="preserve">  </w:t>
      </w:r>
      <w:r>
        <w:t xml:space="preserve">We have determined that Complainant are entitled to absolution for the charges incurred during the first thirty days after the unauthorized change occurred and that neither the Complainant authorized carrier not </w:t>
      </w:r>
      <w:r>
        <w:t>TeleUno</w:t>
      </w:r>
      <w:r>
        <w:t xml:space="preserve"> may pursue any collection against Complainant for those charges</w:t>
      </w:r>
      <w:r>
        <w:t>.</w:t>
      </w:r>
      <w:r>
        <w:rPr>
          <w:rStyle w:val="FootnoteReference"/>
        </w:rPr>
        <w:footnoteReference w:id="15"/>
      </w:r>
      <w:r>
        <w:t xml:space="preserve">  </w:t>
      </w:r>
      <w:r>
        <w:t xml:space="preserve">Any charges imposed by </w:t>
      </w:r>
      <w:r>
        <w:t>TeleUno</w:t>
      </w:r>
      <w:r>
        <w:t xml:space="preserve"> on the subscribers for service provided after this 30-day period shall be paid by the subscribers to the authorized carrier at the rates the subscribers were paying to the authorized carriers at the time of unauthorized change of telecommunications service provider</w:t>
      </w:r>
      <w:r>
        <w:t>.</w:t>
      </w:r>
      <w:r>
        <w:rPr>
          <w:rStyle w:val="FootnoteReference"/>
        </w:rPr>
        <w:footnoteReference w:id="16"/>
      </w:r>
    </w:p>
    <w:p w:rsidR="00AD7D09" w:rsidP="00AD7D09">
      <w:pPr>
        <w:numPr>
          <w:ilvl w:val="0"/>
          <w:numId w:val="7"/>
        </w:numPr>
        <w:tabs>
          <w:tab w:val="num" w:pos="0"/>
          <w:tab w:val="clear" w:pos="1440"/>
        </w:tabs>
        <w:spacing w:after="120"/>
        <w:ind w:left="0" w:firstLine="720"/>
        <w:jc w:val="left"/>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Pr="00142D97">
        <w:t xml:space="preserve"> against </w:t>
      </w:r>
      <w:r w:rsidR="00B474B4">
        <w:t>TeleUno</w:t>
      </w:r>
      <w:r w:rsidRPr="00142D97">
        <w:t xml:space="preserve"> Communications</w:t>
      </w:r>
      <w:r>
        <w:t>, IS GRANTED</w:t>
      </w:r>
      <w:r w:rsidRPr="00142D97">
        <w:t>.</w:t>
      </w:r>
    </w:p>
    <w:p w:rsidR="00AD7D09" w:rsidRPr="00F7038F" w:rsidP="00AD7D09">
      <w:pPr>
        <w:numPr>
          <w:ilvl w:val="0"/>
          <w:numId w:val="7"/>
        </w:numPr>
        <w:tabs>
          <w:tab w:val="num" w:pos="0"/>
          <w:tab w:val="clear" w:pos="1440"/>
        </w:tabs>
        <w:ind w:left="0" w:firstLine="720"/>
        <w:jc w:val="left"/>
        <w:rPr>
          <w:szCs w:val="22"/>
        </w:rPr>
      </w:pPr>
      <w:r w:rsidRPr="00C82EFA">
        <w:rPr>
          <w:szCs w:val="22"/>
        </w:rPr>
        <w:t xml:space="preserve">IT IS FURTHER ORDERED that, pursuant to Section 64.1170(d) of the Commission’s rules, 47 C.F.R. </w:t>
      </w:r>
      <w:r w:rsidRPr="00F7038F">
        <w:rPr>
          <w:szCs w:val="22"/>
        </w:rPr>
        <w:t xml:space="preserve">§ 64.1170(d), Complainant are entitled to absolution for the charges incurred during the first thirty days after the unauthorized change occurred and </w:t>
      </w:r>
      <w:r w:rsidRPr="00F7038F" w:rsidR="00B474B4">
        <w:rPr>
          <w:szCs w:val="22"/>
        </w:rPr>
        <w:t>TeleUno</w:t>
      </w:r>
      <w:r w:rsidRPr="00F7038F">
        <w:rPr>
          <w:szCs w:val="22"/>
        </w:rPr>
        <w:t xml:space="preserve"> may not pursue any collection</w:t>
      </w:r>
      <w:r w:rsidRPr="00C82EFA">
        <w:rPr>
          <w:szCs w:val="22"/>
        </w:rPr>
        <w:t xml:space="preserve"> against Complainant for those charges</w:t>
      </w:r>
      <w:r w:rsidRPr="00F7038F">
        <w:rPr>
          <w:szCs w:val="22"/>
        </w:rPr>
        <w:t>.</w:t>
      </w:r>
    </w:p>
    <w:p w:rsidR="00AD7D09" w:rsidP="00AD7D09">
      <w:pPr>
        <w:jc w:val="left"/>
      </w:pPr>
    </w:p>
    <w:p w:rsidR="00AD7D09" w:rsidP="00AD7D09">
      <w:pPr>
        <w:jc w:val="left"/>
      </w:pPr>
    </w:p>
    <w:p w:rsidR="00AD7D09" w:rsidP="00AD7D09">
      <w:pPr>
        <w:jc w:val="left"/>
      </w:pPr>
    </w:p>
    <w:p w:rsidR="00AD7D09" w:rsidP="00AD7D09">
      <w:pPr>
        <w:jc w:val="left"/>
      </w:pPr>
    </w:p>
    <w:p w:rsidR="00F7038F" w:rsidP="00AD7D09">
      <w:pPr>
        <w:jc w:val="left"/>
      </w:pPr>
    </w:p>
    <w:p w:rsidR="00AD7D09" w:rsidP="00AD7D09">
      <w:pPr>
        <w:jc w:val="left"/>
      </w:pPr>
    </w:p>
    <w:p w:rsidR="00AD7D09" w:rsidP="00AD7D09">
      <w:pPr>
        <w:jc w:val="left"/>
      </w:pPr>
    </w:p>
    <w:p w:rsidR="00AD7D09" w:rsidP="00AD7D09">
      <w:pPr>
        <w:pStyle w:val="ListParagraph"/>
      </w:pPr>
    </w:p>
    <w:p w:rsidR="00AD7D09" w:rsidRPr="00142D97" w:rsidP="00AD7D09">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AD7D09">
      <w:pPr>
        <w:ind w:left="3600" w:right="270"/>
        <w:outlineLvl w:val="0"/>
      </w:pPr>
      <w:r w:rsidRPr="00142D97">
        <w:t>FEDERAL COMMUNICATIONS COMMISSION</w:t>
      </w:r>
    </w:p>
    <w:p w:rsidR="00AD7D09" w:rsidRPr="001C1F54" w:rsidP="00AD7D09">
      <w:pPr>
        <w:ind w:left="3600" w:right="270"/>
        <w:outlineLvl w:val="0"/>
      </w:pPr>
    </w:p>
    <w:p w:rsidR="00AD7D09" w:rsidRPr="00EF2C5A" w:rsidP="00AD7D09">
      <w:pPr>
        <w:ind w:right="270"/>
        <w:rPr>
          <w:szCs w:val="22"/>
        </w:rPr>
      </w:pPr>
    </w:p>
    <w:p w:rsidR="00AD7D09" w:rsidP="00AD7D09">
      <w:pPr>
        <w:ind w:left="2880" w:right="270" w:firstLine="720"/>
        <w:outlineLvl w:val="0"/>
      </w:pPr>
    </w:p>
    <w:p w:rsidR="00AD7D09" w:rsidP="00AD7D09">
      <w:pPr>
        <w:ind w:left="2880" w:right="270" w:firstLine="720"/>
        <w:outlineLvl w:val="0"/>
        <w:rPr>
          <w:szCs w:val="22"/>
        </w:rPr>
      </w:pPr>
      <w:r w:rsidRPr="00142D97">
        <w:t>Nancy A. Stevenson</w:t>
      </w:r>
      <w:r w:rsidRPr="00EF2C5A">
        <w:rPr>
          <w:szCs w:val="22"/>
        </w:rPr>
        <w:t xml:space="preserve"> </w:t>
      </w:r>
    </w:p>
    <w:p w:rsidR="00AD7D09" w:rsidRPr="00142D97" w:rsidP="00AD7D09">
      <w:pPr>
        <w:ind w:left="2880" w:right="270" w:firstLine="720"/>
      </w:pPr>
      <w:r w:rsidRPr="00142D97">
        <w:t>Deputy Chief</w:t>
      </w:r>
    </w:p>
    <w:p w:rsidR="00AD7D09" w:rsidRPr="00142D97" w:rsidP="00AD7D09">
      <w:pPr>
        <w:ind w:left="2880" w:right="270" w:firstLine="720"/>
      </w:pPr>
      <w:r w:rsidRPr="00142D97">
        <w:t>Consumer Policy Division</w:t>
      </w:r>
    </w:p>
    <w:p w:rsidR="00AD7D09" w:rsidP="00AD7D09">
      <w:pPr>
        <w:ind w:left="3600" w:right="270"/>
      </w:pPr>
      <w:r>
        <w:t xml:space="preserve">Consumer and </w:t>
      </w:r>
      <w:r w:rsidRPr="00142D97">
        <w:t>Governmental Affairs Bureau</w:t>
      </w: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RPr="00EF2C5A" w:rsidP="00AD7D09">
      <w:pPr>
        <w:ind w:right="270"/>
        <w:jc w:val="center"/>
        <w:rPr>
          <w:szCs w:val="22"/>
        </w:rPr>
      </w:pPr>
    </w:p>
    <w:p w:rsidR="00AD7D09" w:rsidRPr="002C00E8" w:rsidP="00AD7D09"/>
    <w:p w:rsidR="002C00E8" w:rsidRPr="002C00E8" w:rsidP="00AD7D09">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27FA">
      <w:r>
        <w:separator/>
      </w:r>
    </w:p>
  </w:footnote>
  <w:footnote w:type="continuationSeparator" w:id="1">
    <w:p w:rsidR="001927FA" w:rsidP="00C721AC">
      <w:pPr>
        <w:spacing w:before="120"/>
        <w:rPr>
          <w:sz w:val="20"/>
        </w:rPr>
      </w:pPr>
      <w:r>
        <w:rPr>
          <w:sz w:val="20"/>
        </w:rPr>
        <w:t xml:space="preserve">(Continued from previous page)  </w:t>
      </w:r>
      <w:r>
        <w:rPr>
          <w:sz w:val="20"/>
        </w:rPr>
        <w:separator/>
      </w:r>
    </w:p>
  </w:footnote>
  <w:footnote w:type="continuationNotice" w:id="2">
    <w:p w:rsidR="001927FA" w:rsidP="00C721AC">
      <w:pPr>
        <w:jc w:val="right"/>
        <w:rPr>
          <w:sz w:val="20"/>
        </w:rPr>
      </w:pPr>
      <w:r>
        <w:rPr>
          <w:sz w:val="20"/>
        </w:rPr>
        <w:t>(continued….)</w:t>
      </w:r>
    </w:p>
  </w:footnote>
  <w:footnote w:id="3">
    <w:p w:rsidR="00AD7D09" w:rsidP="00AD7D09">
      <w:pPr>
        <w:pStyle w:val="FootnoteText"/>
      </w:pPr>
      <w:r>
        <w:rPr>
          <w:rStyle w:val="FootnoteReference"/>
        </w:rPr>
        <w:footnoteRef/>
      </w:r>
      <w:r>
        <w:t xml:space="preserve"> Complaint No. </w:t>
      </w:r>
      <w:r w:rsidR="00B474B4">
        <w:t>353553</w:t>
      </w:r>
      <w:r>
        <w:t xml:space="preserve">, filed </w:t>
      </w:r>
      <w:r w:rsidR="00B474B4">
        <w:t>June 20</w:t>
      </w:r>
      <w:r>
        <w:t>, 2015.</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47 U.S.C. § 258(a).</w:t>
      </w:r>
    </w:p>
  </w:footnote>
  <w:footnote w:id="6">
    <w:p w:rsidR="00AD7D09" w:rsidP="00AD7D09">
      <w:pPr>
        <w:pStyle w:val="FootnoteText"/>
      </w:pPr>
      <w:r>
        <w:rPr>
          <w:rStyle w:val="FootnoteReference"/>
        </w:rPr>
        <w:footnoteRef/>
      </w:r>
      <w:r>
        <w:t xml:space="preserve"> </w:t>
      </w:r>
      <w:r w:rsidRPr="0039136D">
        <w:rPr>
          <w:i/>
        </w:rPr>
        <w:t>Id.</w:t>
      </w:r>
    </w:p>
  </w:footnote>
  <w:footnote w:id="7">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8">
    <w:p w:rsidR="00AD7D09" w:rsidP="00AD7D09">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47 CFR § 64.1130.</w:t>
      </w:r>
    </w:p>
  </w:footnote>
  <w:footnote w:id="9">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47 CFR §§ 64.1140, 64.1170.  </w:t>
      </w:r>
    </w:p>
  </w:footnote>
  <w:footnote w:id="10">
    <w:p w:rsidR="00AD7D09" w:rsidP="00AD7D09">
      <w:pPr>
        <w:pStyle w:val="FootnoteText"/>
      </w:pPr>
      <w:r>
        <w:rPr>
          <w:rStyle w:val="FootnoteReference"/>
        </w:rPr>
        <w:footnoteRef/>
      </w:r>
      <w:r>
        <w:t xml:space="preserve"> Notice of Informal Complaint No </w:t>
      </w:r>
      <w:r w:rsidR="00AA5573">
        <w:t>353553</w:t>
      </w:r>
      <w:r>
        <w:t xml:space="preserve"> was electronically sent on </w:t>
      </w:r>
      <w:r w:rsidR="00AA5573">
        <w:t>June 2</w:t>
      </w:r>
      <w:r>
        <w:t>0, 2015.</w:t>
      </w:r>
    </w:p>
  </w:footnote>
  <w:footnote w:id="11">
    <w:p w:rsidR="00AD7D09" w:rsidP="00AD7D09">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2">
    <w:p w:rsidR="00AD7D09" w:rsidRPr="003D1861" w:rsidP="00AD7D09">
      <w:pPr>
        <w:pStyle w:val="FootnoteText"/>
      </w:pPr>
      <w:r>
        <w:rPr>
          <w:rStyle w:val="FootnoteReference"/>
        </w:rPr>
        <w:footnoteRef/>
      </w:r>
      <w:r>
        <w:t xml:space="preserve"> </w:t>
      </w:r>
      <w:bookmarkStart w:id="1" w:name="_Hlk514147807"/>
      <w:r w:rsidRPr="003D1861">
        <w:rPr>
          <w:i/>
        </w:rPr>
        <w:t>See</w:t>
      </w:r>
      <w:r>
        <w:rPr>
          <w:i/>
        </w:rPr>
        <w:t xml:space="preserve"> </w:t>
      </w:r>
      <w:r>
        <w:t xml:space="preserve">47 C.F.R. </w:t>
      </w:r>
      <w:bookmarkStart w:id="2" w:name="_Hlk514147961"/>
      <w:r>
        <w:t>§</w:t>
      </w:r>
      <w:bookmarkEnd w:id="2"/>
      <w:r>
        <w:t xml:space="preserve"> 64.1150(d)</w:t>
      </w:r>
      <w:bookmarkEnd w:id="1"/>
      <w:r>
        <w:t>.</w:t>
      </w:r>
    </w:p>
  </w:footnote>
  <w:footnote w:id="13">
    <w:p w:rsidR="00AD7D09" w:rsidP="00AD7D09">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AD7D09" w:rsidP="00AD7D09">
      <w:pPr>
        <w:pStyle w:val="FootnoteText"/>
      </w:pPr>
      <w:r>
        <w:rPr>
          <w:rStyle w:val="FootnoteReference"/>
        </w:rPr>
        <w:footnoteRef/>
      </w:r>
      <w:r>
        <w:t xml:space="preserve"> </w:t>
      </w:r>
      <w:r w:rsidRPr="003D1861">
        <w:rPr>
          <w:i/>
        </w:rPr>
        <w:t>See</w:t>
      </w:r>
      <w:r>
        <w:rPr>
          <w:i/>
        </w:rPr>
        <w:t xml:space="preserve"> </w:t>
      </w:r>
      <w:r>
        <w:t>47 C.F.R. § 64.11</w:t>
      </w:r>
      <w:r w:rsidR="00B474B4">
        <w:t>6</w:t>
      </w:r>
      <w:r>
        <w:t>0(b).</w:t>
      </w:r>
    </w:p>
  </w:footnote>
  <w:footnote w:id="15">
    <w:p w:rsidR="00AD7D09" w:rsidP="00AD7D09">
      <w:pPr>
        <w:pStyle w:val="FootnoteText"/>
      </w:pPr>
      <w:r>
        <w:rPr>
          <w:rStyle w:val="FootnoteReference"/>
        </w:rPr>
        <w:footnoteRef/>
      </w:r>
      <w:r>
        <w:t xml:space="preserve"> </w:t>
      </w:r>
      <w:r w:rsidRPr="003D1861">
        <w:rPr>
          <w:i/>
        </w:rPr>
        <w:t>See</w:t>
      </w:r>
      <w:r>
        <w:rPr>
          <w:i/>
        </w:rPr>
        <w:t xml:space="preserve"> </w:t>
      </w:r>
      <w:r>
        <w:t>47 C.F.R. § 64.11</w:t>
      </w:r>
      <w:r w:rsidR="00B474B4">
        <w:t>6</w:t>
      </w:r>
      <w:r>
        <w:t>0(</w:t>
      </w:r>
      <w:r w:rsidR="00B474B4">
        <w:t>d</w:t>
      </w:r>
      <w:r>
        <w:t>).</w:t>
      </w:r>
    </w:p>
  </w:footnote>
  <w:footnote w:id="16">
    <w:p w:rsidR="00AD7D09" w:rsidP="00AD7D09">
      <w:pPr>
        <w:pStyle w:val="FootnoteText"/>
      </w:pPr>
      <w:r>
        <w:rPr>
          <w:rStyle w:val="FootnoteReference"/>
        </w:rPr>
        <w:footnoteRef/>
      </w:r>
      <w:r>
        <w:t xml:space="preserve"> </w:t>
      </w:r>
      <w:r w:rsidRPr="003D1861">
        <w:rPr>
          <w:i/>
        </w:rPr>
        <w:t>See</w:t>
      </w:r>
      <w:r>
        <w:rPr>
          <w:i/>
        </w:rPr>
        <w:t xml:space="preserve"> </w:t>
      </w:r>
      <w:r>
        <w:t>47 C.F.R. § 64.11</w:t>
      </w:r>
      <w:r w:rsidR="00AA5573">
        <w:t>4</w:t>
      </w:r>
      <w:r>
        <w:t>0</w:t>
      </w:r>
      <w:r w:rsidR="00AA5573">
        <w:t>, 64.1160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18-</w:t>
    </w:r>
    <w:r w:rsidR="00547C42">
      <w:t>643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18 -</w:t>
    </w:r>
    <w:r w:rsidR="00547C42">
      <w:rPr>
        <w:spacing w:val="-2"/>
      </w:rPr>
      <w:t>643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C82EFA"/>
    <w:rPr>
      <w:rFonts w:ascii="Segoe UI" w:hAnsi="Segoe UI" w:cs="Segoe UI"/>
      <w:sz w:val="18"/>
      <w:szCs w:val="18"/>
    </w:rPr>
  </w:style>
  <w:style w:type="character" w:customStyle="1" w:styleId="BalloonTextChar">
    <w:name w:val="Balloon Text Char"/>
    <w:basedOn w:val="DefaultParagraphFont"/>
    <w:link w:val="BalloonText"/>
    <w:rsid w:val="00C82EF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