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50150" w:rsidRPr="009614B0" w:rsidP="008621B3">
      <w:pPr>
        <w:rPr>
          <w:b/>
          <w:szCs w:val="22"/>
        </w:rPr>
      </w:pPr>
      <w:r>
        <w:rPr>
          <w:b/>
          <w:szCs w:val="22"/>
        </w:rPr>
        <w:t xml:space="preserve">                                                                                                                              </w:t>
      </w:r>
      <w:bookmarkStart w:id="0" w:name="_GoBack"/>
      <w:bookmarkEnd w:id="0"/>
      <w:r w:rsidRPr="009614B0" w:rsidR="00697ADC">
        <w:rPr>
          <w:b/>
          <w:szCs w:val="22"/>
        </w:rPr>
        <w:t>DA 1</w:t>
      </w:r>
      <w:r w:rsidR="007A0A87">
        <w:rPr>
          <w:b/>
          <w:szCs w:val="22"/>
        </w:rPr>
        <w:t>8</w:t>
      </w:r>
      <w:r w:rsidRPr="009614B0" w:rsidR="00697ADC">
        <w:rPr>
          <w:b/>
          <w:szCs w:val="22"/>
        </w:rPr>
        <w:t>-</w:t>
      </w:r>
      <w:r>
        <w:rPr>
          <w:b/>
          <w:szCs w:val="22"/>
        </w:rPr>
        <w:t>662</w:t>
      </w:r>
    </w:p>
    <w:p w:rsidR="00750150" w:rsidP="00AB13F9">
      <w:pPr>
        <w:spacing w:after="120"/>
        <w:ind w:left="6480"/>
        <w:rPr>
          <w:b/>
          <w:szCs w:val="22"/>
        </w:rPr>
      </w:pPr>
      <w:r>
        <w:rPr>
          <w:b/>
          <w:szCs w:val="22"/>
        </w:rPr>
        <w:t xml:space="preserve"> </w:t>
      </w:r>
      <w:r w:rsidR="00C3795C">
        <w:rPr>
          <w:b/>
          <w:szCs w:val="22"/>
        </w:rPr>
        <w:t xml:space="preserve">      </w:t>
      </w:r>
      <w:r w:rsidR="0021672A">
        <w:rPr>
          <w:b/>
          <w:szCs w:val="22"/>
        </w:rPr>
        <w:t xml:space="preserve"> </w:t>
      </w:r>
      <w:r w:rsidRPr="009614B0" w:rsidR="00F41547">
        <w:rPr>
          <w:b/>
          <w:szCs w:val="22"/>
        </w:rPr>
        <w:t xml:space="preserve">Released: </w:t>
      </w:r>
      <w:r w:rsidR="00526CA8">
        <w:rPr>
          <w:b/>
          <w:szCs w:val="22"/>
        </w:rPr>
        <w:t xml:space="preserve"> </w:t>
      </w:r>
      <w:r w:rsidR="00A158FD">
        <w:rPr>
          <w:b/>
          <w:szCs w:val="22"/>
        </w:rPr>
        <w:t>June</w:t>
      </w:r>
      <w:r w:rsidR="00526CA8">
        <w:rPr>
          <w:b/>
          <w:szCs w:val="22"/>
        </w:rPr>
        <w:t xml:space="preserve"> </w:t>
      </w:r>
      <w:r w:rsidR="00CF2E95">
        <w:rPr>
          <w:b/>
          <w:szCs w:val="22"/>
        </w:rPr>
        <w:t>26</w:t>
      </w:r>
      <w:r w:rsidR="000F5B8C">
        <w:rPr>
          <w:b/>
          <w:szCs w:val="22"/>
        </w:rPr>
        <w:t>,</w:t>
      </w:r>
      <w:r w:rsidRPr="009614B0" w:rsidR="00F41547">
        <w:rPr>
          <w:b/>
          <w:szCs w:val="22"/>
        </w:rPr>
        <w:t xml:space="preserve"> 201</w:t>
      </w:r>
      <w:r w:rsidR="007A0A87">
        <w:rPr>
          <w:b/>
          <w:szCs w:val="22"/>
        </w:rPr>
        <w:t>8</w:t>
      </w:r>
    </w:p>
    <w:p w:rsidR="00750150" w:rsidRPr="009614B0" w:rsidP="00750150">
      <w:pPr>
        <w:spacing w:after="240"/>
        <w:jc w:val="center"/>
        <w:rPr>
          <w:b/>
          <w:caps/>
          <w:szCs w:val="22"/>
        </w:rPr>
      </w:pPr>
      <w:r w:rsidRPr="009614B0">
        <w:rPr>
          <w:b/>
          <w:caps/>
          <w:szCs w:val="22"/>
        </w:rPr>
        <w:t xml:space="preserve">INCENTIVE AUCTION TASK FORCE </w:t>
      </w:r>
      <w:r w:rsidRPr="009614B0" w:rsidR="00875A4B">
        <w:rPr>
          <w:b/>
          <w:caps/>
          <w:szCs w:val="22"/>
        </w:rPr>
        <w:t xml:space="preserve">AND MEDIA BUREAU </w:t>
      </w:r>
      <w:r w:rsidR="00BD12DC">
        <w:rPr>
          <w:b/>
          <w:caps/>
          <w:szCs w:val="22"/>
        </w:rPr>
        <w:t>UPDATE PRICE</w:t>
      </w:r>
      <w:r w:rsidR="00D1311A">
        <w:rPr>
          <w:b/>
          <w:caps/>
          <w:szCs w:val="22"/>
        </w:rPr>
        <w:t xml:space="preserve"> Ranges</w:t>
      </w:r>
      <w:r w:rsidR="00BD12DC">
        <w:rPr>
          <w:b/>
          <w:caps/>
          <w:szCs w:val="22"/>
        </w:rPr>
        <w:t xml:space="preserve"> IN CATALOG OF REIMBURSEMENT EXPENSES</w:t>
      </w:r>
      <w:r w:rsidR="00D1311A">
        <w:rPr>
          <w:b/>
          <w:caps/>
          <w:szCs w:val="22"/>
        </w:rPr>
        <w:t xml:space="preserve"> </w:t>
      </w:r>
    </w:p>
    <w:p w:rsidR="00750150" w:rsidRPr="009614B0" w:rsidP="00750150">
      <w:pPr>
        <w:jc w:val="center"/>
        <w:rPr>
          <w:b/>
          <w:szCs w:val="22"/>
        </w:rPr>
      </w:pPr>
      <w:r w:rsidRPr="009614B0">
        <w:rPr>
          <w:b/>
          <w:szCs w:val="22"/>
        </w:rPr>
        <w:t>MB Docket No. 16-306</w:t>
      </w:r>
    </w:p>
    <w:p w:rsidR="008A23A9" w:rsidP="008A23A9">
      <w:pPr>
        <w:spacing w:after="120"/>
        <w:jc w:val="center"/>
        <w:rPr>
          <w:b/>
          <w:szCs w:val="22"/>
        </w:rPr>
      </w:pPr>
      <w:r w:rsidRPr="009614B0">
        <w:rPr>
          <w:b/>
          <w:szCs w:val="22"/>
        </w:rPr>
        <w:t>GN Docket No. 12-26</w:t>
      </w:r>
      <w:r w:rsidR="001806AE">
        <w:rPr>
          <w:b/>
          <w:szCs w:val="22"/>
        </w:rPr>
        <w:t>8</w:t>
      </w:r>
    </w:p>
    <w:p w:rsidR="00867300" w:rsidP="00475EF1">
      <w:pPr>
        <w:spacing w:after="120"/>
        <w:ind w:firstLine="720"/>
      </w:pPr>
      <w:r>
        <w:t xml:space="preserve">In this public notice, </w:t>
      </w:r>
      <w:r w:rsidRPr="00282EBB">
        <w:t xml:space="preserve">the </w:t>
      </w:r>
      <w:r>
        <w:t xml:space="preserve">Incentive Auction Task Force and the </w:t>
      </w:r>
      <w:r w:rsidRPr="00282EBB">
        <w:t xml:space="preserve">Media Bureau </w:t>
      </w:r>
      <w:r>
        <w:t>(Bureau) announce that we have updated the price ranges listed in the</w:t>
      </w:r>
      <w:r w:rsidR="008A23A9">
        <w:rPr>
          <w:i/>
          <w:szCs w:val="22"/>
        </w:rPr>
        <w:t xml:space="preserve"> </w:t>
      </w:r>
      <w:r w:rsidRPr="00282EBB">
        <w:t xml:space="preserve">catalog of eligible reimbursement expenses </w:t>
      </w:r>
      <w:r>
        <w:t xml:space="preserve">(Catalog) utilized </w:t>
      </w:r>
      <w:r w:rsidRPr="00282EBB" w:rsidR="008A23A9">
        <w:t>to reimburs</w:t>
      </w:r>
      <w:r>
        <w:t>e</w:t>
      </w:r>
      <w:r w:rsidRPr="00282EBB" w:rsidR="008A23A9">
        <w:t xml:space="preserve"> eligible broadcasters and </w:t>
      </w:r>
      <w:r w:rsidR="008A23A9">
        <w:t>Multic</w:t>
      </w:r>
      <w:r w:rsidRPr="00FB3E7A" w:rsidR="008A23A9">
        <w:t>hannel</w:t>
      </w:r>
      <w:r w:rsidR="008A23A9">
        <w:t xml:space="preserve"> </w:t>
      </w:r>
      <w:r w:rsidRPr="00FB3E7A" w:rsidR="008A23A9">
        <w:t>Video</w:t>
      </w:r>
      <w:r w:rsidR="008A23A9">
        <w:t xml:space="preserve"> Programming </w:t>
      </w:r>
      <w:r w:rsidRPr="00FB3E7A" w:rsidR="008A23A9">
        <w:t>Distributors (MVPDs) from the $1.75 billion TV Broadcaster Relocation Fund (Fund).</w:t>
      </w:r>
      <w:r>
        <w:rPr>
          <w:sz w:val="20"/>
          <w:vertAlign w:val="superscript"/>
        </w:rPr>
        <w:footnoteReference w:id="3"/>
      </w:r>
      <w:r w:rsidR="008A23A9">
        <w:t xml:space="preserve">  </w:t>
      </w:r>
      <w:r>
        <w:t xml:space="preserve">The </w:t>
      </w:r>
      <w:r w:rsidR="00AC3EC9">
        <w:t>changes</w:t>
      </w:r>
      <w:r>
        <w:t xml:space="preserve"> are made</w:t>
      </w:r>
      <w:r w:rsidRPr="00867300">
        <w:t xml:space="preserve"> </w:t>
      </w:r>
      <w:r>
        <w:t>in accordance with the economic methodology previously adopted to annually adjust the Catalog’s price ranges throughout the reimbursement period.</w:t>
      </w:r>
      <w:r>
        <w:rPr>
          <w:rStyle w:val="FootnoteReference"/>
        </w:rPr>
        <w:footnoteReference w:id="4"/>
      </w:r>
    </w:p>
    <w:p w:rsidR="003558E2" w:rsidP="00323625">
      <w:pPr>
        <w:spacing w:after="120"/>
        <w:ind w:firstLine="720"/>
      </w:pPr>
      <w:r w:rsidRPr="00282EBB">
        <w:t xml:space="preserve">The </w:t>
      </w:r>
      <w:r>
        <w:t>C</w:t>
      </w:r>
      <w:r w:rsidRPr="00282EBB">
        <w:t>atalog is a no</w:t>
      </w:r>
      <w:r>
        <w:t>n-</w:t>
      </w:r>
      <w:r>
        <w:rPr>
          <w:rFonts w:eastAsia="Calibri"/>
          <w:szCs w:val="22"/>
        </w:rPr>
        <w:t>exhaustive</w:t>
      </w:r>
      <w:r w:rsidRPr="00282EBB">
        <w:t xml:space="preserve"> </w:t>
      </w:r>
      <w:r>
        <w:t>list, or reference guide,</w:t>
      </w:r>
      <w:r w:rsidRPr="00282EBB">
        <w:t xml:space="preserve"> </w:t>
      </w:r>
      <w:r>
        <w:t xml:space="preserve">organized </w:t>
      </w:r>
      <w:r w:rsidRPr="00282EBB">
        <w:t>by category</w:t>
      </w:r>
      <w:r>
        <w:t>,</w:t>
      </w:r>
      <w:r w:rsidRPr="00282EBB">
        <w:t xml:space="preserve"> of the equipment and service </w:t>
      </w:r>
      <w:r w:rsidR="00C50556">
        <w:t xml:space="preserve">costs </w:t>
      </w:r>
      <w:r w:rsidRPr="00282EBB">
        <w:t xml:space="preserve">broadcasters and MVPDs are most likely to incur </w:t>
      </w:r>
      <w:r>
        <w:t>as a result of</w:t>
      </w:r>
      <w:r w:rsidRPr="00282EBB">
        <w:t xml:space="preserve"> </w:t>
      </w:r>
      <w:r w:rsidRPr="00E37F13">
        <w:t>post-</w:t>
      </w:r>
      <w:r>
        <w:t>i</w:t>
      </w:r>
      <w:r w:rsidRPr="00E37F13">
        <w:t xml:space="preserve">ncentive </w:t>
      </w:r>
      <w:r>
        <w:t>a</w:t>
      </w:r>
      <w:r w:rsidRPr="00E37F13">
        <w:t>uction</w:t>
      </w:r>
      <w:r w:rsidRPr="00282EBB">
        <w:t xml:space="preserve"> </w:t>
      </w:r>
      <w:r>
        <w:t xml:space="preserve">broadcast </w:t>
      </w:r>
      <w:r w:rsidRPr="00282EBB">
        <w:t>transition.</w:t>
      </w:r>
      <w:r>
        <w:rPr>
          <w:sz w:val="20"/>
          <w:vertAlign w:val="superscript"/>
        </w:rPr>
        <w:footnoteReference w:id="5"/>
      </w:r>
      <w:r w:rsidR="00186E23">
        <w:t xml:space="preserve">  </w:t>
      </w:r>
      <w:r w:rsidRPr="00282EBB" w:rsidR="00BF319E">
        <w:t xml:space="preserve">The </w:t>
      </w:r>
      <w:r w:rsidR="00BF319E">
        <w:t>C</w:t>
      </w:r>
      <w:r w:rsidRPr="00282EBB" w:rsidR="00BF319E">
        <w:t xml:space="preserve">atalog </w:t>
      </w:r>
      <w:r w:rsidR="00BF319E">
        <w:t xml:space="preserve">is </w:t>
      </w:r>
      <w:r w:rsidR="00D9449C">
        <w:t>embedded within</w:t>
      </w:r>
      <w:r w:rsidR="00475EF1">
        <w:t xml:space="preserve"> </w:t>
      </w:r>
      <w:r w:rsidRPr="00972EA8" w:rsidR="00BF319E">
        <w:t>the Form 2100, Sc</w:t>
      </w:r>
      <w:r w:rsidR="00BF319E">
        <w:t>hedule 399 (Form</w:t>
      </w:r>
      <w:r w:rsidR="00114E65">
        <w:t xml:space="preserve"> 399</w:t>
      </w:r>
      <w:r w:rsidR="00D23FA2">
        <w:t>), and provides a predetermined dollar amount for expenses identified in the Catalog that entities may use when submitting their estimates in the absence of a quote</w:t>
      </w:r>
      <w:r w:rsidR="00BF319E">
        <w:t>.</w:t>
      </w:r>
      <w:r>
        <w:rPr>
          <w:rStyle w:val="FootnoteReference"/>
        </w:rPr>
        <w:footnoteReference w:id="6"/>
      </w:r>
      <w:r w:rsidR="00BF319E">
        <w:t xml:space="preserve">  </w:t>
      </w:r>
      <w:r w:rsidRPr="00282EBB" w:rsidR="008A23A9">
        <w:t xml:space="preserve">The </w:t>
      </w:r>
      <w:r w:rsidR="008A23A9">
        <w:t>Bureau</w:t>
      </w:r>
      <w:r w:rsidRPr="00282EBB" w:rsidR="008A23A9">
        <w:t xml:space="preserve"> </w:t>
      </w:r>
      <w:r w:rsidR="00064A9B">
        <w:t xml:space="preserve">previously </w:t>
      </w:r>
      <w:r w:rsidR="008A23A9">
        <w:t xml:space="preserve">sought and </w:t>
      </w:r>
      <w:r w:rsidRPr="00282EBB" w:rsidR="008A23A9">
        <w:t xml:space="preserve">received comment on the </w:t>
      </w:r>
      <w:r w:rsidR="008A23A9">
        <w:t>C</w:t>
      </w:r>
      <w:r w:rsidRPr="00282EBB" w:rsidR="008A23A9">
        <w:t>atalog</w:t>
      </w:r>
      <w:r w:rsidR="00AC3EC9">
        <w:t>.</w:t>
      </w:r>
      <w:r>
        <w:rPr>
          <w:sz w:val="20"/>
          <w:vertAlign w:val="superscript"/>
        </w:rPr>
        <w:footnoteReference w:id="7"/>
      </w:r>
      <w:r w:rsidR="008A23A9">
        <w:t xml:space="preserve">  </w:t>
      </w:r>
      <w:r w:rsidR="00867300">
        <w:t>I</w:t>
      </w:r>
      <w:r w:rsidR="00D1311A">
        <w:t xml:space="preserve">n February 2017, </w:t>
      </w:r>
      <w:r w:rsidR="006C4A78">
        <w:t>we</w:t>
      </w:r>
      <w:r>
        <w:t xml:space="preserve"> adopted</w:t>
      </w:r>
      <w:r w:rsidRPr="00E37F13" w:rsidR="008A23A9">
        <w:t xml:space="preserve"> </w:t>
      </w:r>
      <w:r w:rsidR="006C4A78">
        <w:t>the economic</w:t>
      </w:r>
      <w:r w:rsidR="00F35890">
        <w:t xml:space="preserve"> </w:t>
      </w:r>
      <w:r w:rsidRPr="00E37F13" w:rsidR="008A23A9">
        <w:t xml:space="preserve">methodology for </w:t>
      </w:r>
      <w:r w:rsidR="008A23A9">
        <w:t xml:space="preserve">annually </w:t>
      </w:r>
      <w:r w:rsidR="008A23A9">
        <w:t xml:space="preserve">adjusting </w:t>
      </w:r>
      <w:r w:rsidR="00F35890">
        <w:t>its</w:t>
      </w:r>
      <w:r w:rsidR="008A23A9">
        <w:t xml:space="preserve"> prices </w:t>
      </w:r>
      <w:r w:rsidRPr="00E37F13" w:rsidR="008A23A9">
        <w:t xml:space="preserve">in </w:t>
      </w:r>
      <w:r w:rsidR="008A23A9">
        <w:t>accordance with</w:t>
      </w:r>
      <w:r w:rsidRPr="00E37F13" w:rsidR="008A23A9">
        <w:t xml:space="preserve"> </w:t>
      </w:r>
      <w:r w:rsidR="008A23A9">
        <w:t xml:space="preserve">the </w:t>
      </w:r>
      <w:r w:rsidRPr="00A31628" w:rsidR="008A23A9">
        <w:t>BLS</w:t>
      </w:r>
      <w:r w:rsidR="00F30121">
        <w:t>’</w:t>
      </w:r>
      <w:r w:rsidR="008A23A9">
        <w:t xml:space="preserve"> </w:t>
      </w:r>
      <w:r w:rsidR="00F30121">
        <w:t xml:space="preserve">PPI annual average for the </w:t>
      </w:r>
      <w:r w:rsidRPr="000A3553" w:rsidR="00F35890">
        <w:t>WPUFD4 series</w:t>
      </w:r>
      <w:r w:rsidRPr="00FB3E7A" w:rsidR="008A23A9">
        <w:t>.</w:t>
      </w:r>
      <w:r>
        <w:rPr>
          <w:rStyle w:val="FootnoteReference"/>
        </w:rPr>
        <w:footnoteReference w:id="8"/>
      </w:r>
      <w:r w:rsidRPr="00D9449C" w:rsidR="00D9449C">
        <w:rPr>
          <w:sz w:val="20"/>
          <w:vertAlign w:val="superscript"/>
        </w:rPr>
        <w:t xml:space="preserve"> </w:t>
      </w:r>
    </w:p>
    <w:p w:rsidR="00C50556" w:rsidP="00954793">
      <w:pPr>
        <w:spacing w:after="120"/>
        <w:ind w:firstLine="720"/>
      </w:pPr>
      <w:r w:rsidRPr="004A77F7">
        <w:t>On May 9, 2018,</w:t>
      </w:r>
      <w:r w:rsidRPr="004A77F7" w:rsidR="00A313CD">
        <w:t xml:space="preserve"> the </w:t>
      </w:r>
      <w:r w:rsidRPr="004A77F7" w:rsidR="000A4B98">
        <w:t xml:space="preserve">2017 </w:t>
      </w:r>
      <w:r w:rsidRPr="004A77F7" w:rsidR="00A313CD">
        <w:t xml:space="preserve">PPI annual average for the WPUFD4 series </w:t>
      </w:r>
      <w:r w:rsidRPr="004A77F7">
        <w:t>became final.</w:t>
      </w:r>
      <w:r>
        <w:rPr>
          <w:rStyle w:val="FootnoteReference"/>
          <w:szCs w:val="22"/>
        </w:rPr>
        <w:footnoteReference w:id="9"/>
      </w:r>
      <w:r w:rsidRPr="004A77F7" w:rsidR="009A774E">
        <w:t xml:space="preserve"> </w:t>
      </w:r>
      <w:r w:rsidRPr="004A77F7">
        <w:t xml:space="preserve"> </w:t>
      </w:r>
      <w:r w:rsidRPr="004A77F7" w:rsidR="000A4B98">
        <w:t>Accordingly,</w:t>
      </w:r>
      <w:r w:rsidRPr="004A77F7" w:rsidR="00A313CD">
        <w:t xml:space="preserve"> </w:t>
      </w:r>
      <w:r w:rsidRPr="004A77F7" w:rsidR="009A774E">
        <w:t xml:space="preserve">the Catalog’s prices </w:t>
      </w:r>
      <w:r w:rsidR="00AC3EC9">
        <w:t xml:space="preserve">are updated </w:t>
      </w:r>
      <w:r w:rsidRPr="004A77F7" w:rsidR="009A774E">
        <w:t>using the 2017</w:t>
      </w:r>
      <w:r w:rsidRPr="004A77F7" w:rsidR="000A4B98">
        <w:t xml:space="preserve"> </w:t>
      </w:r>
      <w:r w:rsidRPr="004A77F7" w:rsidR="00D4314B">
        <w:t xml:space="preserve">PPI </w:t>
      </w:r>
      <w:r w:rsidRPr="004A77F7" w:rsidR="006E764B">
        <w:t>annual average</w:t>
      </w:r>
      <w:r w:rsidRPr="004A77F7" w:rsidR="000B04F5">
        <w:t xml:space="preserve"> for the </w:t>
      </w:r>
      <w:r w:rsidRPr="004A77F7" w:rsidR="000A4B98">
        <w:t>WPUFD4 series</w:t>
      </w:r>
      <w:r w:rsidRPr="004A77F7" w:rsidR="006B2870">
        <w:t xml:space="preserve">, </w:t>
      </w:r>
      <w:r w:rsidR="00171A48">
        <w:t>to reflect the 2.4 percent increase from the 2016 PPI average value previously included in the Catalog.</w:t>
      </w:r>
      <w:r>
        <w:rPr>
          <w:rStyle w:val="FootnoteReference"/>
        </w:rPr>
        <w:footnoteReference w:id="10"/>
      </w:r>
      <w:r w:rsidR="006E764B">
        <w:t xml:space="preserve">  </w:t>
      </w:r>
      <w:r w:rsidR="00D901F2">
        <w:t>The</w:t>
      </w:r>
      <w:r w:rsidR="006E764B">
        <w:t xml:space="preserve"> updated</w:t>
      </w:r>
      <w:r w:rsidR="00D901F2">
        <w:t xml:space="preserve"> </w:t>
      </w:r>
      <w:r w:rsidR="00D4314B">
        <w:t>price ranges</w:t>
      </w:r>
      <w:r w:rsidR="00D901F2">
        <w:t xml:space="preserve"> </w:t>
      </w:r>
      <w:r w:rsidR="00F65552">
        <w:t xml:space="preserve">for </w:t>
      </w:r>
      <w:r w:rsidR="00D4314B">
        <w:t xml:space="preserve">the </w:t>
      </w:r>
      <w:r w:rsidR="00F65552">
        <w:t xml:space="preserve">equipment and services </w:t>
      </w:r>
      <w:r w:rsidR="00D4314B">
        <w:t xml:space="preserve">listed in the Catalog </w:t>
      </w:r>
      <w:r w:rsidR="003F6BCA">
        <w:t>are</w:t>
      </w:r>
      <w:r w:rsidR="00D901F2">
        <w:t xml:space="preserve"> set forth in the </w:t>
      </w:r>
      <w:r w:rsidR="00AC3EC9">
        <w:t xml:space="preserve">updated version of the </w:t>
      </w:r>
      <w:r w:rsidR="003F6BCA">
        <w:t>Catalog appended</w:t>
      </w:r>
      <w:r w:rsidR="00D901F2">
        <w:t xml:space="preserve"> to this </w:t>
      </w:r>
      <w:r w:rsidR="00112B53">
        <w:t>public notice</w:t>
      </w:r>
      <w:r w:rsidR="0023608A">
        <w:t>,</w:t>
      </w:r>
      <w:r>
        <w:rPr>
          <w:rStyle w:val="FootnoteReference"/>
        </w:rPr>
        <w:footnoteReference w:id="11"/>
      </w:r>
      <w:r w:rsidR="006E764B">
        <w:t xml:space="preserve"> and </w:t>
      </w:r>
      <w:r w:rsidR="007D31F4">
        <w:t>are</w:t>
      </w:r>
      <w:r w:rsidR="006E764B">
        <w:t xml:space="preserve"> integrated into the Bureau’s Licensing and Management System</w:t>
      </w:r>
      <w:r w:rsidR="00B97B07">
        <w:t xml:space="preserve"> </w:t>
      </w:r>
      <w:r>
        <w:t xml:space="preserve">in </w:t>
      </w:r>
      <w:r w:rsidR="006E764B">
        <w:t>Form 399</w:t>
      </w:r>
      <w:r w:rsidR="00D901F2">
        <w:t>.</w:t>
      </w:r>
      <w:r>
        <w:rPr>
          <w:rStyle w:val="FootnoteReference"/>
        </w:rPr>
        <w:footnoteReference w:id="12"/>
      </w:r>
      <w:r w:rsidR="0023608A">
        <w:t xml:space="preserve">  </w:t>
      </w:r>
    </w:p>
    <w:p w:rsidR="009A774E" w:rsidRPr="00982033" w:rsidP="00954793">
      <w:pPr>
        <w:spacing w:after="120"/>
        <w:ind w:firstLine="720"/>
      </w:pPr>
      <w:r>
        <w:t xml:space="preserve">This update does not require any action on the part of reimbursement-eligible broadcasters and MVPDs.  </w:t>
      </w:r>
      <w:r w:rsidR="004C37BB">
        <w:t>T</w:t>
      </w:r>
      <w:r w:rsidRPr="00EB4524" w:rsidR="00D901F2">
        <w:t xml:space="preserve">he </w:t>
      </w:r>
      <w:r w:rsidR="004C37BB">
        <w:t xml:space="preserve">updated </w:t>
      </w:r>
      <w:r w:rsidRPr="00EB4524" w:rsidR="00D901F2">
        <w:t xml:space="preserve">prices </w:t>
      </w:r>
      <w:r w:rsidRPr="00EB4524" w:rsidR="00B97B07">
        <w:t xml:space="preserve">for </w:t>
      </w:r>
      <w:r w:rsidRPr="00EB4524" w:rsidR="0023608A">
        <w:t xml:space="preserve">the </w:t>
      </w:r>
      <w:r w:rsidRPr="00EB4524" w:rsidR="00B97B07">
        <w:t xml:space="preserve">equipment and services </w:t>
      </w:r>
      <w:r w:rsidRPr="00EB4524" w:rsidR="0023608A">
        <w:t>identified</w:t>
      </w:r>
      <w:r w:rsidRPr="00EB4524" w:rsidR="00B97B07">
        <w:t xml:space="preserve"> in the Catalog </w:t>
      </w:r>
      <w:r w:rsidRPr="00EB4524" w:rsidR="00D901F2">
        <w:t>will</w:t>
      </w:r>
      <w:r w:rsidRPr="00EB4524" w:rsidR="00B6214B">
        <w:t xml:space="preserve"> be reflected </w:t>
      </w:r>
      <w:r w:rsidRPr="00EB4524" w:rsidR="00FF07A9">
        <w:t>in the “Costs” section</w:t>
      </w:r>
      <w:r w:rsidRPr="00EB4524" w:rsidR="00954793">
        <w:t xml:space="preserve"> </w:t>
      </w:r>
      <w:r w:rsidR="00EB4524">
        <w:t xml:space="preserve">of the Form 399 </w:t>
      </w:r>
      <w:r w:rsidRPr="00EB4524" w:rsidR="00954793">
        <w:t>as the “</w:t>
      </w:r>
      <w:r w:rsidR="00EB4524">
        <w:t>p</w:t>
      </w:r>
      <w:r w:rsidRPr="00EB4524" w:rsidR="00954793">
        <w:t xml:space="preserve">redetermined </w:t>
      </w:r>
      <w:r w:rsidR="00EB4524">
        <w:t>c</w:t>
      </w:r>
      <w:r w:rsidRPr="00EB4524" w:rsidR="00954793">
        <w:t xml:space="preserve">ost </w:t>
      </w:r>
      <w:r w:rsidR="00EB4524">
        <w:t>e</w:t>
      </w:r>
      <w:r w:rsidRPr="00EB4524" w:rsidR="00954793">
        <w:t>stimate</w:t>
      </w:r>
      <w:r w:rsidR="00C50556">
        <w:t>.</w:t>
      </w:r>
      <w:r w:rsidRPr="00EB4524" w:rsidR="00954793">
        <w:t xml:space="preserve">” </w:t>
      </w:r>
      <w:r w:rsidR="00C50556">
        <w:t xml:space="preserve"> The adjusted values </w:t>
      </w:r>
      <w:r w:rsidR="003F6BCA">
        <w:t>may</w:t>
      </w:r>
      <w:r w:rsidR="00EB4524">
        <w:t xml:space="preserve"> be </w:t>
      </w:r>
      <w:r w:rsidR="00EB4524">
        <w:t>entered</w:t>
      </w:r>
      <w:r w:rsidR="00FF07A9">
        <w:t xml:space="preserve"> </w:t>
      </w:r>
      <w:r w:rsidR="003F6BCA">
        <w:t>in</w:t>
      </w:r>
      <w:r w:rsidR="004C37BB">
        <w:t>to</w:t>
      </w:r>
      <w:r w:rsidR="00EB4524">
        <w:t xml:space="preserve"> the “estimated cost”</w:t>
      </w:r>
      <w:r w:rsidR="003F6BCA">
        <w:t xml:space="preserve"> field of the Form 399</w:t>
      </w:r>
      <w:r w:rsidR="00EB4524">
        <w:t xml:space="preserve"> </w:t>
      </w:r>
      <w:r w:rsidR="00FF07A9">
        <w:t xml:space="preserve">for </w:t>
      </w:r>
      <w:r w:rsidR="00526CA8">
        <w:t xml:space="preserve">newly-created </w:t>
      </w:r>
      <w:r w:rsidR="003F6BCA">
        <w:t>cost</w:t>
      </w:r>
      <w:r w:rsidR="00EB4524">
        <w:t xml:space="preserve"> </w:t>
      </w:r>
      <w:r w:rsidR="00FF07A9">
        <w:t>estimates</w:t>
      </w:r>
      <w:r w:rsidR="00982033">
        <w:t xml:space="preserve"> </w:t>
      </w:r>
      <w:r w:rsidR="00526CA8">
        <w:t xml:space="preserve">that are </w:t>
      </w:r>
      <w:r w:rsidR="003F6BCA">
        <w:t>not accompanied by a vendor</w:t>
      </w:r>
      <w:r w:rsidR="00D901F2">
        <w:t xml:space="preserve"> quote</w:t>
      </w:r>
      <w:r w:rsidRPr="00E37F13" w:rsidR="00D901F2">
        <w:t>.</w:t>
      </w:r>
      <w:r>
        <w:rPr>
          <w:rStyle w:val="FootnoteReference"/>
        </w:rPr>
        <w:footnoteReference w:id="13"/>
      </w:r>
      <w:r w:rsidRPr="00E37F13" w:rsidR="00D901F2">
        <w:t xml:space="preserve">  </w:t>
      </w:r>
    </w:p>
    <w:p w:rsidR="00682898" w:rsidP="00682898">
      <w:pPr>
        <w:spacing w:after="120"/>
        <w:ind w:firstLine="720"/>
        <w:rPr>
          <w:szCs w:val="22"/>
        </w:rPr>
      </w:pPr>
      <w:r w:rsidRPr="009614B0">
        <w:rPr>
          <w:szCs w:val="22"/>
        </w:rPr>
        <w:t xml:space="preserve">For questions about the reimbursement process, please call the Reimbursement Help Line at (202) 418-2009, or e-mail </w:t>
      </w:r>
      <w:r w:rsidRPr="00931E7E">
        <w:rPr>
          <w:rStyle w:val="Hyperlink"/>
        </w:rPr>
        <w:t>Reimburse@fcc.gov</w:t>
      </w:r>
      <w:r w:rsidRPr="009614B0">
        <w:rPr>
          <w:szCs w:val="22"/>
        </w:rPr>
        <w:t xml:space="preserve">.  Questions about this Public Notice may be directed to </w:t>
      </w:r>
      <w:r w:rsidR="00CF2E95">
        <w:rPr>
          <w:szCs w:val="22"/>
        </w:rPr>
        <w:t>Pamela Gallant</w:t>
      </w:r>
      <w:r w:rsidRPr="009614B0">
        <w:rPr>
          <w:szCs w:val="22"/>
        </w:rPr>
        <w:t xml:space="preserve"> at (202) 418-</w:t>
      </w:r>
      <w:r w:rsidR="00CF2E95">
        <w:rPr>
          <w:szCs w:val="22"/>
        </w:rPr>
        <w:t>0614</w:t>
      </w:r>
      <w:r w:rsidRPr="009614B0">
        <w:rPr>
          <w:szCs w:val="22"/>
        </w:rPr>
        <w:t xml:space="preserve"> or </w:t>
      </w:r>
      <w:r>
        <w:fldChar w:fldCharType="begin"/>
      </w:r>
      <w:r>
        <w:instrText xml:space="preserve"> HYPERLINK "mailto:Pamela.Gallant@fcc.gov" </w:instrText>
      </w:r>
      <w:r>
        <w:fldChar w:fldCharType="separate"/>
      </w:r>
      <w:r w:rsidRPr="00B93C75" w:rsidR="00CF2E95">
        <w:rPr>
          <w:rStyle w:val="Hyperlink"/>
          <w:szCs w:val="22"/>
        </w:rPr>
        <w:t>Pamela.Gallant@fcc.gov</w:t>
      </w:r>
      <w:r>
        <w:fldChar w:fldCharType="end"/>
      </w:r>
      <w:r>
        <w:rPr>
          <w:szCs w:val="22"/>
        </w:rPr>
        <w:t>, or Jeffrey Neumann</w:t>
      </w:r>
      <w:r w:rsidRPr="009614B0">
        <w:rPr>
          <w:szCs w:val="22"/>
        </w:rPr>
        <w:t xml:space="preserve"> </w:t>
      </w:r>
      <w:r>
        <w:rPr>
          <w:szCs w:val="22"/>
        </w:rPr>
        <w:t xml:space="preserve">at </w:t>
      </w:r>
      <w:r w:rsidRPr="009614B0">
        <w:rPr>
          <w:szCs w:val="22"/>
        </w:rPr>
        <w:t>(202) 418-</w:t>
      </w:r>
      <w:r>
        <w:rPr>
          <w:szCs w:val="22"/>
        </w:rPr>
        <w:t xml:space="preserve">2046 or </w:t>
      </w:r>
      <w:r w:rsidRPr="0079127A">
        <w:rPr>
          <w:rStyle w:val="Hyperlink"/>
        </w:rPr>
        <w:t>Jeffrey.Neumann@fcc.gov</w:t>
      </w:r>
      <w:r>
        <w:rPr>
          <w:szCs w:val="22"/>
        </w:rPr>
        <w:t>,</w:t>
      </w:r>
      <w:r w:rsidRPr="009614B0">
        <w:rPr>
          <w:szCs w:val="22"/>
        </w:rPr>
        <w:t xml:space="preserve"> of the Media Bureau.  Press contact</w:t>
      </w:r>
      <w:r w:rsidR="00B37C4D">
        <w:rPr>
          <w:szCs w:val="22"/>
        </w:rPr>
        <w:t>: Neil Grace</w:t>
      </w:r>
      <w:r w:rsidRPr="009614B0">
        <w:rPr>
          <w:szCs w:val="22"/>
        </w:rPr>
        <w:t xml:space="preserve">, </w:t>
      </w:r>
      <w:r>
        <w:rPr>
          <w:szCs w:val="22"/>
        </w:rPr>
        <w:t xml:space="preserve">(202) </w:t>
      </w:r>
      <w:r w:rsidRPr="009614B0">
        <w:rPr>
          <w:szCs w:val="22"/>
        </w:rPr>
        <w:t>418-</w:t>
      </w:r>
      <w:r w:rsidR="00B37C4D">
        <w:rPr>
          <w:szCs w:val="22"/>
        </w:rPr>
        <w:t>0506</w:t>
      </w:r>
      <w:r>
        <w:rPr>
          <w:szCs w:val="22"/>
        </w:rPr>
        <w:t xml:space="preserve"> or </w:t>
      </w:r>
      <w:r>
        <w:fldChar w:fldCharType="begin"/>
      </w:r>
      <w:r>
        <w:instrText xml:space="preserve"> HYPERLINK "mailto:Neil.Grace@fcc.gov" </w:instrText>
      </w:r>
      <w:r>
        <w:fldChar w:fldCharType="separate"/>
      </w:r>
      <w:r w:rsidRPr="00B93C75" w:rsidR="001B36A3">
        <w:rPr>
          <w:rStyle w:val="Hyperlink"/>
          <w:szCs w:val="22"/>
        </w:rPr>
        <w:t>Neil.Grace</w:t>
      </w:r>
      <w:r w:rsidRPr="00B93C75" w:rsidR="001B36A3">
        <w:rPr>
          <w:rStyle w:val="Hyperlink"/>
        </w:rPr>
        <w:t>@fcc.gov</w:t>
      </w:r>
      <w:r>
        <w:fldChar w:fldCharType="end"/>
      </w:r>
      <w:r w:rsidRPr="009614B0">
        <w:rPr>
          <w:szCs w:val="22"/>
        </w:rPr>
        <w:t>.</w:t>
      </w:r>
    </w:p>
    <w:p w:rsidR="0023608A" w:rsidP="00682898">
      <w:pPr>
        <w:spacing w:after="120"/>
        <w:ind w:firstLine="720"/>
        <w:rPr>
          <w:szCs w:val="22"/>
        </w:rPr>
      </w:pPr>
    </w:p>
    <w:p w:rsidR="00AE7786" w:rsidRPr="009614B0" w:rsidP="006A714B">
      <w:pPr>
        <w:spacing w:after="120"/>
        <w:ind w:firstLine="720"/>
        <w:rPr>
          <w:szCs w:val="22"/>
        </w:rPr>
      </w:pPr>
    </w:p>
    <w:p w:rsidR="00750150" w:rsidRPr="009614B0" w:rsidP="00F3180E">
      <w:pPr>
        <w:jc w:val="center"/>
        <w:rPr>
          <w:b/>
          <w:szCs w:val="22"/>
        </w:rPr>
      </w:pPr>
      <w:r w:rsidRPr="009614B0">
        <w:rPr>
          <w:b/>
          <w:szCs w:val="22"/>
        </w:rPr>
        <w:t xml:space="preserve">- FCC </w:t>
      </w:r>
      <w:r w:rsidRPr="009614B0" w:rsidR="00537D03">
        <w:rPr>
          <w:b/>
          <w:szCs w:val="22"/>
        </w:rPr>
        <w:t>–</w:t>
      </w:r>
      <w:r w:rsidRPr="009614B0">
        <w:rPr>
          <w:b/>
          <w:szCs w:val="22"/>
        </w:rPr>
        <w:t xml:space="preserve"> </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pPr>
      <w:pStyle w:val="Footer"/>
      <w:framePr w:wrap="around" w:vAnchor="text" w:hAnchor="margin" w:xAlign="center" w:y="1"/>
    </w:pPr>
    <w:r>
      <w:fldChar w:fldCharType="begin"/>
    </w:r>
    <w:r>
      <w:instrText xml:space="preserve">PAGE  </w:instrText>
    </w:r>
    <w:r>
      <w:fldChar w:fldCharType="separate"/>
    </w:r>
    <w:r>
      <w:fldChar w:fldCharType="end"/>
    </w:r>
  </w:p>
  <w:p w:rsidR="00C62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C627C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07D8" w:rsidRPr="00FF55F7" w:rsidP="00FF55F7">
      <w:pPr>
        <w:pStyle w:val="Footer"/>
      </w:pPr>
      <w:r>
        <w:separator/>
      </w:r>
    </w:p>
  </w:footnote>
  <w:footnote w:type="continuationSeparator" w:id="1">
    <w:p w:rsidR="002107D8" w:rsidRPr="00FF55F7" w:rsidP="00FF55F7">
      <w:pPr>
        <w:pStyle w:val="Footer"/>
      </w:pPr>
      <w:r>
        <w:continuationSeparator/>
      </w:r>
    </w:p>
  </w:footnote>
  <w:footnote w:type="continuationNotice" w:id="2">
    <w:p w:rsidR="002107D8" w:rsidRPr="00FF55F7" w:rsidP="00FF55F7">
      <w:pPr>
        <w:pStyle w:val="Footer"/>
      </w:pPr>
    </w:p>
  </w:footnote>
  <w:footnote w:id="3">
    <w:p w:rsidR="008A23A9" w:rsidRPr="00817ACD" w:rsidP="008A23A9">
      <w:pPr>
        <w:pStyle w:val="FootnoteText"/>
        <w:rPr>
          <w:i/>
        </w:rPr>
      </w:pPr>
      <w:r w:rsidRPr="00AD182A">
        <w:rPr>
          <w:rStyle w:val="FootnoteReference"/>
        </w:rPr>
        <w:footnoteRef/>
      </w:r>
      <w:r w:rsidRPr="00AD182A">
        <w:t xml:space="preserve"> </w:t>
      </w:r>
      <w:r w:rsidRPr="00AD182A" w:rsidR="00361637">
        <w:rPr>
          <w:i/>
        </w:rPr>
        <w:t>Expanding the Economic and Innovation Opportunities of Spectrum Through Incentive Auctions</w:t>
      </w:r>
      <w:r w:rsidRPr="00AD182A" w:rsidR="00361637">
        <w:t xml:space="preserve">, GN Docket No. 12-268, Report and Order, 29 FCC </w:t>
      </w:r>
      <w:r w:rsidRPr="00AD182A" w:rsidR="00361637">
        <w:t>Rcd</w:t>
      </w:r>
      <w:r w:rsidRPr="00AD182A" w:rsidR="00361637">
        <w:t xml:space="preserve"> 6567, 6820 </w:t>
      </w:r>
      <w:r w:rsidRPr="00AD182A" w:rsidR="00361637">
        <w:t>para</w:t>
      </w:r>
      <w:r w:rsidRPr="00AD182A" w:rsidR="00361637">
        <w:t xml:space="preserve">. 619 (2014) (delegating authority to the Bureau “to </w:t>
      </w:r>
      <w:r w:rsidR="00361637">
        <w:t>…</w:t>
      </w:r>
      <w:r w:rsidRPr="00AD182A" w:rsidR="00361637">
        <w:t xml:space="preserve"> develop a final Catalog of Eligible Expenses, and make other determinations regarding eligible costs and the reimbursement process.”), </w:t>
      </w:r>
      <w:r w:rsidRPr="00AD182A" w:rsidR="00361637">
        <w:rPr>
          <w:i/>
        </w:rPr>
        <w:t>aff</w:t>
      </w:r>
      <w:r w:rsidR="00361637">
        <w:rPr>
          <w:i/>
        </w:rPr>
        <w:t>’</w:t>
      </w:r>
      <w:r w:rsidRPr="00AD182A" w:rsidR="00361637">
        <w:rPr>
          <w:i/>
        </w:rPr>
        <w:t>, Nat</w:t>
      </w:r>
      <w:r w:rsidR="00361637">
        <w:rPr>
          <w:i/>
        </w:rPr>
        <w:t>’l</w:t>
      </w:r>
      <w:r w:rsidRPr="00AD182A" w:rsidR="00361637">
        <w:rPr>
          <w:i/>
        </w:rPr>
        <w:t xml:space="preserve"> Ass</w:t>
      </w:r>
      <w:r w:rsidR="00361637">
        <w:rPr>
          <w:i/>
        </w:rPr>
        <w:t>.</w:t>
      </w:r>
      <w:r w:rsidRPr="00AD182A" w:rsidR="00361637">
        <w:rPr>
          <w:i/>
        </w:rPr>
        <w:t xml:space="preserve"> of Broadcasters</w:t>
      </w:r>
      <w:r w:rsidR="00361637">
        <w:rPr>
          <w:i/>
        </w:rPr>
        <w:t>, et al.</w:t>
      </w:r>
      <w:r w:rsidRPr="00AD182A" w:rsidR="00361637">
        <w:rPr>
          <w:i/>
        </w:rPr>
        <w:t xml:space="preserve"> v. FCC</w:t>
      </w:r>
      <w:r w:rsidRPr="00AD182A" w:rsidR="00361637">
        <w:t>, 789 F.3d 165 (D.C. Cir. 2015)</w:t>
      </w:r>
      <w:r w:rsidRPr="00ED2377" w:rsidR="00361637">
        <w:t xml:space="preserve"> </w:t>
      </w:r>
      <w:r w:rsidRPr="00AD182A" w:rsidR="00361637">
        <w:t>(</w:t>
      </w:r>
      <w:r w:rsidRPr="00AD182A" w:rsidR="00361637">
        <w:rPr>
          <w:i/>
        </w:rPr>
        <w:t>Incentive Auction R&amp;O</w:t>
      </w:r>
      <w:r w:rsidR="00361637">
        <w:t>)</w:t>
      </w:r>
      <w:r w:rsidRPr="00E75FCC" w:rsidR="00361637">
        <w:t>.</w:t>
      </w:r>
      <w:r w:rsidRPr="00E75FCC" w:rsidR="00361637">
        <w:rPr>
          <w:i/>
        </w:rPr>
        <w:t xml:space="preserve">  </w:t>
      </w:r>
      <w:r w:rsidR="00CC5EEE">
        <w:rPr>
          <w:i/>
        </w:rPr>
        <w:t>See also</w:t>
      </w:r>
      <w:r>
        <w:rPr>
          <w:i/>
        </w:rPr>
        <w:t xml:space="preserve"> </w:t>
      </w:r>
      <w:r w:rsidRPr="00AD182A">
        <w:rPr>
          <w:i/>
        </w:rPr>
        <w:t>Middle Class</w:t>
      </w:r>
      <w:r w:rsidRPr="00AD182A">
        <w:rPr>
          <w:i/>
        </w:rPr>
        <w:t xml:space="preserve"> Tax Relief and Job Creation Act of 2012</w:t>
      </w:r>
      <w:r w:rsidRPr="00AD182A">
        <w:t xml:space="preserve">, Pub. L. No. 112-96, §§ 6402, 6403, 125 Stat. 156 (2012) (Spectrum Act) at § 6403(d)(1); </w:t>
      </w:r>
      <w:r>
        <w:rPr>
          <w:i/>
        </w:rPr>
        <w:t xml:space="preserve">and see </w:t>
      </w:r>
      <w:r w:rsidRPr="00AD182A">
        <w:t>47 U.S.C. §§ 309(j)(8)(G)(iii)(I)</w:t>
      </w:r>
      <w:r>
        <w:t xml:space="preserve">, </w:t>
      </w:r>
      <w:r w:rsidR="00482A2C">
        <w:t>1452(b)(4)(A)(i)-(ii)</w:t>
      </w:r>
      <w:r w:rsidRPr="00E75FCC">
        <w:t>.</w:t>
      </w:r>
      <w:r w:rsidRPr="00E75FCC">
        <w:rPr>
          <w:i/>
        </w:rPr>
        <w:t xml:space="preserve">  </w:t>
      </w:r>
    </w:p>
  </w:footnote>
  <w:footnote w:id="4">
    <w:p w:rsidR="00867300" w:rsidP="00867300">
      <w:pPr>
        <w:pStyle w:val="FootnoteText"/>
      </w:pPr>
      <w:r>
        <w:rPr>
          <w:rStyle w:val="FootnoteReference"/>
        </w:rPr>
        <w:footnoteRef/>
      </w:r>
      <w:r>
        <w:t xml:space="preserve"> </w:t>
      </w:r>
      <w:r w:rsidRPr="004B592E" w:rsidR="004357AD">
        <w:rPr>
          <w:i/>
        </w:rPr>
        <w:t>See Incentive Auction Task Force and Media Bureau Finalize Catalog of Reimbursement Expenses</w:t>
      </w:r>
      <w:r w:rsidR="004357AD">
        <w:t xml:space="preserve">, MB Docket No. 16-306, </w:t>
      </w:r>
      <w:r w:rsidRPr="00AD182A" w:rsidR="004357AD">
        <w:t>GN Docket No. 12-268,</w:t>
      </w:r>
      <w:r w:rsidR="004357AD">
        <w:t xml:space="preserve"> Public Notice, 32 FCC </w:t>
      </w:r>
      <w:r w:rsidR="004357AD">
        <w:t>Rcd</w:t>
      </w:r>
      <w:r w:rsidR="004357AD">
        <w:t xml:space="preserve"> 1199 (IATF/MB 2017) (</w:t>
      </w:r>
      <w:r w:rsidRPr="00482A2C" w:rsidR="004357AD">
        <w:rPr>
          <w:i/>
        </w:rPr>
        <w:t>Catalog Finalization PN</w:t>
      </w:r>
      <w:r w:rsidR="004357AD">
        <w:t xml:space="preserve">) </w:t>
      </w:r>
      <w:r w:rsidRPr="006C43F7">
        <w:t>(</w:t>
      </w:r>
      <w:r>
        <w:t xml:space="preserve">adopting proposal to annually update the Catalog’s costs using the </w:t>
      </w:r>
      <w:r w:rsidRPr="00FB3E7A">
        <w:t>Bureau of Labor Statistics</w:t>
      </w:r>
      <w:r>
        <w:t>’</w:t>
      </w:r>
      <w:r w:rsidRPr="00FB3E7A">
        <w:t xml:space="preserve"> (</w:t>
      </w:r>
      <w:r w:rsidRPr="00A31628">
        <w:t>BLS)</w:t>
      </w:r>
      <w:r>
        <w:t xml:space="preserve"> Producer Price Index</w:t>
      </w:r>
      <w:r w:rsidRPr="00FB3E7A">
        <w:t xml:space="preserve"> (PPI</w:t>
      </w:r>
      <w:r>
        <w:t xml:space="preserve">) annual average for the </w:t>
      </w:r>
      <w:r w:rsidRPr="000A3553">
        <w:t>WPUFD4 series</w:t>
      </w:r>
      <w:r>
        <w:t>).</w:t>
      </w:r>
    </w:p>
  </w:footnote>
  <w:footnote w:id="5">
    <w:p w:rsidR="00347DBA" w:rsidP="00347DBA">
      <w:pPr>
        <w:pStyle w:val="FootnoteText"/>
      </w:pPr>
      <w:r>
        <w:rPr>
          <w:rStyle w:val="FootnoteReference"/>
        </w:rPr>
        <w:footnoteRef/>
      </w:r>
      <w:r>
        <w:t xml:space="preserve"> </w:t>
      </w:r>
      <w:r w:rsidR="004357AD">
        <w:rPr>
          <w:i/>
        </w:rPr>
        <w:t>Id</w:t>
      </w:r>
      <w:r w:rsidR="004357AD">
        <w:t>.</w:t>
      </w:r>
      <w:r>
        <w:t xml:space="preserve"> 32 FCC </w:t>
      </w:r>
      <w:r>
        <w:t>Rcd</w:t>
      </w:r>
      <w:r>
        <w:t xml:space="preserve"> </w:t>
      </w:r>
      <w:r w:rsidR="00B5531B">
        <w:t>at</w:t>
      </w:r>
      <w:r w:rsidRPr="006C43F7">
        <w:t xml:space="preserve"> </w:t>
      </w:r>
      <w:r>
        <w:t>1201, para. 3 (internal citations omitted).</w:t>
      </w:r>
    </w:p>
  </w:footnote>
  <w:footnote w:id="6">
    <w:p w:rsidR="003F2AAF" w:rsidRPr="00797E30" w:rsidP="003F2AAF">
      <w:pPr>
        <w:pStyle w:val="FootnoteText"/>
      </w:pPr>
      <w:r w:rsidRPr="00AD182A">
        <w:rPr>
          <w:rStyle w:val="FootnoteReference"/>
        </w:rPr>
        <w:footnoteRef/>
      </w:r>
      <w:r>
        <w:t xml:space="preserve"> </w:t>
      </w:r>
      <w:r>
        <w:rPr>
          <w:rFonts w:ascii="TimesNewRoman,Italic" w:hAnsi="TimesNewRoman,Italic" w:cs="TimesNewRoman,Italic"/>
          <w:i/>
          <w:iCs/>
        </w:rPr>
        <w:t>See Incentive Auction R&amp;O</w:t>
      </w:r>
      <w:r>
        <w:rPr>
          <w:rFonts w:ascii="TimesNewRoman" w:hAnsi="TimesNewRoman" w:cs="TimesNewRoman"/>
        </w:rPr>
        <w:t xml:space="preserve">, 29 FCC </w:t>
      </w:r>
      <w:r>
        <w:rPr>
          <w:rFonts w:ascii="TimesNewRoman" w:hAnsi="TimesNewRoman" w:cs="TimesNewRoman"/>
        </w:rPr>
        <w:t>Rcd</w:t>
      </w:r>
      <w:r>
        <w:rPr>
          <w:rFonts w:ascii="TimesNewRoman" w:hAnsi="TimesNewRoman" w:cs="TimesNewRoman"/>
        </w:rPr>
        <w:t xml:space="preserve"> </w:t>
      </w:r>
      <w:r>
        <w:t xml:space="preserve">at 6817-18, para. 611 (Commission </w:t>
      </w:r>
      <w:r w:rsidR="00790107">
        <w:t>explaining</w:t>
      </w:r>
      <w:r>
        <w:t xml:space="preserve"> that the Catalog would include a “predetermined estimate of the cost, or range of costs, for equipment and other expenses,” and that</w:t>
      </w:r>
      <w:r w:rsidR="00347DBA">
        <w:t xml:space="preserve"> </w:t>
      </w:r>
      <w:r>
        <w:t xml:space="preserve">eligible entities </w:t>
      </w:r>
      <w:r w:rsidR="00347DBA">
        <w:t>would</w:t>
      </w:r>
      <w:r>
        <w:t xml:space="preserve"> </w:t>
      </w:r>
      <w:r w:rsidR="00790107">
        <w:t xml:space="preserve">be able to </w:t>
      </w:r>
      <w:r>
        <w:t>select either the predetermined cost fro</w:t>
      </w:r>
      <w:r w:rsidR="00790107">
        <w:t>m the Catalog or provide their</w:t>
      </w:r>
      <w:r w:rsidR="00064A9B">
        <w:t xml:space="preserve"> own estimate</w:t>
      </w:r>
      <w:r>
        <w:t>).</w:t>
      </w:r>
    </w:p>
  </w:footnote>
  <w:footnote w:id="7">
    <w:p w:rsidR="008A23A9" w:rsidP="008A23A9">
      <w:pPr>
        <w:pStyle w:val="FootnoteText"/>
      </w:pPr>
      <w:r>
        <w:rPr>
          <w:rStyle w:val="FootnoteReference"/>
        </w:rPr>
        <w:footnoteRef/>
      </w:r>
      <w:r>
        <w:t xml:space="preserve"> </w:t>
      </w:r>
      <w:r w:rsidRPr="00AD182A">
        <w:rPr>
          <w:i/>
        </w:rPr>
        <w:t>Media Bureau Seeks Comment on Catalog of Eligible Expenses and Other Issues Related to the Reimbursement of Broadcaster Channel Reassignment Costs</w:t>
      </w:r>
      <w:r w:rsidRPr="00AD182A">
        <w:t xml:space="preserve">, </w:t>
      </w:r>
      <w:r w:rsidRPr="00AD182A" w:rsidR="00E23460">
        <w:t>GN Docket No. 12-268,</w:t>
      </w:r>
      <w:r w:rsidR="00E23460">
        <w:t xml:space="preserve"> </w:t>
      </w:r>
      <w:r w:rsidRPr="00AD182A">
        <w:t xml:space="preserve">Public Notice, 28 FCC </w:t>
      </w:r>
      <w:r w:rsidRPr="00AD182A">
        <w:t>Rcd</w:t>
      </w:r>
      <w:r w:rsidRPr="00AD182A">
        <w:t xml:space="preserve"> 13787 (MB 2013)</w:t>
      </w:r>
      <w:r w:rsidR="00AC3EC9">
        <w:t>;</w:t>
      </w:r>
      <w:r w:rsidRPr="00AC3EC9" w:rsidR="00AC3EC9">
        <w:rPr>
          <w:i/>
        </w:rPr>
        <w:t xml:space="preserve"> </w:t>
      </w:r>
      <w:r w:rsidRPr="00AD182A" w:rsidR="00AC3EC9">
        <w:rPr>
          <w:i/>
        </w:rPr>
        <w:t xml:space="preserve">Media Bureau Seeks Comment on </w:t>
      </w:r>
      <w:r w:rsidRPr="00AD182A" w:rsidR="00AC3EC9">
        <w:rPr>
          <w:i/>
        </w:rPr>
        <w:t>Widelity</w:t>
      </w:r>
      <w:r w:rsidRPr="00AD182A" w:rsidR="00AC3EC9">
        <w:rPr>
          <w:i/>
        </w:rPr>
        <w:t xml:space="preserve"> Report and Catalog of Potential Expenses and Estimated Costs</w:t>
      </w:r>
      <w:r w:rsidRPr="00AD182A" w:rsidR="00AC3EC9">
        <w:t>, GN Docket No. 12-268,</w:t>
      </w:r>
      <w:r w:rsidR="00AC3EC9">
        <w:t xml:space="preserve"> </w:t>
      </w:r>
      <w:r w:rsidRPr="00AD182A" w:rsidR="00AC3EC9">
        <w:t xml:space="preserve">Public Notice, 29 FCC </w:t>
      </w:r>
      <w:r w:rsidRPr="00AD182A" w:rsidR="00AC3EC9">
        <w:t>Rcd</w:t>
      </w:r>
      <w:r w:rsidRPr="00AD182A" w:rsidR="00AC3EC9">
        <w:t xml:space="preserve"> 2989 (MB 2014).  </w:t>
      </w:r>
      <w:r w:rsidR="00AC3EC9">
        <w:rPr>
          <w:i/>
          <w:iCs/>
        </w:rPr>
        <w:t xml:space="preserve">See also </w:t>
      </w:r>
      <w:r w:rsidRPr="00AD182A" w:rsidR="00AC3EC9">
        <w:rPr>
          <w:i/>
        </w:rPr>
        <w:t>Media Bureau Finalizes Reimbursement Form for Submission to OMB and Adopts Catalog of Expenses</w:t>
      </w:r>
      <w:r w:rsidRPr="00AD182A" w:rsidR="00AC3EC9">
        <w:t>, GN Docket No. 12-268,</w:t>
      </w:r>
      <w:r w:rsidR="00AC3EC9">
        <w:t xml:space="preserve"> </w:t>
      </w:r>
      <w:r w:rsidRPr="00AD182A" w:rsidR="00AC3EC9">
        <w:t>Public Not</w:t>
      </w:r>
      <w:r w:rsidR="00AC3EC9">
        <w:t xml:space="preserve">ice, 30 FCC </w:t>
      </w:r>
      <w:r w:rsidR="00AC3EC9">
        <w:t>Rcd</w:t>
      </w:r>
      <w:r w:rsidR="00AC3EC9">
        <w:t xml:space="preserve"> 11701 (MB 2015);</w:t>
      </w:r>
      <w:r w:rsidRPr="00AC3EC9" w:rsidR="00AC3EC9">
        <w:rPr>
          <w:i/>
        </w:rPr>
        <w:t xml:space="preserve"> </w:t>
      </w:r>
      <w:r w:rsidRPr="00AD182A" w:rsidR="00AC3EC9">
        <w:rPr>
          <w:i/>
        </w:rPr>
        <w:t>Media Bureau Seeks Comment on Updates to Catalog of Reimbursement Expenses</w:t>
      </w:r>
      <w:r w:rsidRPr="00AD182A" w:rsidR="00AC3EC9">
        <w:t xml:space="preserve">, </w:t>
      </w:r>
      <w:r w:rsidR="00AC3EC9">
        <w:t xml:space="preserve">MB Docket No. 16-306, </w:t>
      </w:r>
      <w:r w:rsidRPr="00AD182A" w:rsidR="00AC3EC9">
        <w:t>GN Docket No. 12-268,</w:t>
      </w:r>
      <w:r w:rsidR="00AC3EC9">
        <w:t xml:space="preserve"> </w:t>
      </w:r>
      <w:r w:rsidRPr="00AD182A" w:rsidR="00AC3EC9">
        <w:t xml:space="preserve">Public Notice, </w:t>
      </w:r>
      <w:r w:rsidRPr="0070453F" w:rsidR="00AC3EC9">
        <w:t xml:space="preserve">31 FCC </w:t>
      </w:r>
      <w:r w:rsidRPr="0070453F" w:rsidR="00AC3EC9">
        <w:t>Rcd</w:t>
      </w:r>
      <w:r w:rsidRPr="0070453F" w:rsidR="00AC3EC9">
        <w:t xml:space="preserve"> 11467</w:t>
      </w:r>
      <w:r w:rsidRPr="00AD182A" w:rsidR="00AC3EC9">
        <w:t xml:space="preserve"> (MB 2016)</w:t>
      </w:r>
      <w:r w:rsidR="00AC3EC9">
        <w:t xml:space="preserve"> (proposing to annually update the Catalog’s costs using the BLS’</w:t>
      </w:r>
      <w:r w:rsidRPr="00FB3E7A" w:rsidR="00AC3EC9">
        <w:t xml:space="preserve"> PPI</w:t>
      </w:r>
      <w:r w:rsidR="00AC3EC9">
        <w:t xml:space="preserve"> annual average for the </w:t>
      </w:r>
      <w:r w:rsidRPr="000A3553" w:rsidR="00AC3EC9">
        <w:t>WPUFD4 series</w:t>
      </w:r>
      <w:r w:rsidR="00AC3EC9">
        <w:t>.)</w:t>
      </w:r>
      <w:r w:rsidRPr="00AD182A" w:rsidR="00AC3EC9">
        <w:t>.</w:t>
      </w:r>
    </w:p>
  </w:footnote>
  <w:footnote w:id="8">
    <w:p w:rsidR="00F30121" w:rsidRPr="00797E30" w:rsidP="00F30121">
      <w:pPr>
        <w:pStyle w:val="FootnoteText"/>
      </w:pPr>
      <w:r w:rsidRPr="00AD182A">
        <w:rPr>
          <w:rStyle w:val="FootnoteReference"/>
        </w:rPr>
        <w:footnoteRef/>
      </w:r>
      <w:r w:rsidRPr="00AD182A">
        <w:t xml:space="preserve"> </w:t>
      </w:r>
      <w:r w:rsidR="003309F6">
        <w:rPr>
          <w:i/>
        </w:rPr>
        <w:t>Catalog Finalization PN</w:t>
      </w:r>
      <w:r>
        <w:t xml:space="preserve">, 32 FCC </w:t>
      </w:r>
      <w:r>
        <w:t>Rcd</w:t>
      </w:r>
      <w:r>
        <w:t xml:space="preserve"> 1199.   </w:t>
      </w:r>
    </w:p>
  </w:footnote>
  <w:footnote w:id="9">
    <w:p w:rsidR="0023608A" w:rsidRPr="00E23460" w:rsidP="00FE5CAB">
      <w:pPr>
        <w:pStyle w:val="FootnoteText"/>
        <w:rPr>
          <w:highlight w:val="yellow"/>
        </w:rPr>
      </w:pPr>
      <w:r w:rsidRPr="004A77F7">
        <w:rPr>
          <w:rStyle w:val="FootnoteReference"/>
        </w:rPr>
        <w:footnoteRef/>
      </w:r>
      <w:r w:rsidRPr="004A77F7">
        <w:t xml:space="preserve"> </w:t>
      </w:r>
      <w:r w:rsidRPr="004A77F7" w:rsidR="00064A9B">
        <w:t>The 2017 PPI annual average for the WPUFD4 series was subject to revision until publication of the December 2017 revised data</w:t>
      </w:r>
      <w:r w:rsidR="00064A9B">
        <w:t xml:space="preserve"> for the </w:t>
      </w:r>
      <w:r w:rsidRPr="00FE5CAB" w:rsidR="00064A9B">
        <w:t>WPUFD4</w:t>
      </w:r>
      <w:r w:rsidR="00064A9B">
        <w:t xml:space="preserve"> series</w:t>
      </w:r>
      <w:r w:rsidRPr="004A77F7" w:rsidR="00064A9B">
        <w:t>,</w:t>
      </w:r>
      <w:r w:rsidR="00064A9B">
        <w:t xml:space="preserve"> </w:t>
      </w:r>
      <w:r w:rsidRPr="004A77F7" w:rsidR="00064A9B">
        <w:t xml:space="preserve">on May 9, 2018.  </w:t>
      </w:r>
      <w:r w:rsidRPr="004A77F7" w:rsidR="00BC1579">
        <w:rPr>
          <w:i/>
        </w:rPr>
        <w:t>See BLS</w:t>
      </w:r>
      <w:r w:rsidRPr="004A77F7" w:rsidR="00FE5CAB">
        <w:rPr>
          <w:i/>
        </w:rPr>
        <w:t xml:space="preserve"> Handbook of Methods</w:t>
      </w:r>
      <w:r w:rsidRPr="004A77F7" w:rsidR="00FE5CAB">
        <w:t xml:space="preserve">, </w:t>
      </w:r>
      <w:r w:rsidRPr="004A77F7" w:rsidR="00510039">
        <w:t>Ch</w:t>
      </w:r>
      <w:r w:rsidR="00C6722F">
        <w:t xml:space="preserve">apter 14: </w:t>
      </w:r>
      <w:r w:rsidRPr="004A77F7" w:rsidR="00BC1579">
        <w:t>Producer Prices</w:t>
      </w:r>
      <w:r w:rsidR="00C6722F">
        <w:t>,</w:t>
      </w:r>
      <w:r w:rsidRPr="004A77F7" w:rsidR="00BC1579">
        <w:t xml:space="preserve"> p. 1</w:t>
      </w:r>
      <w:r w:rsidR="00C6722F">
        <w:t>3</w:t>
      </w:r>
      <w:r w:rsidRPr="004A77F7" w:rsidR="00BC1579">
        <w:t xml:space="preserve"> </w:t>
      </w:r>
      <w:r w:rsidRPr="004A77F7" w:rsidR="006A33F8">
        <w:t>(</w:t>
      </w:r>
      <w:r w:rsidR="00C6722F">
        <w:t xml:space="preserve">providing, </w:t>
      </w:r>
      <w:r w:rsidRPr="004A77F7" w:rsidR="004A77F7">
        <w:t>“All PPIs are routinely subject to revision 4 months after their original publication, to reflect late reports and corrections reported by company respondents. Once revised, unadjusted indexes are considered final.”</w:t>
      </w:r>
      <w:r w:rsidRPr="004A77F7" w:rsidR="00BC1579">
        <w:t xml:space="preserve">) </w:t>
      </w:r>
      <w:r w:rsidRPr="004A77F7" w:rsidR="00FE5CAB">
        <w:t>(</w:t>
      </w:r>
      <w:r w:rsidRPr="004A77F7" w:rsidR="00FE5CAB">
        <w:rPr>
          <w:i/>
        </w:rPr>
        <w:t>available at</w:t>
      </w:r>
      <w:r w:rsidRPr="004A77F7" w:rsidR="00FE5CAB">
        <w:t xml:space="preserve">: </w:t>
      </w:r>
      <w:r>
        <w:fldChar w:fldCharType="begin"/>
      </w:r>
      <w:r>
        <w:instrText xml:space="preserve"> HYPERLINK "https://stats.bls.gov/opub/hom/pdf/homch14.pdf" </w:instrText>
      </w:r>
      <w:r>
        <w:fldChar w:fldCharType="separate"/>
      </w:r>
      <w:r w:rsidRPr="004A77F7" w:rsidR="00FE5CAB">
        <w:rPr>
          <w:rStyle w:val="Hyperlink"/>
        </w:rPr>
        <w:t>https://stats.bls.gov/opub/hom/pdf/homch14.pdf</w:t>
      </w:r>
      <w:r>
        <w:fldChar w:fldCharType="end"/>
      </w:r>
      <w:r w:rsidRPr="004A77F7" w:rsidR="00FE5CAB">
        <w:t>)</w:t>
      </w:r>
      <w:r w:rsidR="00C6722F">
        <w:t>.</w:t>
      </w:r>
      <w:r w:rsidRPr="004A77F7" w:rsidR="00FE5CAB">
        <w:t xml:space="preserve"> </w:t>
      </w:r>
    </w:p>
  </w:footnote>
  <w:footnote w:id="10">
    <w:p w:rsidR="00822C1B" w:rsidRPr="0023608A" w:rsidP="00822C1B">
      <w:pPr>
        <w:pStyle w:val="FootnoteText"/>
        <w:rPr>
          <w:i/>
        </w:rPr>
      </w:pPr>
      <w:r w:rsidRPr="00FE5CAB">
        <w:rPr>
          <w:rStyle w:val="FootnoteReference"/>
        </w:rPr>
        <w:footnoteRef/>
      </w:r>
      <w:r w:rsidRPr="00FE5CAB">
        <w:t xml:space="preserve"> </w:t>
      </w:r>
      <w:r w:rsidRPr="00FE5CAB" w:rsidR="0023608A">
        <w:rPr>
          <w:i/>
        </w:rPr>
        <w:t xml:space="preserve">See </w:t>
      </w:r>
      <w:r w:rsidRPr="00FE5CAB" w:rsidR="0023608A">
        <w:t xml:space="preserve">Bureau of Labor Statistics, U.S. Department of Labor, </w:t>
      </w:r>
      <w:r w:rsidRPr="00FE5CAB" w:rsidR="0023608A">
        <w:rPr>
          <w:i/>
        </w:rPr>
        <w:t>Data Tools: Price Index Commodity Data: Final demand - WPUFD4</w:t>
      </w:r>
      <w:r w:rsidRPr="00FE5CAB" w:rsidR="0023608A">
        <w:t xml:space="preserve">, </w:t>
      </w:r>
      <w:r>
        <w:fldChar w:fldCharType="begin"/>
      </w:r>
      <w:r>
        <w:instrText xml:space="preserve"> HYPERLINK "http://data.bls.gov/cgi-bin/surveymost?wp" </w:instrText>
      </w:r>
      <w:r>
        <w:fldChar w:fldCharType="separate"/>
      </w:r>
      <w:r w:rsidRPr="00FE5CAB" w:rsidR="0023608A">
        <w:rPr>
          <w:rStyle w:val="Hyperlink"/>
        </w:rPr>
        <w:t>http://data.bls.gov/cgi-bin/surveymost?wp</w:t>
      </w:r>
      <w:r>
        <w:fldChar w:fldCharType="end"/>
      </w:r>
      <w:r w:rsidRPr="00FE5CAB" w:rsidR="0023608A">
        <w:t xml:space="preserve"> (last visited May </w:t>
      </w:r>
      <w:r w:rsidRPr="00FE5CAB" w:rsidR="00FE5CAB">
        <w:t>21</w:t>
      </w:r>
      <w:r w:rsidRPr="00FE5CAB" w:rsidR="0023608A">
        <w:t>, 2018)</w:t>
      </w:r>
      <w:r w:rsidRPr="00FE5CAB" w:rsidR="00FE5CAB">
        <w:t>.</w:t>
      </w:r>
    </w:p>
  </w:footnote>
  <w:footnote w:id="11">
    <w:p w:rsidR="00982033" w:rsidRPr="00797E30" w:rsidP="00982033">
      <w:pPr>
        <w:pStyle w:val="FootnoteText"/>
      </w:pPr>
      <w:r w:rsidRPr="00AD182A">
        <w:rPr>
          <w:rStyle w:val="FootnoteReference"/>
        </w:rPr>
        <w:footnoteRef/>
      </w:r>
      <w:r>
        <w:t xml:space="preserve"> </w:t>
      </w:r>
      <w:r>
        <w:rPr>
          <w:i/>
        </w:rPr>
        <w:t xml:space="preserve">See </w:t>
      </w:r>
      <w:r>
        <w:t>Appx., Catalog</w:t>
      </w:r>
      <w:r w:rsidR="00D4314B">
        <w:t xml:space="preserve"> (2018 Update)</w:t>
      </w:r>
      <w:r>
        <w:t>.</w:t>
      </w:r>
      <w:r w:rsidRPr="00982033">
        <w:t xml:space="preserve"> </w:t>
      </w:r>
      <w:r>
        <w:t xml:space="preserve"> </w:t>
      </w:r>
    </w:p>
  </w:footnote>
  <w:footnote w:id="12">
    <w:p w:rsidR="00F65552" w:rsidRPr="00797E30" w:rsidP="00F65552">
      <w:pPr>
        <w:pStyle w:val="FootnoteText"/>
      </w:pPr>
      <w:r w:rsidRPr="00AD182A">
        <w:rPr>
          <w:rStyle w:val="FootnoteReference"/>
        </w:rPr>
        <w:footnoteRef/>
      </w:r>
      <w:r>
        <w:t xml:space="preserve"> </w:t>
      </w:r>
      <w:r w:rsidR="006E764B">
        <w:t xml:space="preserve">The updated Catalog will also </w:t>
      </w:r>
      <w:r w:rsidRPr="004B592E" w:rsidR="006E764B">
        <w:rPr>
          <w:rFonts w:eastAsia="Calibri"/>
          <w:szCs w:val="22"/>
        </w:rPr>
        <w:t xml:space="preserve">be made available for reference on the Commission’s </w:t>
      </w:r>
      <w:r w:rsidR="006E764B">
        <w:rPr>
          <w:rFonts w:eastAsia="Calibri"/>
          <w:szCs w:val="22"/>
        </w:rPr>
        <w:t xml:space="preserve">reimbursement-specific </w:t>
      </w:r>
      <w:r w:rsidRPr="004B592E" w:rsidR="006E764B">
        <w:rPr>
          <w:rFonts w:eastAsia="Calibri"/>
          <w:szCs w:val="22"/>
        </w:rPr>
        <w:t>web</w:t>
      </w:r>
      <w:r w:rsidR="006E764B">
        <w:rPr>
          <w:rFonts w:eastAsia="Calibri"/>
          <w:szCs w:val="22"/>
        </w:rPr>
        <w:t>page</w:t>
      </w:r>
      <w:r w:rsidR="006E764B">
        <w:t xml:space="preserve">, which </w:t>
      </w:r>
      <w:r>
        <w:t>is:</w:t>
      </w:r>
      <w:r w:rsidRPr="00F65552">
        <w:t xml:space="preserve"> </w:t>
      </w:r>
      <w:r>
        <w:fldChar w:fldCharType="begin"/>
      </w:r>
      <w:r>
        <w:instrText xml:space="preserve"> HYPERLINK "https://www.fcc.gov/incentiveauctions/reimbursement" </w:instrText>
      </w:r>
      <w:r>
        <w:fldChar w:fldCharType="separate"/>
      </w:r>
      <w:r w:rsidRPr="00F65552">
        <w:rPr>
          <w:rStyle w:val="Hyperlink"/>
        </w:rPr>
        <w:t>https://www.fcc.gov/incentiveauctions/reimbursement</w:t>
      </w:r>
      <w:r>
        <w:fldChar w:fldCharType="end"/>
      </w:r>
      <w:r w:rsidRPr="00F65552">
        <w:t>.</w:t>
      </w:r>
    </w:p>
  </w:footnote>
  <w:footnote w:id="13">
    <w:p w:rsidR="003F6BCA" w:rsidRPr="00797E30" w:rsidP="003F6BCA">
      <w:pPr>
        <w:pStyle w:val="FootnoteText"/>
      </w:pPr>
      <w:r w:rsidRPr="00AD182A">
        <w:rPr>
          <w:rStyle w:val="FootnoteReference"/>
        </w:rPr>
        <w:footnoteRef/>
      </w:r>
      <w:r>
        <w:t xml:space="preserve"> </w:t>
      </w:r>
      <w:r w:rsidR="00A83BB6">
        <w:t xml:space="preserve">If the </w:t>
      </w:r>
      <w:r w:rsidR="004C37BB">
        <w:t>cost estimate entered</w:t>
      </w:r>
      <w:r w:rsidR="00A83BB6">
        <w:t xml:space="preserve"> </w:t>
      </w:r>
      <w:r w:rsidR="004C37BB">
        <w:t>has</w:t>
      </w:r>
      <w:r w:rsidR="00A83BB6">
        <w:t xml:space="preserve"> an associated vendor quote, e</w:t>
      </w:r>
      <w:r>
        <w:t>ntities would enter the amount identified in the quote in the “estimated cost” field of the Form 399</w:t>
      </w:r>
      <w:r w:rsidR="004C37BB">
        <w:t xml:space="preserve"> rather than using the Catalog cost</w:t>
      </w:r>
      <w:r>
        <w:t>.</w:t>
      </w:r>
      <w:r w:rsidRPr="004C37BB" w:rsidR="004C37BB">
        <w:t xml:space="preserve"> </w:t>
      </w:r>
      <w:r w:rsidR="004C37BB">
        <w:t xml:space="preserve"> We note, however, that all entities will ultimately have to submit a vendor quote when seeking reimbursement for </w:t>
      </w:r>
      <w:r w:rsidR="009E52F1">
        <w:t>equipment</w:t>
      </w:r>
      <w:r w:rsidR="004C37BB">
        <w:t xml:space="preserve"> costs </w:t>
      </w:r>
      <w:r w:rsidR="009E52F1">
        <w:t xml:space="preserve">actually </w:t>
      </w:r>
      <w:r w:rsidR="004C37BB">
        <w:t>incurred</w:t>
      </w:r>
      <w:r w:rsidR="004C37B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P="00810B6F">
    <w:pPr>
      <w:pStyle w:val="Header"/>
      <w:rPr>
        <w:b w:val="0"/>
      </w:rPr>
    </w:pPr>
    <w:r>
      <w:tab/>
      <w:t>Federal Communications Commission</w:t>
    </w:r>
    <w:r>
      <w:tab/>
      <w:t>DA 1</w:t>
    </w:r>
    <w:r w:rsidR="00336940">
      <w:t>8</w:t>
    </w:r>
    <w:r>
      <w:t>-</w:t>
    </w:r>
    <w:r w:rsidR="008621B3">
      <w:t>662</w:t>
    </w:r>
  </w:p>
  <w:p w:rsidR="00C627C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627C6">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27C6" w:rsidRPr="00BA6E7A" w:rsidP="00750150">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70936"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C627C6" w:rsidRPr="005068D8" w:rsidP="00750150">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27C6" w:rsidP="00750150">
                          <w:pPr>
                            <w:spacing w:before="40"/>
                            <w:jc w:val="right"/>
                          </w:pPr>
                          <w:r>
                            <w:rPr>
                              <w:rFonts w:ascii="Arial" w:hAnsi="Arial"/>
                              <w:b/>
                              <w:sz w:val="16"/>
                            </w:rPr>
                            <w:t>News Media 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627C6" w:rsidP="00750150">
                    <w:pPr>
                      <w:spacing w:before="40"/>
                      <w:jc w:val="right"/>
                    </w:pPr>
                    <w:r>
                      <w:rPr>
                        <w:rFonts w:ascii="Arial" w:hAnsi="Arial"/>
                        <w:b/>
                        <w:sz w:val="16"/>
                      </w:rPr>
                      <w:t>News Media Information: 202-418-0500</w:t>
                    </w:r>
                    <w:r>
                      <w:rPr>
                        <w:rFonts w:ascii="Arial" w:hAnsi="Arial"/>
                        <w:b/>
                        <w:sz w:val="16"/>
                      </w:rPr>
                      <w:br/>
                      <w:t xml:space="preserve">Internet: </w:t>
                    </w:r>
                    <w:r w:rsidRPr="00967716">
                      <w:rPr>
                        <w:rFonts w:ascii="Arial" w:hAnsi="Arial"/>
                        <w:b/>
                        <w:sz w:val="16"/>
                      </w:rPr>
                      <w:t>www.fcc.gov</w:t>
                    </w:r>
                    <w:r>
                      <w:rPr>
                        <w:rFonts w:ascii="Arial" w:hAnsi="Arial"/>
                        <w:b/>
                        <w:sz w:val="16"/>
                      </w:rPr>
                      <w:br/>
                      <w:t>TTY: 888-835-5322</w:t>
                    </w:r>
                  </w:p>
                </w:txbxContent>
              </v:textbox>
            </v:shape>
          </w:pict>
        </mc:Fallback>
      </mc:AlternateContent>
    </w:r>
  </w:p>
  <w:p w:rsidR="00C627C6" w:rsidRPr="00750150" w:rsidP="00750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81BBD"/>
    <w:multiLevelType w:val="hybridMultilevel"/>
    <w:tmpl w:val="C5004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A7E1152"/>
    <w:multiLevelType w:val="hybridMultilevel"/>
    <w:tmpl w:val="3D8EB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CF2319"/>
    <w:multiLevelType w:val="hybridMultilevel"/>
    <w:tmpl w:val="3F0AC76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Footnote Text Char2 Char,Footnote Text Char2 Char Char Char,Footnote Text Char3 Char Char,fn"/>
    <w:link w:val="FootnoteTextChar"/>
    <w:qFormat/>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hAnsi="Calibri" w:eastAsiaTheme="minorHAnsi" w:cs="Calibri"/>
      <w:snapToGrid/>
      <w:kern w:val="0"/>
      <w:szCs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1,Footnote Text Char3 Char Char Char"/>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hAnsi="Calibri" w:eastAsiaTheme="minorHAns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hAnsi="Calibri" w:eastAsiaTheme="minorHAnsi" w:cstheme="minorBidi"/>
      <w:sz w:val="22"/>
      <w:szCs w:val="21"/>
    </w:rPr>
  </w:style>
  <w:style w:type="character" w:customStyle="1" w:styleId="UnresolvedMention">
    <w:name w:val="Unresolved Mention"/>
    <w:basedOn w:val="DefaultParagraphFont"/>
    <w:uiPriority w:val="99"/>
    <w:semiHidden/>
    <w:unhideWhenUsed/>
    <w:rsid w:val="00F655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