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A2BD0" w:rsidP="00BA2BD0">
      <w:pPr>
        <w:jc w:val="center"/>
        <w:rPr>
          <w:b/>
        </w:rPr>
      </w:pPr>
      <w:r w:rsidRPr="0070224F">
        <w:rPr>
          <w:rFonts w:ascii="Times New Roman Bold" w:hAnsi="Times New Roman Bold"/>
          <w:b/>
          <w:kern w:val="0"/>
          <w:szCs w:val="22"/>
        </w:rPr>
        <w:t>Before</w:t>
      </w:r>
      <w:r>
        <w:rPr>
          <w:b/>
        </w:rPr>
        <w:t xml:space="preserve"> the</w:t>
      </w:r>
    </w:p>
    <w:p w:rsidR="00BA2BD0" w:rsidP="00BA2BD0">
      <w:pPr>
        <w:pStyle w:val="StyleBoldCentered"/>
      </w:pPr>
      <w:r>
        <w:t>F</w:t>
      </w:r>
      <w:r>
        <w:rPr>
          <w:caps w:val="0"/>
        </w:rPr>
        <w:t>ederal Communications Commission</w:t>
      </w:r>
    </w:p>
    <w:p w:rsidR="00BA2BD0" w:rsidP="00BA2BD0">
      <w:pPr>
        <w:pStyle w:val="StyleBoldCentered"/>
      </w:pPr>
      <w:r>
        <w:rPr>
          <w:caps w:val="0"/>
        </w:rPr>
        <w:t>Washington, D.C. 20554</w:t>
      </w:r>
    </w:p>
    <w:p w:rsidR="00BA2BD0" w:rsidP="00BA2BD0"/>
    <w:tbl>
      <w:tblPr>
        <w:tblW w:w="0" w:type="auto"/>
        <w:tblLayout w:type="fixed"/>
        <w:tblLook w:val="0000"/>
      </w:tblPr>
      <w:tblGrid>
        <w:gridCol w:w="4698"/>
        <w:gridCol w:w="630"/>
        <w:gridCol w:w="4248"/>
      </w:tblGrid>
      <w:tr w:rsidTr="004F10D0">
        <w:tblPrEx>
          <w:tblW w:w="0" w:type="auto"/>
          <w:tblLayout w:type="fixed"/>
          <w:tblLook w:val="0000"/>
        </w:tblPrEx>
        <w:tc>
          <w:tcPr>
            <w:tcW w:w="4698" w:type="dxa"/>
          </w:tcPr>
          <w:p w:rsidR="00BA2BD0" w:rsidP="004F10D0">
            <w:pPr>
              <w:tabs>
                <w:tab w:val="center" w:pos="4680"/>
              </w:tabs>
              <w:suppressAutoHyphens/>
              <w:rPr>
                <w:spacing w:val="-2"/>
              </w:rPr>
            </w:pPr>
            <w:r>
              <w:rPr>
                <w:spacing w:val="-2"/>
              </w:rPr>
              <w:t>In the Matter of</w:t>
            </w:r>
          </w:p>
          <w:p w:rsidR="00BA2BD0" w:rsidP="004F10D0">
            <w:pPr>
              <w:tabs>
                <w:tab w:val="center" w:pos="4680"/>
              </w:tabs>
              <w:suppressAutoHyphens/>
              <w:rPr>
                <w:spacing w:val="-2"/>
              </w:rPr>
            </w:pPr>
          </w:p>
          <w:p w:rsidR="00BA2BD0" w:rsidRPr="007115F7" w:rsidP="004F10D0">
            <w:pPr>
              <w:tabs>
                <w:tab w:val="center" w:pos="4680"/>
              </w:tabs>
              <w:suppressAutoHyphens/>
              <w:rPr>
                <w:spacing w:val="-2"/>
              </w:rPr>
            </w:pPr>
            <w:r w:rsidRPr="003E333E">
              <w:rPr>
                <w:spacing w:val="-2"/>
              </w:rPr>
              <w:t xml:space="preserve">Amendment of Part 74 of the Commission’s Rules Regarding FM Translator Interference </w:t>
            </w:r>
          </w:p>
        </w:tc>
        <w:tc>
          <w:tcPr>
            <w:tcW w:w="630" w:type="dxa"/>
          </w:tcPr>
          <w:p w:rsidR="00BA2BD0" w:rsidP="004F10D0">
            <w:pPr>
              <w:tabs>
                <w:tab w:val="center" w:pos="4680"/>
              </w:tabs>
              <w:suppressAutoHyphens/>
              <w:rPr>
                <w:b/>
                <w:spacing w:val="-2"/>
              </w:rPr>
            </w:pPr>
            <w:r>
              <w:rPr>
                <w:b/>
                <w:spacing w:val="-2"/>
              </w:rPr>
              <w:t>)</w:t>
            </w:r>
          </w:p>
          <w:p w:rsidR="00BA2BD0" w:rsidP="004F10D0">
            <w:pPr>
              <w:tabs>
                <w:tab w:val="center" w:pos="4680"/>
              </w:tabs>
              <w:suppressAutoHyphens/>
              <w:rPr>
                <w:b/>
                <w:spacing w:val="-2"/>
              </w:rPr>
            </w:pPr>
            <w:r>
              <w:rPr>
                <w:b/>
                <w:spacing w:val="-2"/>
              </w:rPr>
              <w:t>)</w:t>
            </w:r>
          </w:p>
          <w:p w:rsidR="00BA2BD0" w:rsidP="004F10D0">
            <w:pPr>
              <w:tabs>
                <w:tab w:val="center" w:pos="4680"/>
              </w:tabs>
              <w:suppressAutoHyphens/>
              <w:rPr>
                <w:b/>
                <w:spacing w:val="-2"/>
              </w:rPr>
            </w:pPr>
            <w:r>
              <w:rPr>
                <w:b/>
                <w:spacing w:val="-2"/>
              </w:rPr>
              <w:t>)</w:t>
            </w:r>
          </w:p>
          <w:p w:rsidR="00BA2BD0" w:rsidRPr="00971A44" w:rsidP="004F10D0">
            <w:pPr>
              <w:tabs>
                <w:tab w:val="center" w:pos="4680"/>
              </w:tabs>
              <w:suppressAutoHyphens/>
              <w:rPr>
                <w:b/>
                <w:spacing w:val="-2"/>
              </w:rPr>
            </w:pPr>
            <w:r>
              <w:rPr>
                <w:b/>
                <w:spacing w:val="-2"/>
              </w:rPr>
              <w:t>)</w:t>
            </w:r>
          </w:p>
        </w:tc>
        <w:tc>
          <w:tcPr>
            <w:tcW w:w="4248" w:type="dxa"/>
          </w:tcPr>
          <w:p w:rsidR="00BA2BD0" w:rsidP="004F10D0">
            <w:pPr>
              <w:tabs>
                <w:tab w:val="center" w:pos="4680"/>
              </w:tabs>
              <w:suppressAutoHyphens/>
              <w:rPr>
                <w:spacing w:val="-2"/>
              </w:rPr>
            </w:pPr>
          </w:p>
          <w:p w:rsidR="00BA2BD0" w:rsidP="004F10D0">
            <w:pPr>
              <w:pStyle w:val="TOAHeading"/>
              <w:tabs>
                <w:tab w:val="center" w:pos="4680"/>
                <w:tab w:val="clear" w:pos="9360"/>
              </w:tabs>
              <w:rPr>
                <w:spacing w:val="-2"/>
              </w:rPr>
            </w:pPr>
          </w:p>
          <w:p w:rsidR="00BA2BD0" w:rsidP="004F10D0">
            <w:pPr>
              <w:tabs>
                <w:tab w:val="center" w:pos="4680"/>
              </w:tabs>
              <w:suppressAutoHyphens/>
              <w:rPr>
                <w:spacing w:val="-2"/>
              </w:rPr>
            </w:pPr>
            <w:r w:rsidRPr="003E333E">
              <w:rPr>
                <w:spacing w:val="-2"/>
              </w:rPr>
              <w:t xml:space="preserve">MB Docket </w:t>
            </w:r>
            <w:r w:rsidRPr="00103706">
              <w:rPr>
                <w:spacing w:val="-2"/>
              </w:rPr>
              <w:t>No. 18-119</w:t>
            </w:r>
          </w:p>
        </w:tc>
      </w:tr>
    </w:tbl>
    <w:p w:rsidR="00BA2BD0" w:rsidP="00BA2BD0"/>
    <w:p w:rsidR="00911C30" w:rsidP="00BA2BD0"/>
    <w:p w:rsidR="00BA2BD0" w:rsidP="00BA2BD0">
      <w:pPr>
        <w:pStyle w:val="StyleBoldCentered"/>
      </w:pPr>
      <w:r>
        <w:t>ORDER</w:t>
      </w:r>
    </w:p>
    <w:p w:rsidR="00BA2BD0" w:rsidP="00BA2BD0">
      <w:pPr>
        <w:tabs>
          <w:tab w:val="left" w:pos="-720"/>
        </w:tabs>
        <w:suppressAutoHyphens/>
        <w:spacing w:line="227" w:lineRule="auto"/>
        <w:rPr>
          <w:spacing w:val="-2"/>
        </w:rPr>
      </w:pPr>
    </w:p>
    <w:p w:rsidR="00BA2BD0" w:rsidP="00BA2BD0">
      <w:pPr>
        <w:tabs>
          <w:tab w:val="left" w:pos="720"/>
          <w:tab w:val="right" w:pos="9360"/>
        </w:tabs>
        <w:suppressAutoHyphens/>
        <w:spacing w:line="227" w:lineRule="auto"/>
        <w:rPr>
          <w:spacing w:val="-2"/>
        </w:rPr>
      </w:pPr>
      <w:r>
        <w:rPr>
          <w:b/>
          <w:spacing w:val="-2"/>
        </w:rPr>
        <w:t xml:space="preserve">Adopted:  </w:t>
      </w:r>
      <w:r w:rsidR="001042AA">
        <w:rPr>
          <w:b/>
          <w:spacing w:val="-2"/>
        </w:rPr>
        <w:t>June 27, 2018</w:t>
      </w:r>
      <w:r>
        <w:rPr>
          <w:b/>
          <w:spacing w:val="-2"/>
        </w:rPr>
        <w:tab/>
        <w:t xml:space="preserve">Released:  </w:t>
      </w:r>
      <w:r w:rsidR="001042AA">
        <w:rPr>
          <w:b/>
          <w:spacing w:val="-2"/>
        </w:rPr>
        <w:t>June 27, 2018</w:t>
      </w:r>
    </w:p>
    <w:p w:rsidR="002C7AEB" w:rsidP="002C7AEB">
      <w:pPr>
        <w:widowControl/>
        <w:tabs>
          <w:tab w:val="left" w:pos="720"/>
          <w:tab w:val="left" w:pos="5760"/>
        </w:tabs>
        <w:suppressAutoHyphens/>
        <w:spacing w:line="227" w:lineRule="auto"/>
        <w:jc w:val="both"/>
        <w:rPr>
          <w:b/>
          <w:spacing w:val="-2"/>
          <w:szCs w:val="22"/>
        </w:rPr>
      </w:pPr>
    </w:p>
    <w:p w:rsidR="002C7AEB" w:rsidP="002C7AEB">
      <w:pPr>
        <w:widowControl/>
        <w:tabs>
          <w:tab w:val="left" w:pos="720"/>
          <w:tab w:val="left" w:pos="5760"/>
        </w:tabs>
        <w:suppressAutoHyphens/>
        <w:spacing w:line="227" w:lineRule="auto"/>
        <w:jc w:val="both"/>
        <w:rPr>
          <w:b/>
          <w:spacing w:val="-2"/>
          <w:szCs w:val="22"/>
        </w:rPr>
      </w:pPr>
      <w:r>
        <w:rPr>
          <w:b/>
          <w:spacing w:val="-2"/>
          <w:szCs w:val="22"/>
        </w:rPr>
        <w:t>Revised Comment Date: August 6, 2018</w:t>
      </w:r>
    </w:p>
    <w:p w:rsidR="002C7AEB" w:rsidRPr="00D953FB" w:rsidP="002C7AEB">
      <w:pPr>
        <w:widowControl/>
        <w:tabs>
          <w:tab w:val="left" w:pos="720"/>
          <w:tab w:val="left" w:pos="5760"/>
        </w:tabs>
        <w:suppressAutoHyphens/>
        <w:spacing w:line="227" w:lineRule="auto"/>
        <w:jc w:val="both"/>
        <w:rPr>
          <w:b/>
          <w:spacing w:val="-2"/>
          <w:szCs w:val="22"/>
        </w:rPr>
      </w:pPr>
      <w:r>
        <w:rPr>
          <w:b/>
          <w:spacing w:val="-2"/>
          <w:szCs w:val="22"/>
        </w:rPr>
        <w:t>Revised Reply Comment Date: September 5, 2018</w:t>
      </w:r>
    </w:p>
    <w:p w:rsidR="00BA2BD0" w:rsidP="00BA2BD0"/>
    <w:p w:rsidR="00BA2BD0" w:rsidP="00BA2BD0">
      <w:pPr>
        <w:rPr>
          <w:spacing w:val="-2"/>
        </w:rPr>
      </w:pPr>
      <w:r>
        <w:t xml:space="preserve">By the </w:t>
      </w:r>
      <w:r>
        <w:rPr>
          <w:spacing w:val="-2"/>
        </w:rPr>
        <w:t>Chief, Media Bureau:</w:t>
      </w:r>
    </w:p>
    <w:p w:rsidR="00BA2BD0" w:rsidP="00BA2BD0">
      <w:pPr>
        <w:rPr>
          <w:spacing w:val="-2"/>
        </w:rPr>
      </w:pPr>
    </w:p>
    <w:p w:rsidR="00F93048" w:rsidP="00BA2BD0">
      <w:pPr>
        <w:rPr>
          <w:spacing w:val="-2"/>
        </w:rPr>
      </w:pPr>
    </w:p>
    <w:p w:rsidR="00BA2BD0" w:rsidP="00BA2BD0">
      <w:pPr>
        <w:pStyle w:val="ParaNum"/>
      </w:pPr>
      <w:r>
        <w:t>On May 10, 2018, the Commission commenced a rulemaking proceeding</w:t>
      </w:r>
      <w:r>
        <w:rPr>
          <w:rStyle w:val="FootnoteReference"/>
        </w:rPr>
        <w:footnoteReference w:id="3"/>
      </w:r>
      <w:r>
        <w:t xml:space="preserve"> </w:t>
      </w:r>
      <w:r w:rsidRPr="003E333E">
        <w:t>to streamline the rules relating to interference caused by FM translators and expedite the translator complaint resolution process</w:t>
      </w:r>
      <w:r>
        <w:t>.  Comments are due July 6, 2018, and reply comments are due August 6, 2018.</w:t>
      </w:r>
      <w:r>
        <w:rPr>
          <w:rStyle w:val="FootnoteReference"/>
        </w:rPr>
        <w:footnoteReference w:id="4"/>
      </w:r>
    </w:p>
    <w:p w:rsidR="00BA2BD0" w:rsidP="00BA2BD0">
      <w:pPr>
        <w:pStyle w:val="ParaNum"/>
      </w:pPr>
      <w:r>
        <w:t xml:space="preserve">On June 25, 2018, Beasley Media Group, LLC, Educational Media Foundation, Gradick Communications, LLC, </w:t>
      </w:r>
      <w:r>
        <w:t>iHeart</w:t>
      </w:r>
      <w:r>
        <w:t xml:space="preserve"> Communications, Inc., Neuhoff Corp., Radio One Licenses, LLC/Urban One, Inc., and Withers Broadcasting Companies (Petitioners) filed a Motion for Extension of Time seeking additional time to file comments and reply comments.  Petitioners request an extension of the deadline for filing comments to August 6, 2018</w:t>
      </w:r>
      <w:r w:rsidR="00077190">
        <w:t>,</w:t>
      </w:r>
      <w:r>
        <w:t xml:space="preserve"> and for filing reply comments to September 5, 2018.</w:t>
      </w:r>
      <w:r>
        <w:rPr>
          <w:rStyle w:val="FootnoteReference"/>
        </w:rPr>
        <w:footnoteReference w:id="5"/>
      </w:r>
      <w:r>
        <w:t xml:space="preserve">  The Petitioners contend that the rulemaking raises complex technical matters and that the requested extension of time will allow Petitioners to gather, “</w:t>
      </w:r>
      <w:r w:rsidRPr="001B1F26">
        <w:t xml:space="preserve">market-derived data across the radio industry as to the locations of listening to full service FM radio stations based on Nielsen audience data. This wide-ranging factual undertaking should provide invaluable data for the Commission’s evaluation of the impact of the </w:t>
      </w:r>
      <w:r w:rsidRPr="001B1F26">
        <w:rPr>
          <w:i/>
          <w:iCs/>
        </w:rPr>
        <w:t xml:space="preserve">NPRM’s </w:t>
      </w:r>
      <w:r w:rsidRPr="001B1F26">
        <w:t>proposals.</w:t>
      </w:r>
      <w:r>
        <w:t>”</w:t>
      </w:r>
      <w:r>
        <w:rPr>
          <w:rStyle w:val="FootnoteReference"/>
        </w:rPr>
        <w:footnoteReference w:id="6"/>
      </w:r>
    </w:p>
    <w:p w:rsidR="00BA2BD0" w:rsidP="00BA2BD0">
      <w:pPr>
        <w:pStyle w:val="ParaNum"/>
      </w:pPr>
      <w:r w:rsidRPr="00BD0559">
        <w:t>Section 1.46 of the Commission’s rules provides that “[</w:t>
      </w:r>
      <w:r w:rsidRPr="00BD0559">
        <w:t>i</w:t>
      </w:r>
      <w:r w:rsidRPr="00BD0559">
        <w:t xml:space="preserve">]t is the policy of the Commission that </w:t>
      </w:r>
      <w:r w:rsidRPr="00BD0559">
        <w:rPr>
          <w:bCs/>
        </w:rPr>
        <w:t>extensions</w:t>
      </w:r>
      <w:r w:rsidRPr="00BD0559">
        <w:t xml:space="preserve"> </w:t>
      </w:r>
      <w:r w:rsidRPr="00BD0559">
        <w:rPr>
          <w:bCs/>
        </w:rPr>
        <w:t>of</w:t>
      </w:r>
      <w:r w:rsidRPr="00BD0559">
        <w:t xml:space="preserve"> </w:t>
      </w:r>
      <w:r w:rsidRPr="00BD0559">
        <w:rPr>
          <w:bCs/>
        </w:rPr>
        <w:t>time</w:t>
      </w:r>
      <w:r w:rsidRPr="00BD0559">
        <w:t xml:space="preserve"> shall not be routinely granted.”</w:t>
      </w:r>
      <w:bookmarkStart w:id="0" w:name="co_tablefootnote_6_1"/>
      <w:bookmarkEnd w:id="0"/>
      <w:r>
        <w:rPr>
          <w:rStyle w:val="FootnoteReference"/>
        </w:rPr>
        <w:footnoteReference w:id="7"/>
      </w:r>
      <w:r>
        <w:t xml:space="preserve"> </w:t>
      </w:r>
      <w:r w:rsidRPr="00BD0559">
        <w:t xml:space="preserve"> </w:t>
      </w:r>
      <w:r>
        <w:t>We fin</w:t>
      </w:r>
      <w:r w:rsidR="00F93048">
        <w:t>d</w:t>
      </w:r>
      <w:r>
        <w:t>, however, that there is good cause to extend the due date for filing comments and reply comments.  A</w:t>
      </w:r>
      <w:r w:rsidRPr="00BD0559">
        <w:t xml:space="preserve"> brief extension of the filing deadline will allow parties to provide the Commission with more thorough comments that will facilitate the compilation of a complete record in this proceeding, without causing undue delay to the Commission’s</w:t>
      </w:r>
      <w:r>
        <w:t xml:space="preserve"> consideration of these issues.</w:t>
      </w:r>
    </w:p>
    <w:p w:rsidR="002C7AEB" w:rsidP="002C7AEB">
      <w:pPr>
        <w:pStyle w:val="ParaNum"/>
        <w:numPr>
          <w:ilvl w:val="0"/>
          <w:numId w:val="0"/>
        </w:numPr>
        <w:ind w:firstLine="720"/>
      </w:pPr>
    </w:p>
    <w:p w:rsidR="00BA2BD0" w:rsidP="00BA2BD0">
      <w:pPr>
        <w:pStyle w:val="ParaNum"/>
      </w:pPr>
      <w:r w:rsidRPr="005142C7">
        <w:t>Accordingly, IT IS ORDERED, pursuant to sections 4(</w:t>
      </w:r>
      <w:r w:rsidRPr="005142C7">
        <w:t>i</w:t>
      </w:r>
      <w:r w:rsidRPr="005142C7">
        <w:t xml:space="preserve">), 4(j), 5, and 303(r) of the Communications Act, as amended, </w:t>
      </w:r>
      <w:r>
        <w:fldChar w:fldCharType="begin"/>
      </w:r>
      <w:r>
        <w:instrText xml:space="preserve"> HYPERLINK "http://www.westlaw.com/Link/Document/FullText?findType=L&amp;pubNum=1000546&amp;cite=47USCAS154&amp;originatingDoc=If6bc2ac5dbe111e6b73588f1a9cfce05&amp;refType=RB&amp;originationContext=document&amp;vr=3.0&amp;rs=cblt1.0&amp;transitionType=DocumentItem&amp;contextData=(sc.Search)" \l "co_pp_17a3000024864" </w:instrText>
      </w:r>
      <w:r>
        <w:fldChar w:fldCharType="separate"/>
      </w:r>
      <w:r w:rsidRPr="005142C7">
        <w:rPr>
          <w:rStyle w:val="Hyperlink"/>
          <w:color w:val="auto"/>
          <w:u w:val="none"/>
        </w:rPr>
        <w:t>47 U.S.C. §§ 154(</w:t>
      </w:r>
      <w:r w:rsidRPr="005142C7">
        <w:rPr>
          <w:rStyle w:val="Hyperlink"/>
          <w:color w:val="auto"/>
          <w:u w:val="none"/>
        </w:rPr>
        <w:t>i</w:t>
      </w:r>
      <w:r w:rsidRPr="005142C7">
        <w:rPr>
          <w:rStyle w:val="Hyperlink"/>
          <w:color w:val="auto"/>
          <w:u w:val="none"/>
        </w:rPr>
        <w:t>)</w:t>
      </w:r>
      <w:r>
        <w:fldChar w:fldCharType="end"/>
      </w:r>
      <w:r w:rsidRPr="005142C7">
        <w:t xml:space="preserve">, </w:t>
      </w:r>
      <w:r>
        <w:fldChar w:fldCharType="begin"/>
      </w:r>
      <w:r>
        <w:instrText xml:space="preserve"> HYPERLINK "http://www.westlaw.com/Link/Document/FullText?findType=L&amp;pubNum=1000546&amp;cite=47USCAS154&amp;originatingDoc=If6bc2ac5dbe111e6b73588f1a9cfce05&amp;refType=RB&amp;originationContext=document&amp;vr=3.0&amp;rs=cblt1.0&amp;transitionType=DocumentItem&amp;contextData=(sc.Search)" \l "co_pp_267600008f864" </w:instrText>
      </w:r>
      <w:r>
        <w:fldChar w:fldCharType="separate"/>
      </w:r>
      <w:r w:rsidRPr="005142C7">
        <w:rPr>
          <w:rStyle w:val="Hyperlink"/>
          <w:color w:val="auto"/>
          <w:u w:val="none"/>
        </w:rPr>
        <w:t>154(j)</w:t>
      </w:r>
      <w:r>
        <w:fldChar w:fldCharType="end"/>
      </w:r>
      <w:r w:rsidRPr="005142C7">
        <w:t xml:space="preserve">, </w:t>
      </w:r>
      <w:r>
        <w:fldChar w:fldCharType="begin"/>
      </w:r>
      <w:r>
        <w:instrText xml:space="preserve"> HYPERLINK "http://www.westlaw.com/Link/Document/FullText?findType=L&amp;pubNum=1000546&amp;cite=47USCAS155&amp;originatingDoc=If6bc2ac5dbe111e6b73588f1a9cfce05&amp;refType=LQ&amp;originationContext=document&amp;vr=3.0&amp;rs=cblt1.0&amp;transitionType=DocumentItem&amp;contextData=(sc.Search)" </w:instrText>
      </w:r>
      <w:r>
        <w:fldChar w:fldCharType="separate"/>
      </w:r>
      <w:r w:rsidRPr="005142C7">
        <w:rPr>
          <w:rStyle w:val="Hyperlink"/>
          <w:color w:val="auto"/>
          <w:u w:val="none"/>
        </w:rPr>
        <w:t>155</w:t>
      </w:r>
      <w:r>
        <w:fldChar w:fldCharType="end"/>
      </w:r>
      <w:r w:rsidRPr="005142C7">
        <w:t xml:space="preserve">, and </w:t>
      </w:r>
      <w:r>
        <w:fldChar w:fldCharType="begin"/>
      </w:r>
      <w:r>
        <w:instrText xml:space="preserve"> HYPERLINK "http://www.westlaw.com/Link/Document/FullText?findType=L&amp;pubNum=1000546&amp;cite=47USCAS303&amp;originatingDoc=If6bc2ac5dbe111e6b73588f1a9cfce05&amp;refType=RB&amp;originationContext=document&amp;vr=3.0&amp;rs=cblt1.0&amp;transitionType=DocumentItem&amp;contextData=(sc.Search)" \l "co_pp_3505000063ea7" </w:instrText>
      </w:r>
      <w:r>
        <w:fldChar w:fldCharType="separate"/>
      </w:r>
      <w:r w:rsidRPr="005142C7">
        <w:rPr>
          <w:rStyle w:val="Hyperlink"/>
          <w:color w:val="auto"/>
          <w:u w:val="none"/>
        </w:rPr>
        <w:t>303(r)</w:t>
      </w:r>
      <w:r>
        <w:fldChar w:fldCharType="end"/>
      </w:r>
      <w:r w:rsidRPr="005142C7">
        <w:t>, and sections 0.</w:t>
      </w:r>
      <w:r>
        <w:t>6</w:t>
      </w:r>
      <w:r w:rsidRPr="005142C7">
        <w:t>1, 0.</w:t>
      </w:r>
      <w:r>
        <w:t>283</w:t>
      </w:r>
      <w:r w:rsidRPr="005142C7">
        <w:t xml:space="preserve">, 1.46, and 1.415 of the Commission’s rules, </w:t>
      </w:r>
      <w:r>
        <w:fldChar w:fldCharType="begin"/>
      </w:r>
      <w:r>
        <w:instrText xml:space="preserve"> HYPERLINK "http://www.westlaw.com/Link/Document/FullText?findType=L&amp;pubNum=1000547&amp;cite=47CFRS0.131&amp;originatingDoc=If6bc2ac5dbe111e6b73588f1a9cfce05&amp;refType=LQ&amp;originationContext=document&amp;vr=3.0&amp;rs=cblt1.0&amp;transitionType=DocumentItem&amp;contextData=(sc.Search)" </w:instrText>
      </w:r>
      <w:r>
        <w:fldChar w:fldCharType="separate"/>
      </w:r>
      <w:r w:rsidRPr="005142C7">
        <w:rPr>
          <w:rStyle w:val="Hyperlink"/>
          <w:color w:val="auto"/>
          <w:u w:val="none"/>
        </w:rPr>
        <w:t>47 CFR §§ 0.</w:t>
      </w:r>
      <w:r>
        <w:rPr>
          <w:rStyle w:val="Hyperlink"/>
          <w:color w:val="auto"/>
          <w:u w:val="none"/>
        </w:rPr>
        <w:t>61</w:t>
      </w:r>
      <w:r>
        <w:fldChar w:fldCharType="end"/>
      </w:r>
      <w:r w:rsidRPr="005142C7">
        <w:t xml:space="preserve">, </w:t>
      </w:r>
      <w:r>
        <w:fldChar w:fldCharType="begin"/>
      </w:r>
      <w:r>
        <w:instrText xml:space="preserve"> HYPERLINK "http://www.westlaw.com/Link/Document/FullText?findType=L&amp;pubNum=1000547&amp;cite=47CFRS0.331&amp;originatingDoc=If6bc2ac5dbe111e6b73588f1a9cfce05&amp;refType=LQ&amp;originationContext=document&amp;vr=3.0&amp;rs=cblt1.0&amp;transitionType=DocumentItem&amp;contextData=(sc.Search)" </w:instrText>
      </w:r>
      <w:r>
        <w:fldChar w:fldCharType="separate"/>
      </w:r>
      <w:r w:rsidRPr="005142C7">
        <w:rPr>
          <w:rStyle w:val="Hyperlink"/>
          <w:color w:val="auto"/>
          <w:u w:val="none"/>
        </w:rPr>
        <w:t>0.</w:t>
      </w:r>
      <w:r>
        <w:rPr>
          <w:rStyle w:val="Hyperlink"/>
          <w:color w:val="auto"/>
          <w:u w:val="none"/>
        </w:rPr>
        <w:t>283</w:t>
      </w:r>
      <w:r>
        <w:fldChar w:fldCharType="end"/>
      </w:r>
      <w:r w:rsidRPr="005142C7">
        <w:t xml:space="preserve">, </w:t>
      </w:r>
      <w:r>
        <w:fldChar w:fldCharType="begin"/>
      </w:r>
      <w:r>
        <w:instrText xml:space="preserve"> HYPERLINK "http://www.westlaw.com/Link/Document/FullText?findType=L&amp;pubNum=1000547&amp;cite=47CFRS1.46&amp;originatingDoc=If6bc2ac5dbe111e6b73588f1a9cfce05&amp;refType=LQ&amp;originationContext=document&amp;vr=3.0&amp;rs=cblt1.0&amp;transitionType=DocumentItem&amp;contextData=(sc.Search)" </w:instrText>
      </w:r>
      <w:r>
        <w:fldChar w:fldCharType="separate"/>
      </w:r>
      <w:r w:rsidRPr="005142C7">
        <w:rPr>
          <w:rStyle w:val="Hyperlink"/>
          <w:color w:val="auto"/>
          <w:u w:val="none"/>
        </w:rPr>
        <w:t>1.46</w:t>
      </w:r>
      <w:r>
        <w:fldChar w:fldCharType="end"/>
      </w:r>
      <w:r w:rsidRPr="005142C7">
        <w:t xml:space="preserve">, and </w:t>
      </w:r>
      <w:r>
        <w:fldChar w:fldCharType="begin"/>
      </w:r>
      <w:r>
        <w:instrText xml:space="preserve"> HYPERLINK "http://www.westlaw.com/Link/Document/FullText?findType=L&amp;pubNum=1000547&amp;cite=47CFRS1.415&amp;originatingDoc=If6bc2ac5dbe111e6b73588f1a9cfce05&amp;refType=LQ&amp;originationContext=document&amp;vr=3.0&amp;rs=cblt1.0&amp;transitionType=DocumentItem&amp;contextData=(sc.Search)" </w:instrText>
      </w:r>
      <w:r>
        <w:fldChar w:fldCharType="separate"/>
      </w:r>
      <w:r w:rsidRPr="005142C7">
        <w:rPr>
          <w:rStyle w:val="Hyperlink"/>
          <w:color w:val="auto"/>
          <w:u w:val="none"/>
        </w:rPr>
        <w:t>1.415</w:t>
      </w:r>
      <w:r>
        <w:fldChar w:fldCharType="end"/>
      </w:r>
      <w:r w:rsidRPr="005142C7">
        <w:t xml:space="preserve">, that the Motion for </w:t>
      </w:r>
      <w:r w:rsidRPr="005142C7">
        <w:rPr>
          <w:bCs/>
        </w:rPr>
        <w:t>Extension</w:t>
      </w:r>
      <w:r w:rsidRPr="005142C7">
        <w:t xml:space="preserve"> </w:t>
      </w:r>
      <w:r w:rsidRPr="005142C7">
        <w:rPr>
          <w:bCs/>
        </w:rPr>
        <w:t>of</w:t>
      </w:r>
      <w:r w:rsidRPr="005142C7">
        <w:t xml:space="preserve"> </w:t>
      </w:r>
      <w:r w:rsidRPr="005142C7">
        <w:rPr>
          <w:bCs/>
        </w:rPr>
        <w:t>Time</w:t>
      </w:r>
      <w:r w:rsidRPr="005142C7">
        <w:t xml:space="preserve"> filed on </w:t>
      </w:r>
      <w:r>
        <w:t>June 25</w:t>
      </w:r>
      <w:r w:rsidRPr="005142C7">
        <w:t>, 201</w:t>
      </w:r>
      <w:r>
        <w:t>8</w:t>
      </w:r>
      <w:r w:rsidRPr="005142C7">
        <w:t xml:space="preserve">, IS GRANTED, and the deadlines for filing comments and reply comments in </w:t>
      </w:r>
      <w:r>
        <w:t>MB</w:t>
      </w:r>
      <w:r w:rsidRPr="005142C7">
        <w:t xml:space="preserve"> Docket No. 1</w:t>
      </w:r>
      <w:r>
        <w:t>8</w:t>
      </w:r>
      <w:r w:rsidRPr="005142C7">
        <w:t>-</w:t>
      </w:r>
      <w:r>
        <w:t>119</w:t>
      </w:r>
      <w:r w:rsidRPr="005142C7">
        <w:t xml:space="preserve"> are extended to </w:t>
      </w:r>
      <w:r>
        <w:t>August 6, 2018</w:t>
      </w:r>
      <w:r w:rsidRPr="005142C7">
        <w:t xml:space="preserve">, and </w:t>
      </w:r>
      <w:r>
        <w:t>September 5</w:t>
      </w:r>
      <w:r w:rsidRPr="005142C7">
        <w:t>, 201</w:t>
      </w:r>
      <w:r>
        <w:t>8</w:t>
      </w:r>
      <w:r w:rsidRPr="005142C7">
        <w:t>, respectively.</w:t>
      </w:r>
    </w:p>
    <w:p w:rsidR="00BA2BD0" w:rsidP="002C7AEB">
      <w:pPr>
        <w:pStyle w:val="ParaNum"/>
        <w:numPr>
          <w:ilvl w:val="0"/>
          <w:numId w:val="0"/>
        </w:numPr>
        <w:ind w:firstLine="4320"/>
      </w:pPr>
      <w:r>
        <w:t>FEDERAL COMMUNICATIONS COMMISSION</w:t>
      </w:r>
    </w:p>
    <w:p w:rsidR="00BA2BD0" w:rsidP="002C7AEB">
      <w:pPr>
        <w:pStyle w:val="ParaNum"/>
        <w:numPr>
          <w:ilvl w:val="0"/>
          <w:numId w:val="0"/>
        </w:numPr>
        <w:ind w:firstLine="4320"/>
      </w:pPr>
      <w:bookmarkStart w:id="1" w:name="_GoBack"/>
      <w:bookmarkEnd w:id="1"/>
    </w:p>
    <w:p w:rsidR="00BA2BD0" w:rsidP="002C7AEB">
      <w:pPr>
        <w:pStyle w:val="ParaNum"/>
        <w:numPr>
          <w:ilvl w:val="0"/>
          <w:numId w:val="0"/>
        </w:numPr>
        <w:spacing w:after="0"/>
        <w:ind w:firstLine="4320"/>
      </w:pPr>
      <w:r>
        <w:t>Michelle M. Carey</w:t>
      </w:r>
    </w:p>
    <w:p w:rsidR="00BA2BD0" w:rsidP="002C7AEB">
      <w:pPr>
        <w:pStyle w:val="ParaNum"/>
        <w:numPr>
          <w:ilvl w:val="0"/>
          <w:numId w:val="0"/>
        </w:numPr>
        <w:ind w:firstLine="4320"/>
      </w:pPr>
      <w:r>
        <w:t>Chief, Media Bureau</w:t>
      </w:r>
    </w:p>
    <w:p w:rsidR="00BA2BD0" w:rsidP="00BA2BD0">
      <w:pPr>
        <w:pStyle w:val="ParaNum"/>
        <w:numPr>
          <w:ilvl w:val="0"/>
          <w:numId w:val="0"/>
        </w:numPr>
      </w:pPr>
    </w:p>
    <w:p w:rsidR="00E55399" w:rsidP="00E55399">
      <w:pPr>
        <w:sectPr w:rsidSect="0055614C">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noEndnote/>
          <w:titlePg/>
        </w:sectPr>
      </w:pPr>
    </w:p>
    <w:p w:rsidR="000A0DC2" w:rsidRPr="003E333E" w:rsidP="001478B7">
      <w:pPr>
        <w:pStyle w:val="ParaNum"/>
        <w:numPr>
          <w:ilvl w:val="0"/>
          <w:numId w:val="0"/>
        </w:numPr>
        <w:tabs>
          <w:tab w:val="num" w:pos="1260"/>
        </w:tabs>
        <w:jc w:val="center"/>
      </w:pPr>
    </w:p>
    <w:sectPr w:rsidSect="000A0DC2">
      <w:footerReference w:type="first" r:id="rId10"/>
      <w:footnotePr>
        <w:numRestart w:val="eachSect"/>
      </w:foot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55614C">
    <w:pPr>
      <w:pStyle w:val="Footer"/>
      <w:framePr w:wrap="around" w:vAnchor="text" w:hAnchor="margin" w:xAlign="center" w:y="1"/>
    </w:pPr>
    <w:r>
      <w:fldChar w:fldCharType="begin"/>
    </w:r>
    <w:r>
      <w:instrText xml:space="preserve">PAGE  </w:instrText>
    </w:r>
    <w:r>
      <w:fldChar w:fldCharType="separate"/>
    </w:r>
    <w:r>
      <w:fldChar w:fldCharType="end"/>
    </w:r>
  </w:p>
  <w:p w:rsidR="00971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E55399">
    <w:pPr>
      <w:pStyle w:val="Footer"/>
      <w:jc w:val="center"/>
    </w:pPr>
    <w:r>
      <w:fldChar w:fldCharType="begin"/>
    </w:r>
    <w:r>
      <w:instrText xml:space="preserve"> PAGE   \* MERGEFORMAT </w:instrText>
    </w:r>
    <w:r>
      <w:fldChar w:fldCharType="separate"/>
    </w:r>
    <w:r w:rsidR="002A2A9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0A0DC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0A0DC2">
    <w:pPr>
      <w:pStyle w:val="Footer"/>
      <w:jc w:val="center"/>
    </w:pPr>
    <w:r>
      <w:fldChar w:fldCharType="begin"/>
    </w:r>
    <w:r>
      <w:instrText xml:space="preserve"> PAGE   \* MERGEFORMAT </w:instrText>
    </w:r>
    <w:r>
      <w:fldChar w:fldCharType="separate"/>
    </w:r>
    <w:r w:rsidR="002A2A9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1E0F">
      <w:r>
        <w:separator/>
      </w:r>
    </w:p>
  </w:footnote>
  <w:footnote w:type="continuationSeparator" w:id="1">
    <w:p w:rsidR="003A1E0F" w:rsidP="00C721AC">
      <w:pPr>
        <w:spacing w:before="120"/>
        <w:rPr>
          <w:sz w:val="20"/>
        </w:rPr>
      </w:pPr>
      <w:r>
        <w:rPr>
          <w:sz w:val="20"/>
        </w:rPr>
        <w:t xml:space="preserve">(Continued from previous page)  </w:t>
      </w:r>
      <w:r>
        <w:rPr>
          <w:sz w:val="20"/>
        </w:rPr>
        <w:separator/>
      </w:r>
    </w:p>
  </w:footnote>
  <w:footnote w:type="continuationNotice" w:id="2">
    <w:p w:rsidR="003A1E0F" w:rsidP="00C721AC">
      <w:pPr>
        <w:jc w:val="right"/>
        <w:rPr>
          <w:sz w:val="20"/>
        </w:rPr>
      </w:pPr>
      <w:r>
        <w:rPr>
          <w:sz w:val="20"/>
        </w:rPr>
        <w:t>(continued….)</w:t>
      </w:r>
    </w:p>
  </w:footnote>
  <w:footnote w:id="3">
    <w:p w:rsidR="00BA2BD0" w:rsidP="00BA2BD0">
      <w:pPr>
        <w:pStyle w:val="FootnoteText"/>
      </w:pPr>
      <w:r>
        <w:rPr>
          <w:rStyle w:val="FootnoteReference"/>
        </w:rPr>
        <w:footnoteRef/>
      </w:r>
      <w:r>
        <w:t xml:space="preserve"> </w:t>
      </w:r>
      <w:r w:rsidRPr="00D01D0A">
        <w:rPr>
          <w:i/>
          <w:iCs/>
        </w:rPr>
        <w:t>Amendment of Part 74 of the Commission’s Rules Regarding FM Translator Interference</w:t>
      </w:r>
      <w:r w:rsidRPr="00D01D0A">
        <w:t>, Notice of Proposed Rulemaking, MB Docket No. 18-119</w:t>
      </w:r>
      <w:r>
        <w:t>, FCC 18-60</w:t>
      </w:r>
      <w:r w:rsidRPr="00D01D0A">
        <w:t xml:space="preserve"> (rel. May 10, 2018).</w:t>
      </w:r>
    </w:p>
  </w:footnote>
  <w:footnote w:id="4">
    <w:p w:rsidR="00BA2BD0" w:rsidP="00BA2BD0">
      <w:pPr>
        <w:pStyle w:val="FootnoteText"/>
      </w:pPr>
      <w:r>
        <w:rPr>
          <w:rStyle w:val="FootnoteReference"/>
        </w:rPr>
        <w:footnoteRef/>
      </w:r>
      <w:r>
        <w:t xml:space="preserve"> </w:t>
      </w:r>
      <w:r w:rsidRPr="00911C30">
        <w:rPr>
          <w:i/>
        </w:rPr>
        <w:t>Media Bureau Announces Notice of Proposed Rulemaking</w:t>
      </w:r>
      <w:r w:rsidRPr="00F57BC6">
        <w:t xml:space="preserve"> </w:t>
      </w:r>
      <w:r w:rsidR="00F47FCF">
        <w:t>“</w:t>
      </w:r>
      <w:r w:rsidRPr="00F57BC6">
        <w:rPr>
          <w:i/>
          <w:iCs/>
        </w:rPr>
        <w:t>In the Matter of Amendment of Part 74 of the Commission’s Rules Regarding FM Translator Interference</w:t>
      </w:r>
      <w:r w:rsidR="001B1A9D">
        <w:rPr>
          <w:i/>
          <w:iCs/>
        </w:rPr>
        <w:t>”</w:t>
      </w:r>
      <w:r w:rsidRPr="00F57BC6">
        <w:rPr>
          <w:i/>
          <w:iCs/>
        </w:rPr>
        <w:t xml:space="preserve"> </w:t>
      </w:r>
      <w:r w:rsidRPr="00911C30">
        <w:rPr>
          <w:i/>
        </w:rPr>
        <w:t>Published in Federal Register</w:t>
      </w:r>
      <w:r w:rsidRPr="00F57BC6">
        <w:t xml:space="preserve">, </w:t>
      </w:r>
      <w:r>
        <w:t xml:space="preserve">Public Notice, </w:t>
      </w:r>
      <w:r w:rsidR="00077190">
        <w:t>DA 18-586</w:t>
      </w:r>
      <w:r w:rsidRPr="00F57BC6">
        <w:t xml:space="preserve"> (</w:t>
      </w:r>
      <w:r w:rsidR="00077190">
        <w:t xml:space="preserve">rel. </w:t>
      </w:r>
      <w:r w:rsidRPr="00F57BC6">
        <w:t>June 7, 2018)</w:t>
      </w:r>
      <w:r>
        <w:t>.</w:t>
      </w:r>
    </w:p>
  </w:footnote>
  <w:footnote w:id="5">
    <w:p w:rsidR="00BA2BD0" w:rsidP="00BA2BD0">
      <w:pPr>
        <w:pStyle w:val="FootnoteText"/>
      </w:pPr>
      <w:r>
        <w:rPr>
          <w:rStyle w:val="FootnoteReference"/>
        </w:rPr>
        <w:footnoteRef/>
      </w:r>
      <w:r>
        <w:t xml:space="preserve"> Motion for Extension of Time, MB Docket No. 18-119 (filed June 25, 2018) (Motion).</w:t>
      </w:r>
    </w:p>
  </w:footnote>
  <w:footnote w:id="6">
    <w:p w:rsidR="00BA2BD0" w:rsidP="00BA2BD0">
      <w:pPr>
        <w:pStyle w:val="FootnoteText"/>
      </w:pPr>
      <w:r>
        <w:rPr>
          <w:rStyle w:val="FootnoteReference"/>
        </w:rPr>
        <w:footnoteRef/>
      </w:r>
      <w:r>
        <w:t xml:space="preserve"> Motion at 2.</w:t>
      </w:r>
    </w:p>
  </w:footnote>
  <w:footnote w:id="7">
    <w:p w:rsidR="00BA2BD0" w:rsidP="00BA2BD0">
      <w:pPr>
        <w:pStyle w:val="FootnoteText"/>
      </w:pPr>
      <w:r>
        <w:rPr>
          <w:rStyle w:val="FootnoteReference"/>
        </w:rPr>
        <w:footnoteRef/>
      </w:r>
      <w:r>
        <w:t xml:space="preserve"> 47 CFR §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810B6F">
    <w:pPr>
      <w:pStyle w:val="Header"/>
      <w:rPr>
        <w:b w:val="0"/>
      </w:rPr>
    </w:pPr>
    <w:r>
      <w:tab/>
      <w:t>Federal Communications Commission</w:t>
    </w:r>
    <w:r>
      <w:tab/>
    </w:r>
    <w:r w:rsidR="002C7AEB">
      <w:t>DA</w:t>
    </w:r>
    <w:r w:rsidR="00276D88">
      <w:t xml:space="preserve"> </w:t>
    </w:r>
    <w:r w:rsidRPr="002A2A9D" w:rsidR="002A2A9D">
      <w:t>18-669</w:t>
    </w:r>
  </w:p>
  <w:p w:rsidR="00971A4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71A44">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C7AEB">
      <w:rPr>
        <w:spacing w:val="-2"/>
      </w:rPr>
      <w:t>DA</w:t>
    </w:r>
    <w:r w:rsidR="00276D88">
      <w:rPr>
        <w:spacing w:val="-2"/>
      </w:rPr>
      <w:t xml:space="preserve"> </w:t>
    </w:r>
    <w:r w:rsidRPr="002A2A9D" w:rsidR="002A2A9D">
      <w:rPr>
        <w:spacing w:val="-2"/>
      </w:rPr>
      <w:t>18-669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81470"/>
    <w:multiLevelType w:val="hybridMultilevel"/>
    <w:tmpl w:val="343892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8C5EEB"/>
    <w:multiLevelType w:val="hybridMultilevel"/>
    <w:tmpl w:val="9FB20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351C47"/>
    <w:multiLevelType w:val="hybridMultilevel"/>
    <w:tmpl w:val="6E2607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0"/>
  </w:num>
  <w:num w:numId="3">
    <w:abstractNumId w:val="5"/>
  </w:num>
  <w:num w:numId="4">
    <w:abstractNumId w:val="8"/>
  </w:num>
  <w:num w:numId="5">
    <w:abstractNumId w:val="4"/>
  </w:num>
  <w:num w:numId="6">
    <w:abstractNumId w:val="2"/>
  </w:num>
  <w:num w:numId="7">
    <w:abstractNumId w:val="1"/>
  </w:num>
  <w:num w:numId="8">
    <w:abstractNumId w:val="11"/>
  </w:num>
  <w:num w:numId="9">
    <w:abstractNumId w:val="7"/>
  </w:num>
  <w:num w:numId="10">
    <w:abstractNumId w:val="10"/>
    <w:lvlOverride w:ilvl="0">
      <w:startOverride w:val="1"/>
    </w:lvlOverride>
  </w:num>
  <w:num w:numId="11">
    <w:abstractNumId w:val="0"/>
  </w:num>
  <w:num w:numId="12">
    <w:abstractNumId w:val="10"/>
    <w:lvlOverride w:ilvl="0">
      <w:startOverride w:val="1"/>
    </w:lvlOverride>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A9D"/>
    <w:pPr>
      <w:widowControl w:val="0"/>
    </w:pPr>
    <w:rPr>
      <w:snapToGrid w:val="0"/>
      <w:kern w:val="28"/>
      <w:sz w:val="22"/>
    </w:rPr>
  </w:style>
  <w:style w:type="paragraph" w:styleId="Heading1">
    <w:name w:val="heading 1"/>
    <w:basedOn w:val="Normal"/>
    <w:next w:val="ParaNum"/>
    <w:qFormat/>
    <w:rsid w:val="002A2A9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A2A9D"/>
    <w:pPr>
      <w:keepNext/>
      <w:numPr>
        <w:ilvl w:val="1"/>
        <w:numId w:val="3"/>
      </w:numPr>
      <w:spacing w:after="120"/>
      <w:outlineLvl w:val="1"/>
    </w:pPr>
    <w:rPr>
      <w:b/>
    </w:rPr>
  </w:style>
  <w:style w:type="paragraph" w:styleId="Heading3">
    <w:name w:val="heading 3"/>
    <w:basedOn w:val="Normal"/>
    <w:next w:val="ParaNum"/>
    <w:qFormat/>
    <w:rsid w:val="002A2A9D"/>
    <w:pPr>
      <w:keepNext/>
      <w:numPr>
        <w:ilvl w:val="2"/>
        <w:numId w:val="3"/>
      </w:numPr>
      <w:tabs>
        <w:tab w:val="left" w:pos="2160"/>
      </w:tabs>
      <w:spacing w:after="120"/>
      <w:outlineLvl w:val="2"/>
    </w:pPr>
    <w:rPr>
      <w:b/>
    </w:rPr>
  </w:style>
  <w:style w:type="paragraph" w:styleId="Heading4">
    <w:name w:val="heading 4"/>
    <w:basedOn w:val="Normal"/>
    <w:next w:val="ParaNum"/>
    <w:qFormat/>
    <w:rsid w:val="002A2A9D"/>
    <w:pPr>
      <w:keepNext/>
      <w:numPr>
        <w:ilvl w:val="3"/>
        <w:numId w:val="3"/>
      </w:numPr>
      <w:tabs>
        <w:tab w:val="left" w:pos="2880"/>
      </w:tabs>
      <w:spacing w:after="120"/>
      <w:outlineLvl w:val="3"/>
    </w:pPr>
    <w:rPr>
      <w:b/>
    </w:rPr>
  </w:style>
  <w:style w:type="paragraph" w:styleId="Heading5">
    <w:name w:val="heading 5"/>
    <w:basedOn w:val="Normal"/>
    <w:next w:val="ParaNum"/>
    <w:qFormat/>
    <w:rsid w:val="002A2A9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A2A9D"/>
    <w:pPr>
      <w:numPr>
        <w:ilvl w:val="5"/>
        <w:numId w:val="3"/>
      </w:numPr>
      <w:tabs>
        <w:tab w:val="left" w:pos="4320"/>
      </w:tabs>
      <w:spacing w:after="120"/>
      <w:outlineLvl w:val="5"/>
    </w:pPr>
    <w:rPr>
      <w:b/>
    </w:rPr>
  </w:style>
  <w:style w:type="paragraph" w:styleId="Heading7">
    <w:name w:val="heading 7"/>
    <w:basedOn w:val="Normal"/>
    <w:next w:val="ParaNum"/>
    <w:qFormat/>
    <w:rsid w:val="002A2A9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A2A9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A2A9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2A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A9D"/>
  </w:style>
  <w:style w:type="paragraph" w:customStyle="1" w:styleId="ParaNum">
    <w:name w:val="ParaNum"/>
    <w:basedOn w:val="Normal"/>
    <w:link w:val="ParaNumChar1"/>
    <w:rsid w:val="002A2A9D"/>
    <w:pPr>
      <w:numPr>
        <w:numId w:val="2"/>
      </w:numPr>
      <w:tabs>
        <w:tab w:val="clear" w:pos="1080"/>
        <w:tab w:val="num" w:pos="1440"/>
      </w:tabs>
      <w:spacing w:after="120"/>
    </w:pPr>
  </w:style>
  <w:style w:type="paragraph" w:styleId="EndnoteText">
    <w:name w:val="endnote text"/>
    <w:basedOn w:val="Normal"/>
    <w:semiHidden/>
    <w:rsid w:val="002A2A9D"/>
    <w:rPr>
      <w:sz w:val="20"/>
    </w:rPr>
  </w:style>
  <w:style w:type="character" w:styleId="EndnoteReference">
    <w:name w:val="endnote reference"/>
    <w:semiHidden/>
    <w:rsid w:val="002A2A9D"/>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2A2A9D"/>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2A2A9D"/>
    <w:rPr>
      <w:rFonts w:ascii="Times New Roman" w:hAnsi="Times New Roman"/>
      <w:dstrike w:val="0"/>
      <w:color w:val="auto"/>
      <w:sz w:val="20"/>
      <w:vertAlign w:val="superscript"/>
    </w:rPr>
  </w:style>
  <w:style w:type="paragraph" w:styleId="TOC1">
    <w:name w:val="toc 1"/>
    <w:basedOn w:val="Normal"/>
    <w:next w:val="Normal"/>
    <w:rsid w:val="002A2A9D"/>
    <w:pPr>
      <w:tabs>
        <w:tab w:val="left" w:pos="360"/>
        <w:tab w:val="right" w:leader="dot" w:pos="9360"/>
      </w:tabs>
      <w:suppressAutoHyphens/>
      <w:ind w:left="360" w:right="720" w:hanging="360"/>
    </w:pPr>
    <w:rPr>
      <w:caps/>
      <w:noProof/>
    </w:rPr>
  </w:style>
  <w:style w:type="paragraph" w:styleId="TOC2">
    <w:name w:val="toc 2"/>
    <w:basedOn w:val="Normal"/>
    <w:next w:val="Normal"/>
    <w:rsid w:val="002A2A9D"/>
    <w:pPr>
      <w:tabs>
        <w:tab w:val="left" w:pos="720"/>
        <w:tab w:val="right" w:leader="dot" w:pos="9360"/>
      </w:tabs>
      <w:suppressAutoHyphens/>
      <w:ind w:left="720" w:right="720" w:hanging="360"/>
    </w:pPr>
    <w:rPr>
      <w:noProof/>
    </w:rPr>
  </w:style>
  <w:style w:type="paragraph" w:styleId="TOC3">
    <w:name w:val="toc 3"/>
    <w:basedOn w:val="Normal"/>
    <w:next w:val="Normal"/>
    <w:semiHidden/>
    <w:rsid w:val="002A2A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2A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2A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2A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2A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2A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2A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2A9D"/>
    <w:pPr>
      <w:tabs>
        <w:tab w:val="right" w:pos="9360"/>
      </w:tabs>
      <w:suppressAutoHyphens/>
    </w:pPr>
  </w:style>
  <w:style w:type="character" w:customStyle="1" w:styleId="EquationCaption">
    <w:name w:val="_Equation Caption"/>
    <w:rsid w:val="002A2A9D"/>
  </w:style>
  <w:style w:type="paragraph" w:styleId="Header">
    <w:name w:val="header"/>
    <w:basedOn w:val="Normal"/>
    <w:autoRedefine/>
    <w:rsid w:val="002A2A9D"/>
    <w:pPr>
      <w:tabs>
        <w:tab w:val="center" w:pos="4680"/>
        <w:tab w:val="right" w:pos="9360"/>
      </w:tabs>
    </w:pPr>
    <w:rPr>
      <w:b/>
    </w:rPr>
  </w:style>
  <w:style w:type="paragraph" w:styleId="Footer">
    <w:name w:val="footer"/>
    <w:basedOn w:val="Normal"/>
    <w:link w:val="FooterChar"/>
    <w:rsid w:val="002A2A9D"/>
    <w:pPr>
      <w:tabs>
        <w:tab w:val="center" w:pos="4320"/>
        <w:tab w:val="right" w:pos="8640"/>
      </w:tabs>
    </w:pPr>
  </w:style>
  <w:style w:type="character" w:styleId="PageNumber">
    <w:name w:val="page number"/>
    <w:basedOn w:val="DefaultParagraphFont"/>
    <w:rsid w:val="002A2A9D"/>
  </w:style>
  <w:style w:type="paragraph" w:styleId="BlockText">
    <w:name w:val="Block Text"/>
    <w:basedOn w:val="Normal"/>
    <w:rsid w:val="002A2A9D"/>
    <w:pPr>
      <w:spacing w:after="240"/>
      <w:ind w:left="1440" w:right="1440"/>
    </w:pPr>
  </w:style>
  <w:style w:type="paragraph" w:customStyle="1" w:styleId="Paratitle">
    <w:name w:val="Para title"/>
    <w:basedOn w:val="Normal"/>
    <w:rsid w:val="002A2A9D"/>
    <w:pPr>
      <w:tabs>
        <w:tab w:val="center" w:pos="9270"/>
      </w:tabs>
      <w:spacing w:after="240"/>
    </w:pPr>
    <w:rPr>
      <w:spacing w:val="-2"/>
    </w:rPr>
  </w:style>
  <w:style w:type="paragraph" w:customStyle="1" w:styleId="Bullet">
    <w:name w:val="Bullet"/>
    <w:basedOn w:val="Normal"/>
    <w:rsid w:val="002A2A9D"/>
    <w:pPr>
      <w:tabs>
        <w:tab w:val="left" w:pos="2160"/>
      </w:tabs>
      <w:spacing w:after="220"/>
      <w:ind w:left="2160" w:hanging="720"/>
    </w:pPr>
  </w:style>
  <w:style w:type="paragraph" w:customStyle="1" w:styleId="TableFormat">
    <w:name w:val="TableFormat"/>
    <w:basedOn w:val="Bullet"/>
    <w:rsid w:val="002A2A9D"/>
    <w:pPr>
      <w:tabs>
        <w:tab w:val="clear" w:pos="2160"/>
        <w:tab w:val="left" w:pos="5040"/>
      </w:tabs>
      <w:ind w:left="5040" w:hanging="3600"/>
    </w:pPr>
  </w:style>
  <w:style w:type="paragraph" w:customStyle="1" w:styleId="TOCTitle">
    <w:name w:val="TOC Title"/>
    <w:basedOn w:val="Normal"/>
    <w:rsid w:val="002A2A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2A9D"/>
    <w:pPr>
      <w:jc w:val="center"/>
    </w:pPr>
    <w:rPr>
      <w:rFonts w:ascii="Times New Roman Bold" w:hAnsi="Times New Roman Bold"/>
      <w:b/>
      <w:bCs/>
      <w:caps/>
      <w:szCs w:val="22"/>
    </w:rPr>
  </w:style>
  <w:style w:type="character" w:styleId="Hyperlink">
    <w:name w:val="Hyperlink"/>
    <w:rsid w:val="002A2A9D"/>
    <w:rPr>
      <w:color w:val="0000FF"/>
      <w:u w:val="single"/>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E55399"/>
  </w:style>
  <w:style w:type="character" w:customStyle="1" w:styleId="ParaNumChar1">
    <w:name w:val="ParaNum Char1"/>
    <w:link w:val="ParaNum"/>
    <w:locked/>
    <w:rsid w:val="00E55399"/>
    <w:rPr>
      <w:snapToGrid w:val="0"/>
      <w:kern w:val="28"/>
      <w:sz w:val="22"/>
    </w:rPr>
  </w:style>
  <w:style w:type="paragraph" w:styleId="BalloonText">
    <w:name w:val="Balloon Text"/>
    <w:basedOn w:val="Normal"/>
    <w:link w:val="BalloonTextChar"/>
    <w:rsid w:val="00E55399"/>
    <w:rPr>
      <w:rFonts w:ascii="Segoe UI" w:hAnsi="Segoe UI" w:cs="Segoe UI"/>
      <w:sz w:val="18"/>
      <w:szCs w:val="18"/>
    </w:rPr>
  </w:style>
  <w:style w:type="character" w:customStyle="1" w:styleId="BalloonTextChar">
    <w:name w:val="Balloon Text Char"/>
    <w:link w:val="BalloonText"/>
    <w:rsid w:val="00E55399"/>
    <w:rPr>
      <w:rFonts w:ascii="Segoe UI" w:hAnsi="Segoe UI" w:cs="Segoe UI"/>
      <w:snapToGrid w:val="0"/>
      <w:kern w:val="28"/>
      <w:sz w:val="18"/>
      <w:szCs w:val="18"/>
    </w:rPr>
  </w:style>
  <w:style w:type="character" w:styleId="CommentReference">
    <w:name w:val="annotation reference"/>
    <w:rsid w:val="00E55399"/>
    <w:rPr>
      <w:sz w:val="16"/>
      <w:szCs w:val="16"/>
    </w:rPr>
  </w:style>
  <w:style w:type="paragraph" w:styleId="CommentText">
    <w:name w:val="annotation text"/>
    <w:basedOn w:val="Normal"/>
    <w:link w:val="CommentTextChar"/>
    <w:rsid w:val="00E55399"/>
    <w:rPr>
      <w:sz w:val="20"/>
    </w:rPr>
  </w:style>
  <w:style w:type="character" w:customStyle="1" w:styleId="CommentTextChar">
    <w:name w:val="Comment Text Char"/>
    <w:link w:val="CommentText"/>
    <w:rsid w:val="00E55399"/>
    <w:rPr>
      <w:snapToGrid w:val="0"/>
      <w:kern w:val="28"/>
    </w:rPr>
  </w:style>
  <w:style w:type="paragraph" w:styleId="CommentSubject">
    <w:name w:val="annotation subject"/>
    <w:basedOn w:val="CommentText"/>
    <w:next w:val="CommentText"/>
    <w:link w:val="CommentSubjectChar"/>
    <w:rsid w:val="00E55399"/>
    <w:rPr>
      <w:b/>
      <w:bCs/>
    </w:rPr>
  </w:style>
  <w:style w:type="character" w:customStyle="1" w:styleId="CommentSubjectChar">
    <w:name w:val="Comment Subject Char"/>
    <w:link w:val="CommentSubject"/>
    <w:rsid w:val="00E55399"/>
    <w:rPr>
      <w:b/>
      <w:bCs/>
      <w:snapToGrid w:val="0"/>
      <w:kern w:val="28"/>
    </w:rPr>
  </w:style>
  <w:style w:type="character" w:customStyle="1" w:styleId="FooterChar">
    <w:name w:val="Footer Char"/>
    <w:link w:val="Footer"/>
    <w:rsid w:val="00E55399"/>
    <w:rPr>
      <w:snapToGrid w:val="0"/>
      <w:kern w:val="28"/>
      <w:sz w:val="22"/>
    </w:rPr>
  </w:style>
  <w:style w:type="table" w:styleId="TableGrid">
    <w:name w:val="Table Grid"/>
    <w:basedOn w:val="TableNormal"/>
    <w:rsid w:val="00E55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overtext">
    <w:name w:val="co_hovertext"/>
    <w:rsid w:val="00E55399"/>
  </w:style>
  <w:style w:type="character" w:styleId="Emphasis">
    <w:name w:val="Emphasis"/>
    <w:uiPriority w:val="20"/>
    <w:qFormat/>
    <w:rsid w:val="00E55399"/>
    <w:rPr>
      <w:i/>
      <w:iCs/>
    </w:rPr>
  </w:style>
  <w:style w:type="character" w:customStyle="1" w:styleId="ParaNumChar">
    <w:name w:val="ParaNum Char"/>
    <w:locked/>
    <w:rsid w:val="00E55399"/>
    <w:rPr>
      <w:rFonts w:ascii="Times New Roman" w:eastAsia="Times New Roman" w:hAnsi="Times New Roman" w:cs="Times New Roman"/>
      <w:kern w:val="28"/>
      <w:szCs w:val="20"/>
    </w:rPr>
  </w:style>
  <w:style w:type="paragraph" w:styleId="TOCHeading">
    <w:name w:val="TOC Heading"/>
    <w:basedOn w:val="Heading1"/>
    <w:next w:val="Normal"/>
    <w:uiPriority w:val="39"/>
    <w:unhideWhenUsed/>
    <w:qFormat/>
    <w:rsid w:val="00E55399"/>
    <w:pPr>
      <w:keepLines/>
      <w:numPr>
        <w:numId w:val="0"/>
      </w:numPr>
      <w:tabs>
        <w:tab w:val="left" w:pos="720"/>
      </w:tabs>
      <w:suppressAutoHyphens w:val="0"/>
      <w:spacing w:before="240" w:after="0"/>
      <w:outlineLvl w:val="9"/>
    </w:pPr>
    <w:rPr>
      <w:rFonts w:ascii="Cambria" w:hAnsi="Cambria"/>
      <w:b w:val="0"/>
      <w:caps w:val="0"/>
      <w:snapToGrid/>
      <w:color w:val="365F91"/>
      <w:sz w:val="32"/>
      <w:szCs w:val="32"/>
    </w:rPr>
  </w:style>
  <w:style w:type="paragraph" w:styleId="ListParagraph">
    <w:name w:val="List Paragraph"/>
    <w:basedOn w:val="Normal"/>
    <w:uiPriority w:val="34"/>
    <w:qFormat/>
    <w:rsid w:val="00E55399"/>
    <w:pPr>
      <w:ind w:left="720"/>
      <w:contextualSpacing/>
    </w:p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ocked/>
    <w:rsid w:val="00E55399"/>
    <w:rPr>
      <w:lang w:val="en-US" w:eastAsia="en-US" w:bidi="ar-SA"/>
    </w:rPr>
  </w:style>
  <w:style w:type="character" w:customStyle="1" w:styleId="apple-converted-space">
    <w:name w:val="apple-converted-space"/>
    <w:rsid w:val="00E55399"/>
  </w:style>
  <w:style w:type="character" w:customStyle="1" w:styleId="ae-compliance-indent">
    <w:name w:val="ae-compliance-indent"/>
    <w:rsid w:val="00E55399"/>
  </w:style>
  <w:style w:type="character" w:customStyle="1" w:styleId="cosearchterm">
    <w:name w:val="co_searchterm"/>
    <w:rsid w:val="00E55399"/>
  </w:style>
  <w:style w:type="character" w:customStyle="1" w:styleId="costarpage">
    <w:name w:val="co_starpage"/>
    <w:rsid w:val="00E55399"/>
  </w:style>
  <w:style w:type="character" w:customStyle="1" w:styleId="UnresolvedMention1">
    <w:name w:val="Unresolved Mention1"/>
    <w:uiPriority w:val="99"/>
    <w:semiHidden/>
    <w:unhideWhenUsed/>
    <w:rsid w:val="00E55399"/>
    <w:rPr>
      <w:color w:val="808080"/>
      <w:shd w:val="clear" w:color="auto" w:fill="E6E6E6"/>
    </w:rPr>
  </w:style>
  <w:style w:type="character" w:customStyle="1" w:styleId="emphi">
    <w:name w:val="emphi"/>
    <w:rsid w:val="00E55399"/>
  </w:style>
  <w:style w:type="character" w:customStyle="1" w:styleId="collectionname">
    <w:name w:val="collectionname"/>
    <w:rsid w:val="00E55399"/>
  </w:style>
  <w:style w:type="character" w:customStyle="1" w:styleId="displayhltext">
    <w:name w:val="display_hl_text"/>
    <w:rsid w:val="00E55399"/>
  </w:style>
  <w:style w:type="character" w:customStyle="1" w:styleId="displayhltextactive">
    <w:name w:val="display_hl_text_active"/>
    <w:rsid w:val="00E55399"/>
  </w:style>
  <w:style w:type="paragraph" w:styleId="Revision">
    <w:name w:val="Revision"/>
    <w:hidden/>
    <w:uiPriority w:val="99"/>
    <w:semiHidden/>
    <w:rsid w:val="00E55399"/>
    <w:rPr>
      <w:rFonts w:ascii="Calibri" w:eastAsia="Calibri" w:hAnsi="Calibri"/>
      <w:sz w:val="22"/>
      <w:szCs w:val="22"/>
    </w:rPr>
  </w:style>
  <w:style w:type="character" w:customStyle="1" w:styleId="ng-binding">
    <w:name w:val="ng-binding"/>
    <w:rsid w:val="00E55399"/>
  </w:style>
  <w:style w:type="character" w:customStyle="1" w:styleId="UnresolvedMention2">
    <w:name w:val="Unresolved Mention2"/>
    <w:uiPriority w:val="99"/>
    <w:semiHidden/>
    <w:unhideWhenUsed/>
    <w:rsid w:val="00E55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