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1D63" w:rsidRPr="0072606B" w:rsidP="000542A7">
      <w:pPr>
        <w:widowControl/>
        <w:jc w:val="right"/>
        <w:rPr>
          <w:color w:val="000000" w:themeColor="text1"/>
          <w:szCs w:val="22"/>
        </w:rPr>
      </w:pPr>
    </w:p>
    <w:p w:rsidR="0069341C" w:rsidRPr="0072606B" w:rsidP="004C1772">
      <w:pPr>
        <w:widowControl/>
        <w:tabs>
          <w:tab w:val="left" w:pos="6120"/>
        </w:tabs>
        <w:jc w:val="right"/>
        <w:rPr>
          <w:b/>
          <w:color w:val="000000" w:themeColor="text1"/>
          <w:szCs w:val="22"/>
        </w:rPr>
      </w:pPr>
      <w:r>
        <w:rPr>
          <w:b/>
          <w:color w:val="000000" w:themeColor="text1"/>
          <w:szCs w:val="22"/>
        </w:rPr>
        <w:t xml:space="preserve">                              </w:t>
      </w:r>
      <w:r w:rsidR="00663138">
        <w:rPr>
          <w:b/>
          <w:color w:val="000000" w:themeColor="text1"/>
          <w:szCs w:val="22"/>
        </w:rPr>
        <w:t xml:space="preserve">                                </w:t>
      </w:r>
      <w:r w:rsidR="007F744F">
        <w:rPr>
          <w:b/>
          <w:color w:val="000000" w:themeColor="text1"/>
          <w:szCs w:val="22"/>
        </w:rPr>
        <w:t xml:space="preserve">           </w:t>
      </w:r>
      <w:r w:rsidRPr="0072606B" w:rsidR="00613D0B">
        <w:rPr>
          <w:b/>
          <w:color w:val="000000" w:themeColor="text1"/>
          <w:szCs w:val="22"/>
        </w:rPr>
        <w:t xml:space="preserve">DA </w:t>
      </w:r>
      <w:r w:rsidR="008540C9">
        <w:rPr>
          <w:b/>
          <w:color w:val="000000" w:themeColor="text1"/>
          <w:szCs w:val="22"/>
        </w:rPr>
        <w:t>18-</w:t>
      </w:r>
      <w:r w:rsidR="007F744F">
        <w:rPr>
          <w:b/>
          <w:color w:val="000000" w:themeColor="text1"/>
          <w:szCs w:val="22"/>
        </w:rPr>
        <w:t>690</w:t>
      </w:r>
      <w:r w:rsidRPr="0072606B">
        <w:rPr>
          <w:b/>
          <w:color w:val="000000" w:themeColor="text1"/>
          <w:szCs w:val="22"/>
        </w:rPr>
        <w:tab/>
      </w:r>
    </w:p>
    <w:p w:rsidR="00DE1D63" w:rsidRPr="0072606B" w:rsidP="004C1772">
      <w:pPr>
        <w:widowControl/>
        <w:tabs>
          <w:tab w:val="left" w:pos="6120"/>
        </w:tabs>
        <w:jc w:val="right"/>
        <w:rPr>
          <w:b/>
          <w:color w:val="000000" w:themeColor="text1"/>
          <w:szCs w:val="22"/>
        </w:rPr>
      </w:pPr>
      <w:r w:rsidRPr="0072606B">
        <w:rPr>
          <w:b/>
          <w:color w:val="000000" w:themeColor="text1"/>
          <w:szCs w:val="22"/>
        </w:rPr>
        <w:tab/>
      </w:r>
      <w:r w:rsidR="00053731">
        <w:rPr>
          <w:b/>
          <w:color w:val="000000" w:themeColor="text1"/>
          <w:szCs w:val="22"/>
        </w:rPr>
        <w:t xml:space="preserve"> </w:t>
      </w:r>
      <w:r w:rsidRPr="0072606B" w:rsidR="0069401E">
        <w:rPr>
          <w:b/>
          <w:color w:val="000000" w:themeColor="text1"/>
          <w:szCs w:val="22"/>
        </w:rPr>
        <w:t xml:space="preserve">Released: </w:t>
      </w:r>
      <w:r w:rsidR="007F744F">
        <w:rPr>
          <w:b/>
          <w:color w:val="000000" w:themeColor="text1"/>
          <w:szCs w:val="22"/>
        </w:rPr>
        <w:t>July 3, 2018</w:t>
      </w:r>
    </w:p>
    <w:p w:rsidR="00F83F84" w:rsidP="006A0B39">
      <w:pPr>
        <w:jc w:val="right"/>
        <w:rPr>
          <w:b/>
          <w:szCs w:val="22"/>
        </w:rPr>
      </w:pPr>
    </w:p>
    <w:p w:rsidR="00DC1D3E" w:rsidP="00DC1D3E">
      <w:pPr>
        <w:jc w:val="center"/>
        <w:rPr>
          <w:b/>
          <w:sz w:val="24"/>
        </w:rPr>
      </w:pPr>
      <w:r>
        <w:rPr>
          <w:b/>
          <w:sz w:val="24"/>
        </w:rPr>
        <w:t>MEDIA BUREAU LIFTS LPTV AND TV TRANSLATOR</w:t>
      </w:r>
    </w:p>
    <w:p w:rsidR="00F74904" w:rsidP="00E94852">
      <w:pPr>
        <w:jc w:val="center"/>
        <w:rPr>
          <w:b/>
          <w:sz w:val="24"/>
        </w:rPr>
      </w:pPr>
      <w:r>
        <w:rPr>
          <w:b/>
          <w:sz w:val="24"/>
        </w:rPr>
        <w:t>MINOR CHANGE APPLICATION FILING FREEZE</w:t>
      </w:r>
    </w:p>
    <w:p w:rsidR="00E94852" w:rsidP="00E94852">
      <w:pPr>
        <w:jc w:val="center"/>
        <w:rPr>
          <w:b/>
          <w:sz w:val="24"/>
        </w:rPr>
      </w:pPr>
    </w:p>
    <w:p w:rsidR="00E94852" w:rsidP="00DC1D3E">
      <w:pPr>
        <w:spacing w:after="240"/>
        <w:rPr>
          <w:szCs w:val="22"/>
        </w:rPr>
      </w:pPr>
      <w:r>
        <w:rPr>
          <w:b/>
          <w:sz w:val="24"/>
        </w:rPr>
        <w:tab/>
      </w:r>
      <w:r w:rsidRPr="00E81263">
        <w:rPr>
          <w:szCs w:val="22"/>
        </w:rPr>
        <w:t xml:space="preserve">The Media Bureau </w:t>
      </w:r>
      <w:r>
        <w:rPr>
          <w:szCs w:val="22"/>
        </w:rPr>
        <w:t>announces that, effective</w:t>
      </w:r>
      <w:r>
        <w:rPr>
          <w:szCs w:val="22"/>
        </w:rPr>
        <w:t xml:space="preserve"> immediately</w:t>
      </w:r>
      <w:r w:rsidR="00F74904">
        <w:rPr>
          <w:szCs w:val="22"/>
        </w:rPr>
        <w:t xml:space="preserve">, </w:t>
      </w:r>
      <w:r>
        <w:rPr>
          <w:szCs w:val="22"/>
        </w:rPr>
        <w:t xml:space="preserve">it is lifting the </w:t>
      </w:r>
      <w:r>
        <w:rPr>
          <w:szCs w:val="22"/>
        </w:rPr>
        <w:t>freeze</w:t>
      </w:r>
      <w:r w:rsidRPr="00E94852">
        <w:rPr>
          <w:szCs w:val="22"/>
        </w:rPr>
        <w:t xml:space="preserve"> on the filing of applications for minor change</w:t>
      </w:r>
      <w:r w:rsidR="00BA1E3B">
        <w:rPr>
          <w:szCs w:val="22"/>
        </w:rPr>
        <w:t>s</w:t>
      </w:r>
      <w:r w:rsidRPr="00E94852">
        <w:rPr>
          <w:szCs w:val="22"/>
        </w:rPr>
        <w:t xml:space="preserve"> by </w:t>
      </w:r>
      <w:r>
        <w:rPr>
          <w:szCs w:val="22"/>
        </w:rPr>
        <w:t>low power television and TV translator stations (LPTV/translator stations).</w:t>
      </w:r>
      <w:r>
        <w:rPr>
          <w:szCs w:val="22"/>
          <w:vertAlign w:val="superscript"/>
        </w:rPr>
        <w:footnoteReference w:id="3"/>
      </w:r>
      <w:r>
        <w:rPr>
          <w:szCs w:val="22"/>
        </w:rPr>
        <w:t xml:space="preserve"> </w:t>
      </w:r>
      <w:r w:rsidR="0004595B">
        <w:rPr>
          <w:szCs w:val="22"/>
        </w:rPr>
        <w:t xml:space="preserve"> </w:t>
      </w:r>
      <w:r>
        <w:rPr>
          <w:szCs w:val="22"/>
        </w:rPr>
        <w:t>The freeze was</w:t>
      </w:r>
      <w:r w:rsidR="007F7F12">
        <w:rPr>
          <w:szCs w:val="22"/>
        </w:rPr>
        <w:t xml:space="preserve"> enacted to preserve channels </w:t>
      </w:r>
      <w:r w:rsidR="00BA1E3B">
        <w:rPr>
          <w:szCs w:val="22"/>
        </w:rPr>
        <w:t>in advance of</w:t>
      </w:r>
      <w:r w:rsidR="007F7F12">
        <w:rPr>
          <w:szCs w:val="22"/>
        </w:rPr>
        <w:t xml:space="preserve"> the</w:t>
      </w:r>
      <w:r w:rsidRPr="007F7F12" w:rsidR="007F7F12">
        <w:t xml:space="preserve"> </w:t>
      </w:r>
      <w:r w:rsidRPr="007F7F12" w:rsidR="007F7F12">
        <w:rPr>
          <w:szCs w:val="22"/>
        </w:rPr>
        <w:t>window for LPTV/translator</w:t>
      </w:r>
      <w:r w:rsidR="0004595B">
        <w:rPr>
          <w:szCs w:val="22"/>
        </w:rPr>
        <w:t xml:space="preserve"> station</w:t>
      </w:r>
      <w:r w:rsidRPr="007F7F12" w:rsidR="007F7F12">
        <w:rPr>
          <w:szCs w:val="22"/>
        </w:rPr>
        <w:t xml:space="preserve">s displaced by the </w:t>
      </w:r>
      <w:r w:rsidR="00BA1E3B">
        <w:rPr>
          <w:szCs w:val="22"/>
        </w:rPr>
        <w:t>i</w:t>
      </w:r>
      <w:r w:rsidR="007F7F12">
        <w:rPr>
          <w:szCs w:val="22"/>
        </w:rPr>
        <w:t xml:space="preserve">ncentive </w:t>
      </w:r>
      <w:r w:rsidR="00BA1E3B">
        <w:rPr>
          <w:szCs w:val="22"/>
        </w:rPr>
        <w:t>a</w:t>
      </w:r>
      <w:r w:rsidR="007F7F12">
        <w:rPr>
          <w:szCs w:val="22"/>
        </w:rPr>
        <w:t>uction</w:t>
      </w:r>
      <w:r w:rsidRPr="007F7F12" w:rsidR="007F7F12">
        <w:rPr>
          <w:szCs w:val="22"/>
        </w:rPr>
        <w:t xml:space="preserve"> to file displacement applications</w:t>
      </w:r>
      <w:r w:rsidR="007F7F12">
        <w:rPr>
          <w:szCs w:val="22"/>
        </w:rPr>
        <w:t>.</w:t>
      </w:r>
      <w:r>
        <w:rPr>
          <w:rStyle w:val="FootnoteReference"/>
          <w:szCs w:val="22"/>
        </w:rPr>
        <w:footnoteReference w:id="4"/>
      </w:r>
      <w:r w:rsidR="007F7F12">
        <w:rPr>
          <w:szCs w:val="22"/>
        </w:rPr>
        <w:t xml:space="preserve"> </w:t>
      </w:r>
      <w:r w:rsidRPr="007F7F12" w:rsidR="007F7F12">
        <w:rPr>
          <w:szCs w:val="22"/>
        </w:rPr>
        <w:t xml:space="preserve"> </w:t>
      </w:r>
      <w:r>
        <w:rPr>
          <w:szCs w:val="22"/>
        </w:rPr>
        <w:t>W</w:t>
      </w:r>
      <w:r w:rsidR="007F7F12">
        <w:rPr>
          <w:szCs w:val="22"/>
        </w:rPr>
        <w:t xml:space="preserve">ith completion of the </w:t>
      </w:r>
      <w:r>
        <w:rPr>
          <w:szCs w:val="22"/>
        </w:rPr>
        <w:t>Special Displacement Window</w:t>
      </w:r>
      <w:r w:rsidR="00732B6F">
        <w:rPr>
          <w:szCs w:val="22"/>
        </w:rPr>
        <w:t xml:space="preserve"> </w:t>
      </w:r>
      <w:r w:rsidR="007F7F12">
        <w:rPr>
          <w:szCs w:val="22"/>
        </w:rPr>
        <w:t>on June 1, 2018,</w:t>
      </w:r>
      <w:r>
        <w:rPr>
          <w:rStyle w:val="FootnoteReference"/>
          <w:szCs w:val="22"/>
        </w:rPr>
        <w:footnoteReference w:id="5"/>
      </w:r>
      <w:r w:rsidR="007F7F12">
        <w:rPr>
          <w:szCs w:val="22"/>
        </w:rPr>
        <w:t xml:space="preserve"> </w:t>
      </w:r>
      <w:r w:rsidR="0004595B">
        <w:rPr>
          <w:szCs w:val="22"/>
        </w:rPr>
        <w:t xml:space="preserve">we </w:t>
      </w:r>
      <w:r>
        <w:rPr>
          <w:szCs w:val="22"/>
        </w:rPr>
        <w:t>lift this</w:t>
      </w:r>
      <w:r>
        <w:rPr>
          <w:szCs w:val="22"/>
        </w:rPr>
        <w:t xml:space="preserve"> filing free</w:t>
      </w:r>
      <w:r>
        <w:rPr>
          <w:szCs w:val="22"/>
        </w:rPr>
        <w:t>z</w:t>
      </w:r>
      <w:r w:rsidR="00D25EFC">
        <w:rPr>
          <w:szCs w:val="22"/>
        </w:rPr>
        <w:t>e.</w:t>
      </w:r>
      <w:r>
        <w:rPr>
          <w:rStyle w:val="FootnoteReference"/>
          <w:szCs w:val="22"/>
        </w:rPr>
        <w:footnoteReference w:id="6"/>
      </w:r>
    </w:p>
    <w:p w:rsidR="00DC1D3E" w:rsidP="003E61CD">
      <w:pPr>
        <w:spacing w:after="240"/>
        <w:ind w:firstLine="720"/>
        <w:rPr>
          <w:szCs w:val="22"/>
        </w:rPr>
      </w:pPr>
      <w:r>
        <w:rPr>
          <w:szCs w:val="22"/>
        </w:rPr>
        <w:t xml:space="preserve">We note that the freezes on the </w:t>
      </w:r>
      <w:r w:rsidR="001D0E91">
        <w:rPr>
          <w:szCs w:val="22"/>
        </w:rPr>
        <w:t xml:space="preserve">filing of </w:t>
      </w:r>
      <w:r>
        <w:rPr>
          <w:szCs w:val="22"/>
        </w:rPr>
        <w:t xml:space="preserve">applications for </w:t>
      </w:r>
      <w:r w:rsidR="001D0E91">
        <w:rPr>
          <w:szCs w:val="22"/>
        </w:rPr>
        <w:t>displacement</w:t>
      </w:r>
      <w:r>
        <w:rPr>
          <w:szCs w:val="22"/>
        </w:rPr>
        <w:t>,</w:t>
      </w:r>
      <w:r>
        <w:rPr>
          <w:rStyle w:val="FootnoteReference"/>
          <w:szCs w:val="22"/>
        </w:rPr>
        <w:footnoteReference w:id="7"/>
      </w:r>
      <w:r>
        <w:rPr>
          <w:szCs w:val="22"/>
        </w:rPr>
        <w:t xml:space="preserve"> </w:t>
      </w:r>
      <w:r>
        <w:rPr>
          <w:szCs w:val="22"/>
        </w:rPr>
        <w:t>applications for digital companion channels</w:t>
      </w:r>
      <w:r w:rsidR="001D0E91">
        <w:rPr>
          <w:szCs w:val="22"/>
        </w:rPr>
        <w:t>,</w:t>
      </w:r>
      <w:r>
        <w:rPr>
          <w:rStyle w:val="FootnoteReference"/>
          <w:szCs w:val="22"/>
        </w:rPr>
        <w:footnoteReference w:id="8"/>
      </w:r>
      <w:r w:rsidR="001D0E91">
        <w:rPr>
          <w:szCs w:val="22"/>
        </w:rPr>
        <w:t xml:space="preserve"> </w:t>
      </w:r>
      <w:r>
        <w:rPr>
          <w:szCs w:val="22"/>
        </w:rPr>
        <w:t xml:space="preserve">and </w:t>
      </w:r>
      <w:r>
        <w:rPr>
          <w:szCs w:val="22"/>
        </w:rPr>
        <w:t>applications for new</w:t>
      </w:r>
      <w:r>
        <w:rPr>
          <w:szCs w:val="22"/>
        </w:rPr>
        <w:t xml:space="preserve"> digital </w:t>
      </w:r>
      <w:r>
        <w:rPr>
          <w:szCs w:val="22"/>
        </w:rPr>
        <w:t>LPTV</w:t>
      </w:r>
      <w:r>
        <w:rPr>
          <w:szCs w:val="22"/>
        </w:rPr>
        <w:t xml:space="preserve">/translator </w:t>
      </w:r>
      <w:r>
        <w:rPr>
          <w:szCs w:val="22"/>
        </w:rPr>
        <w:t>st</w:t>
      </w:r>
      <w:r>
        <w:rPr>
          <w:szCs w:val="22"/>
        </w:rPr>
        <w:t>ations and major changes</w:t>
      </w:r>
      <w:r>
        <w:rPr>
          <w:rStyle w:val="FootnoteReference"/>
          <w:szCs w:val="22"/>
        </w:rPr>
        <w:footnoteReference w:id="9"/>
      </w:r>
      <w:r>
        <w:rPr>
          <w:szCs w:val="22"/>
        </w:rPr>
        <w:t xml:space="preserve"> remain</w:t>
      </w:r>
      <w:r>
        <w:rPr>
          <w:szCs w:val="22"/>
        </w:rPr>
        <w:t xml:space="preserve"> in effect.</w:t>
      </w:r>
    </w:p>
    <w:p w:rsidR="001D0E91" w:rsidP="003E61CD">
      <w:pPr>
        <w:spacing w:after="240"/>
        <w:ind w:firstLine="720"/>
        <w:rPr>
          <w:bCs/>
          <w:szCs w:val="22"/>
        </w:rPr>
      </w:pPr>
      <w:r>
        <w:rPr>
          <w:bCs/>
          <w:szCs w:val="22"/>
        </w:rPr>
        <w:t xml:space="preserve">For additional information, contact Shaun Maher, </w:t>
      </w:r>
      <w:r>
        <w:fldChar w:fldCharType="begin"/>
      </w:r>
      <w:r>
        <w:instrText xml:space="preserve"> HYPERLINK "mailto:Shaun.Maher@fcc.gov" </w:instrText>
      </w:r>
      <w:r>
        <w:fldChar w:fldCharType="separate"/>
      </w:r>
      <w:r w:rsidRPr="00595EC7">
        <w:rPr>
          <w:rStyle w:val="Hyperlink"/>
          <w:szCs w:val="22"/>
        </w:rPr>
        <w:t>Shaun.Maher@fcc.gov</w:t>
      </w:r>
      <w:r>
        <w:fldChar w:fldCharType="end"/>
      </w:r>
      <w:r>
        <w:rPr>
          <w:bCs/>
          <w:szCs w:val="22"/>
        </w:rPr>
        <w:t xml:space="preserve">, (202) 418-2324, or Hossein Hashemzadeh, </w:t>
      </w:r>
      <w:r>
        <w:fldChar w:fldCharType="begin"/>
      </w:r>
      <w:r>
        <w:instrText xml:space="preserve"> HYPERLINK "mailto:Hossein.Hashemzadeh@fcc.gov" </w:instrText>
      </w:r>
      <w:r>
        <w:fldChar w:fldCharType="separate"/>
      </w:r>
      <w:r w:rsidRPr="003A1A3F" w:rsidR="00807DFB">
        <w:rPr>
          <w:rStyle w:val="Hyperlink"/>
          <w:szCs w:val="22"/>
        </w:rPr>
        <w:t>Hossein.Hashemzadeh@fcc.gov</w:t>
      </w:r>
      <w:r>
        <w:fldChar w:fldCharType="end"/>
      </w:r>
      <w:r>
        <w:rPr>
          <w:bCs/>
          <w:szCs w:val="22"/>
        </w:rPr>
        <w:t>, (202) 418-1658.</w:t>
      </w:r>
      <w:bookmarkStart w:id="0" w:name="_GoBack"/>
      <w:bookmarkEnd w:id="0"/>
    </w:p>
    <w:p w:rsidR="00DC1D3E" w:rsidRPr="00A71009" w:rsidP="00A71009">
      <w:pPr>
        <w:spacing w:after="240"/>
        <w:jc w:val="center"/>
        <w:rPr>
          <w:szCs w:val="22"/>
        </w:rPr>
      </w:pPr>
      <w:r>
        <w:rPr>
          <w:szCs w:val="22"/>
        </w:rPr>
        <w:t>-FCC-</w:t>
      </w:r>
    </w:p>
    <w:p w:rsidR="00DC1D3E" w:rsidP="00DC1D3E">
      <w:pPr>
        <w:jc w:val="center"/>
        <w:rPr>
          <w:b/>
          <w:sz w:val="24"/>
        </w:rPr>
      </w:pPr>
    </w:p>
    <w:p w:rsidR="00DC1D3E" w:rsidP="00DC1D3E">
      <w:pPr>
        <w:jc w:val="center"/>
        <w:rPr>
          <w:sz w:val="24"/>
        </w:rPr>
      </w:pPr>
    </w:p>
    <w:p w:rsidR="008152E6" w:rsidRPr="00E3321B" w:rsidP="00DC1D3E">
      <w:pPr>
        <w:spacing w:before="120" w:after="240"/>
        <w:rPr>
          <w:b/>
        </w:rPr>
      </w:pPr>
      <w:r>
        <w:rPr>
          <w:sz w:val="24"/>
        </w:rPr>
        <w:t xml:space="preserve"> </w:t>
      </w:r>
    </w:p>
    <w:sectPr w:rsidSect="001B101F">
      <w:headerReference w:type="default" r:id="rId5"/>
      <w:footerReference w:type="default" r:id="rId6"/>
      <w:headerReference w:type="first" r:id="rId7"/>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A7100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2277">
      <w:r>
        <w:separator/>
      </w:r>
    </w:p>
  </w:footnote>
  <w:footnote w:type="continuationSeparator" w:id="1">
    <w:p w:rsidR="00752277">
      <w:r>
        <w:continuationSeparator/>
      </w:r>
    </w:p>
  </w:footnote>
  <w:footnote w:type="continuationNotice" w:id="2">
    <w:p w:rsidR="00752277" w:rsidRPr="00A574E4" w:rsidP="00A574E4">
      <w:pPr>
        <w:pStyle w:val="Footer"/>
      </w:pPr>
    </w:p>
  </w:footnote>
  <w:footnote w:id="3">
    <w:p w:rsidR="00E94852" w:rsidRPr="00FA7BFA" w:rsidP="00E94852">
      <w:pPr>
        <w:pStyle w:val="FootnoteText"/>
      </w:pPr>
      <w:r w:rsidRPr="00FA7BFA">
        <w:rPr>
          <w:rStyle w:val="FootnoteReference"/>
          <w:sz w:val="20"/>
        </w:rPr>
        <w:footnoteRef/>
      </w:r>
      <w:r w:rsidRPr="00FA7BFA">
        <w:t xml:space="preserve"> </w:t>
      </w:r>
      <w:r w:rsidRPr="000919A6">
        <w:rPr>
          <w:i/>
        </w:rPr>
        <w:t xml:space="preserve">See </w:t>
      </w:r>
      <w:r w:rsidRPr="00FA7BFA">
        <w:rPr>
          <w:i/>
        </w:rPr>
        <w:t>Media Bureau Freezes the Filing of Minor Change Applications for LPTV/Translator Stations</w:t>
      </w:r>
      <w:r w:rsidRPr="00FA7BFA">
        <w:t xml:space="preserve">, Public Notice, </w:t>
      </w:r>
      <w:r>
        <w:t xml:space="preserve">32 FCC </w:t>
      </w:r>
      <w:r>
        <w:t>Rcd</w:t>
      </w:r>
      <w:r>
        <w:t xml:space="preserve"> 10407</w:t>
      </w:r>
      <w:r w:rsidRPr="00FA7BFA">
        <w:t xml:space="preserve"> (</w:t>
      </w:r>
      <w:r>
        <w:t>MB</w:t>
      </w:r>
      <w:r w:rsidRPr="00FA7BFA">
        <w:t xml:space="preserve"> 2017).</w:t>
      </w:r>
    </w:p>
  </w:footnote>
  <w:footnote w:id="4">
    <w:p w:rsidR="007F7F12" w:rsidP="007F7F12">
      <w:pPr>
        <w:pStyle w:val="FootnoteText"/>
      </w:pPr>
      <w:r>
        <w:rPr>
          <w:rStyle w:val="FootnoteReference"/>
        </w:rPr>
        <w:footnoteRef/>
      </w:r>
      <w:r w:rsidR="00E94852">
        <w:t xml:space="preserve"> </w:t>
      </w:r>
      <w:r w:rsidRPr="00E94852" w:rsidR="00E94852">
        <w:rPr>
          <w:i/>
        </w:rPr>
        <w:t>See Incentive Auction Task Force and Media Bureau Announce Post Incentive Auction Special Displacement Window April 10, 2018 Through May 15, 2018, And Make Location and Channel Data Available</w:t>
      </w:r>
      <w:r w:rsidRPr="00E94852" w:rsidR="00E94852">
        <w:t xml:space="preserve">, Public Notice, </w:t>
      </w:r>
      <w:r w:rsidR="00004071">
        <w:t xml:space="preserve">33 FCC </w:t>
      </w:r>
      <w:r w:rsidR="00004071">
        <w:t>Rcd</w:t>
      </w:r>
      <w:r w:rsidR="00004071">
        <w:t xml:space="preserve"> 1234</w:t>
      </w:r>
      <w:r w:rsidRPr="00E94852" w:rsidR="00E94852">
        <w:t xml:space="preserve"> (IATF and MB 2018).</w:t>
      </w:r>
    </w:p>
  </w:footnote>
  <w:footnote w:id="5">
    <w:p w:rsidR="007F7F12" w:rsidRPr="00E94852">
      <w:pPr>
        <w:pStyle w:val="FootnoteText"/>
      </w:pPr>
      <w:r>
        <w:rPr>
          <w:rStyle w:val="FootnoteReference"/>
        </w:rPr>
        <w:footnoteRef/>
      </w:r>
      <w:r w:rsidR="00E94852">
        <w:t xml:space="preserve"> </w:t>
      </w:r>
      <w:r w:rsidR="00E94852">
        <w:rPr>
          <w:i/>
        </w:rPr>
        <w:t>See</w:t>
      </w:r>
      <w:r w:rsidRPr="00E94852" w:rsidR="00E94852">
        <w:rPr>
          <w:i/>
        </w:rPr>
        <w:t xml:space="preserve"> Incentive Auction Task Force and Media Bureau Extend Post Incentive Auction Special Displacement Window Through June 1, 2018</w:t>
      </w:r>
      <w:r w:rsidRPr="00E94852" w:rsidR="00E94852">
        <w:t>, Public Notice, DA 18-389 (</w:t>
      </w:r>
      <w:r w:rsidR="00E94852">
        <w:t>IATF and MB, rel. Apr.</w:t>
      </w:r>
      <w:r w:rsidRPr="00E94852" w:rsidR="00E94852">
        <w:t xml:space="preserve"> 18, 2018).</w:t>
      </w:r>
    </w:p>
  </w:footnote>
  <w:footnote w:id="6">
    <w:p w:rsidR="00A71009">
      <w:pPr>
        <w:pStyle w:val="FootnoteText"/>
      </w:pPr>
      <w:r>
        <w:rPr>
          <w:rStyle w:val="FootnoteReference"/>
        </w:rPr>
        <w:footnoteRef/>
      </w:r>
      <w:r>
        <w:t xml:space="preserve"> </w:t>
      </w:r>
      <w:r w:rsidRPr="00A71009">
        <w:t xml:space="preserve">In the unlikely event that such an application </w:t>
      </w:r>
      <w:r w:rsidRPr="00A71009">
        <w:t>is in conflict with</w:t>
      </w:r>
      <w:r w:rsidRPr="00A71009">
        <w:t xml:space="preserve"> the resolution of mutually exclusive applications filed in the Special Displacement Window, we interpret our rules to require that the latter will have processing priority.  </w:t>
      </w:r>
      <w:r w:rsidRPr="00A71009">
        <w:rPr>
          <w:i/>
        </w:rPr>
        <w:t>See</w:t>
      </w:r>
      <w:r>
        <w:t xml:space="preserve"> 47 CFR </w:t>
      </w:r>
      <w:r w:rsidRPr="00A71009">
        <w:t>74</w:t>
      </w:r>
      <w:r>
        <w:t>.710.</w:t>
      </w:r>
      <w:r w:rsidRPr="00A71009">
        <w:t xml:space="preserve"> </w:t>
      </w:r>
    </w:p>
  </w:footnote>
  <w:footnote w:id="7">
    <w:p w:rsidR="001D0E91" w:rsidRPr="00FA7BFA" w:rsidP="001D0E91">
      <w:pPr>
        <w:pStyle w:val="FootnoteText"/>
      </w:pPr>
      <w:r w:rsidRPr="00FA7BFA">
        <w:rPr>
          <w:rStyle w:val="FootnoteReference"/>
          <w:sz w:val="20"/>
        </w:rPr>
        <w:footnoteRef/>
      </w:r>
      <w:r w:rsidRPr="00FA7BFA">
        <w:t xml:space="preserve"> </w:t>
      </w:r>
      <w:r w:rsidRPr="00FA7BFA">
        <w:rPr>
          <w:i/>
        </w:rPr>
        <w:t>See Freeze on the Filing of Applications for Digital Replacement Translator Stations and Displacement Applications</w:t>
      </w:r>
      <w:r w:rsidRPr="00FA7BFA">
        <w:t>, Public Notic</w:t>
      </w:r>
      <w:r>
        <w:t xml:space="preserve">e, 29 FCC </w:t>
      </w:r>
      <w:r>
        <w:t>Rcd</w:t>
      </w:r>
      <w:r>
        <w:t xml:space="preserve"> 6063 (MB 2014)</w:t>
      </w:r>
      <w:r w:rsidRPr="00FA7BFA">
        <w:t>.</w:t>
      </w:r>
    </w:p>
  </w:footnote>
  <w:footnote w:id="8">
    <w:p w:rsidR="00DC1D3E" w:rsidRPr="00FA7BFA" w:rsidP="00DC1D3E">
      <w:pPr>
        <w:pStyle w:val="FootnoteText"/>
      </w:pPr>
      <w:r w:rsidRPr="00FA7BFA">
        <w:rPr>
          <w:rStyle w:val="FootnoteReference"/>
          <w:sz w:val="20"/>
        </w:rPr>
        <w:footnoteRef/>
      </w:r>
      <w:r w:rsidRPr="00FA7BFA">
        <w:t xml:space="preserve"> </w:t>
      </w:r>
      <w:r w:rsidRPr="00FA7BFA">
        <w:rPr>
          <w:i/>
        </w:rPr>
        <w:t>See Freeze on the Filing of Applications for Digital Companion Channels</w:t>
      </w:r>
      <w:r w:rsidRPr="00FA7BFA">
        <w:t>, Public N</w:t>
      </w:r>
      <w:r w:rsidR="007D1AB4">
        <w:t xml:space="preserve">otice, 32 FCC </w:t>
      </w:r>
      <w:r w:rsidR="007D1AB4">
        <w:t>Rcd</w:t>
      </w:r>
      <w:r w:rsidR="007D1AB4">
        <w:t xml:space="preserve"> 566 (MB 2017).</w:t>
      </w:r>
    </w:p>
  </w:footnote>
  <w:footnote w:id="9">
    <w:p w:rsidR="00E94852" w:rsidRPr="00FA7BFA" w:rsidP="00E94852">
      <w:pPr>
        <w:pStyle w:val="FootnoteText"/>
      </w:pPr>
      <w:r w:rsidRPr="00FA7BFA">
        <w:rPr>
          <w:rStyle w:val="FootnoteReference"/>
          <w:sz w:val="20"/>
        </w:rPr>
        <w:footnoteRef/>
      </w:r>
      <w:r w:rsidRPr="00FA7BFA">
        <w:t xml:space="preserve"> </w:t>
      </w:r>
      <w:r w:rsidRPr="00FA7BFA">
        <w:rPr>
          <w:i/>
        </w:rPr>
        <w:t>See Freeze on the Filing of Applications for New Digital Low Power Television and TV Translator Stations</w:t>
      </w:r>
      <w:r w:rsidRPr="00FA7BFA">
        <w:t xml:space="preserve">, Public Notice, 25 FCC </w:t>
      </w:r>
      <w:r w:rsidRPr="00FA7BFA">
        <w:t>Rcd</w:t>
      </w:r>
      <w:r w:rsidRPr="00FA7BFA">
        <w:t xml:space="preserve"> 15120 (MB 2010); </w:t>
      </w:r>
      <w:r w:rsidRPr="00FA7BFA">
        <w:rPr>
          <w:i/>
        </w:rPr>
        <w:t>Initiation of Nationwide First-Come, First-Served Digital Licensing for Low Power Television and TV Translators Postponed Until Further Notice</w:t>
      </w:r>
      <w:r w:rsidRPr="00FA7BFA">
        <w:t xml:space="preserve">, Public Notice, 25 FCC </w:t>
      </w:r>
      <w:r w:rsidRPr="00FA7BFA">
        <w:t>Rcd</w:t>
      </w:r>
      <w:r w:rsidRPr="00FA7BFA">
        <w:t xml:space="preserve"> 8179 (MB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RPr="00C26BAF"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sidR="008540C9">
      <w:rPr>
        <w:rFonts w:ascii="Times New Roman" w:hAnsi="Times New Roman"/>
        <w:b/>
        <w:sz w:val="22"/>
        <w:szCs w:val="22"/>
      </w:rPr>
      <w:t>18-XXXX</w:t>
    </w:r>
  </w:p>
  <w:p w:rsidR="003E1786" w:rsidRPr="00C26BAF"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3E1786" w:rsidRPr="00C26BAF" w:rsidP="00C26BAF">
    <w:pPr>
      <w:rPr>
        <w:b/>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786" w:rsidRPr="00BA6E7A" w:rsidP="00C26BA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449187"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3E1786" w:rsidRPr="00C26BAF" w:rsidP="00C26BAF">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1786" w:rsidP="00C26BAF">
                          <w:pPr>
                            <w:spacing w:before="40"/>
                            <w:jc w:val="right"/>
                          </w:pPr>
                          <w:r>
                            <w:rPr>
                              <w:rFonts w:ascii="Arial" w:hAnsi="Arial"/>
                              <w:b/>
                              <w:sz w:val="16"/>
                            </w:rPr>
                            <w:t>News Media Information: 202-418-0500</w:t>
                          </w:r>
                          <w:r>
                            <w:rPr>
                              <w:rFonts w:ascii="Arial" w:hAnsi="Arial"/>
                              <w:b/>
                              <w:sz w:val="16"/>
                            </w:rPr>
                            <w:br/>
                            <w:t xml:space="preserve">Internet: </w:t>
                          </w:r>
                          <w:r w:rsidR="001B2CF4">
                            <w:rPr>
                              <w:rFonts w:ascii="Arial" w:hAnsi="Arial"/>
                              <w:b/>
                              <w:sz w:val="16"/>
                            </w:rPr>
                            <w:t>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E1786" w:rsidP="00C26BAF">
                    <w:pPr>
                      <w:spacing w:before="40"/>
                      <w:jc w:val="right"/>
                    </w:pPr>
                    <w:r>
                      <w:rPr>
                        <w:rFonts w:ascii="Arial" w:hAnsi="Arial"/>
                        <w:b/>
                        <w:sz w:val="16"/>
                      </w:rPr>
                      <w:t>News Media Information: 202-418-0500</w:t>
                    </w:r>
                    <w:r>
                      <w:rPr>
                        <w:rFonts w:ascii="Arial" w:hAnsi="Arial"/>
                        <w:b/>
                        <w:sz w:val="16"/>
                      </w:rPr>
                      <w:br/>
                      <w:t xml:space="preserve">Internet: </w:t>
                    </w:r>
                    <w:r w:rsidR="001B2CF4">
                      <w:rPr>
                        <w:rFonts w:ascii="Arial" w:hAnsi="Arial"/>
                        <w:b/>
                        <w:sz w:val="16"/>
                      </w:rPr>
                      <w:t>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8A148C9"/>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7"/>
  </w:num>
  <w:num w:numId="4">
    <w:abstractNumId w:val="3"/>
  </w:num>
  <w:num w:numId="5">
    <w:abstractNumId w:val="11"/>
  </w:num>
  <w:num w:numId="6">
    <w:abstractNumId w:val="2"/>
  </w:num>
  <w:num w:numId="7">
    <w:abstractNumId w:val="4"/>
  </w:num>
  <w:num w:numId="8">
    <w:abstractNumId w:val="0"/>
  </w:num>
  <w:num w:numId="9">
    <w:abstractNumId w:val="12"/>
  </w:num>
  <w:num w:numId="10">
    <w:abstractNumId w:val="6"/>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character" w:customStyle="1" w:styleId="UnresolvedMention">
    <w:name w:val="Unresolved Mention"/>
    <w:basedOn w:val="DefaultParagraphFont"/>
    <w:uiPriority w:val="99"/>
    <w:semiHidden/>
    <w:unhideWhenUsed/>
    <w:rsid w:val="00807D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