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338A9" w:rsidRPr="00B20363" w:rsidP="007A44BF">
      <w:pPr>
        <w:rPr>
          <w:b/>
          <w:sz w:val="24"/>
        </w:rPr>
      </w:pPr>
      <w:bookmarkStart w:id="0" w:name="_GoBack"/>
      <w:bookmarkEnd w:id="0"/>
    </w:p>
    <w:p w:rsidR="00BA0D9E" w:rsidRPr="007A44BF" w:rsidP="00BA0D9E">
      <w:pPr>
        <w:jc w:val="right"/>
        <w:rPr>
          <w:szCs w:val="22"/>
        </w:rPr>
      </w:pPr>
      <w:r w:rsidRPr="007A44BF">
        <w:rPr>
          <w:szCs w:val="22"/>
        </w:rPr>
        <w:t>DA 1</w:t>
      </w:r>
      <w:r w:rsidR="008441CB">
        <w:rPr>
          <w:szCs w:val="22"/>
        </w:rPr>
        <w:t>8</w:t>
      </w:r>
      <w:r w:rsidRPr="007A44BF">
        <w:rPr>
          <w:szCs w:val="22"/>
        </w:rPr>
        <w:t>-</w:t>
      </w:r>
      <w:r w:rsidR="00CB1EA0">
        <w:rPr>
          <w:szCs w:val="22"/>
        </w:rPr>
        <w:t>693</w:t>
      </w:r>
    </w:p>
    <w:p w:rsidR="00BA0D9E" w:rsidP="00BA0D9E">
      <w:pPr>
        <w:spacing w:before="60"/>
        <w:jc w:val="right"/>
        <w:rPr>
          <w:szCs w:val="22"/>
        </w:rPr>
      </w:pPr>
      <w:r>
        <w:rPr>
          <w:szCs w:val="22"/>
        </w:rPr>
        <w:t>July 3</w:t>
      </w:r>
      <w:r w:rsidRPr="007A44BF" w:rsidR="00200D1B">
        <w:rPr>
          <w:szCs w:val="22"/>
        </w:rPr>
        <w:t>, 201</w:t>
      </w:r>
      <w:r w:rsidR="008E243E">
        <w:rPr>
          <w:szCs w:val="22"/>
        </w:rPr>
        <w:t>8</w:t>
      </w:r>
    </w:p>
    <w:p w:rsidR="007A44BF" w:rsidRPr="00EA4B2F" w:rsidP="00BA0D9E">
      <w:pPr>
        <w:spacing w:before="60"/>
        <w:jc w:val="right"/>
        <w:rPr>
          <w:sz w:val="24"/>
          <w:szCs w:val="24"/>
        </w:rPr>
      </w:pPr>
    </w:p>
    <w:p w:rsidR="00BA0D9E" w:rsidP="00BA0D9E">
      <w:pPr>
        <w:jc w:val="right"/>
        <w:rPr>
          <w:sz w:val="24"/>
        </w:rPr>
      </w:pPr>
    </w:p>
    <w:p w:rsidR="00271E74" w:rsidP="00BA0D9E">
      <w:pPr>
        <w:jc w:val="center"/>
        <w:rPr>
          <w:b/>
          <w:sz w:val="24"/>
          <w:szCs w:val="24"/>
        </w:rPr>
      </w:pPr>
      <w:r>
        <w:rPr>
          <w:b/>
          <w:sz w:val="24"/>
          <w:szCs w:val="24"/>
        </w:rPr>
        <w:t>INCENTIVE AUCTI</w:t>
      </w:r>
      <w:r w:rsidR="00D543EE">
        <w:rPr>
          <w:b/>
          <w:sz w:val="24"/>
          <w:szCs w:val="24"/>
        </w:rPr>
        <w:t>O</w:t>
      </w:r>
      <w:r>
        <w:rPr>
          <w:b/>
          <w:sz w:val="24"/>
          <w:szCs w:val="24"/>
        </w:rPr>
        <w:t xml:space="preserve">N TASK FORCE AND </w:t>
      </w:r>
    </w:p>
    <w:p w:rsidR="00271E74" w:rsidP="00BA0D9E">
      <w:pPr>
        <w:jc w:val="center"/>
        <w:rPr>
          <w:b/>
          <w:sz w:val="24"/>
          <w:szCs w:val="24"/>
        </w:rPr>
      </w:pPr>
      <w:r w:rsidRPr="003A1F87">
        <w:rPr>
          <w:b/>
          <w:sz w:val="24"/>
          <w:szCs w:val="24"/>
        </w:rPr>
        <w:t>WIRELESS TEL</w:t>
      </w:r>
      <w:r>
        <w:rPr>
          <w:b/>
          <w:sz w:val="24"/>
          <w:szCs w:val="24"/>
        </w:rPr>
        <w:t xml:space="preserve">ECOMMUNICATIONS BUREAU </w:t>
      </w:r>
    </w:p>
    <w:p w:rsidR="00BA0D9E" w:rsidRPr="00D04A25" w:rsidP="00BA0D9E">
      <w:pPr>
        <w:jc w:val="center"/>
        <w:rPr>
          <w:b/>
          <w:sz w:val="24"/>
          <w:szCs w:val="24"/>
        </w:rPr>
      </w:pPr>
      <w:r>
        <w:rPr>
          <w:b/>
          <w:sz w:val="24"/>
          <w:szCs w:val="24"/>
        </w:rPr>
        <w:t>GRANT 600 MHz LICENSES</w:t>
      </w:r>
      <w:r>
        <w:rPr>
          <w:b/>
          <w:sz w:val="24"/>
          <w:szCs w:val="24"/>
        </w:rPr>
        <w:br/>
      </w:r>
    </w:p>
    <w:p w:rsidR="00BA0D9E" w:rsidRPr="00E85D9E" w:rsidP="00BA0D9E">
      <w:pPr>
        <w:jc w:val="center"/>
        <w:rPr>
          <w:b/>
          <w:szCs w:val="22"/>
        </w:rPr>
      </w:pPr>
      <w:r w:rsidRPr="00E85D9E">
        <w:rPr>
          <w:b/>
          <w:szCs w:val="22"/>
        </w:rPr>
        <w:t xml:space="preserve">Auction </w:t>
      </w:r>
      <w:r>
        <w:rPr>
          <w:b/>
          <w:szCs w:val="22"/>
        </w:rPr>
        <w:t>No. 1002</w:t>
      </w:r>
    </w:p>
    <w:p w:rsidR="00760B2D" w:rsidP="00760B2D">
      <w:pPr>
        <w:rPr>
          <w:szCs w:val="22"/>
        </w:rPr>
      </w:pPr>
    </w:p>
    <w:p w:rsidR="00BA0D9E" w:rsidP="00BA0D9E">
      <w:pPr>
        <w:ind w:firstLine="720"/>
        <w:rPr>
          <w:szCs w:val="22"/>
        </w:rPr>
      </w:pPr>
      <w:r w:rsidRPr="00A946D7">
        <w:t xml:space="preserve">On </w:t>
      </w:r>
      <w:r w:rsidR="0002638C">
        <w:rPr>
          <w:szCs w:val="22"/>
        </w:rPr>
        <w:t>April 13, 2017</w:t>
      </w:r>
      <w:r w:rsidR="00EA4B2F">
        <w:rPr>
          <w:szCs w:val="22"/>
        </w:rPr>
        <w:t>,</w:t>
      </w:r>
      <w:r w:rsidRPr="00A946D7">
        <w:t xml:space="preserve"> the Federal Communications Commission </w:t>
      </w:r>
      <w:r>
        <w:t xml:space="preserve">(“Commission”) </w:t>
      </w:r>
      <w:r w:rsidRPr="00A946D7">
        <w:t xml:space="preserve">completed </w:t>
      </w:r>
      <w:r>
        <w:t>the a</w:t>
      </w:r>
      <w:r w:rsidRPr="00C60499">
        <w:t xml:space="preserve">uction </w:t>
      </w:r>
      <w:r w:rsidR="0002638C">
        <w:t>for new 600 MHz licenses.</w:t>
      </w:r>
      <w:r>
        <w:rPr>
          <w:rStyle w:val="FootnoteReference"/>
          <w:szCs w:val="22"/>
        </w:rPr>
        <w:footnoteReference w:id="3"/>
      </w:r>
      <w:r>
        <w:t xml:space="preserve">  This auction, which was designated Auc</w:t>
      </w:r>
      <w:r w:rsidRPr="00545F16">
        <w:t xml:space="preserve">tion </w:t>
      </w:r>
      <w:r>
        <w:t>1002, raised (in net bids) a total of $</w:t>
      </w:r>
      <w:r w:rsidR="0002638C">
        <w:rPr>
          <w:szCs w:val="22"/>
        </w:rPr>
        <w:t xml:space="preserve">19,318,157,706, </w:t>
      </w:r>
      <w:r>
        <w:t xml:space="preserve">with </w:t>
      </w:r>
      <w:r w:rsidR="0002638C">
        <w:t>50</w:t>
      </w:r>
      <w:r>
        <w:t xml:space="preserve"> bidders </w:t>
      </w:r>
      <w:r w:rsidR="00EA4B2F">
        <w:t>placing winning bids for</w:t>
      </w:r>
      <w:r>
        <w:t xml:space="preserve"> a total of </w:t>
      </w:r>
      <w:r w:rsidR="0091352D">
        <w:t>2776</w:t>
      </w:r>
      <w:r>
        <w:t xml:space="preserve"> licenses.</w:t>
      </w:r>
      <w:r>
        <w:rPr>
          <w:rStyle w:val="FootnoteReference"/>
          <w:szCs w:val="22"/>
        </w:rPr>
        <w:footnoteReference w:id="4"/>
      </w:r>
      <w:r>
        <w:rPr>
          <w:szCs w:val="22"/>
        </w:rPr>
        <w:t xml:space="preserve">  </w:t>
      </w:r>
      <w:r w:rsidR="00665C65">
        <w:rPr>
          <w:szCs w:val="22"/>
        </w:rPr>
        <w:t>T</w:t>
      </w:r>
      <w:r w:rsidR="009638CF">
        <w:rPr>
          <w:szCs w:val="22"/>
        </w:rPr>
        <w:t xml:space="preserve">he </w:t>
      </w:r>
      <w:r>
        <w:rPr>
          <w:szCs w:val="22"/>
        </w:rPr>
        <w:t>FCC long-form applications (FCC Form 601)</w:t>
      </w:r>
      <w:r w:rsidR="00732B08">
        <w:rPr>
          <w:szCs w:val="22"/>
        </w:rPr>
        <w:t xml:space="preserve"> </w:t>
      </w:r>
      <w:r w:rsidR="009638CF">
        <w:rPr>
          <w:szCs w:val="22"/>
        </w:rPr>
        <w:t xml:space="preserve">of </w:t>
      </w:r>
      <w:r w:rsidR="00665C65">
        <w:rPr>
          <w:szCs w:val="22"/>
        </w:rPr>
        <w:t xml:space="preserve">all the </w:t>
      </w:r>
      <w:r w:rsidR="009638CF">
        <w:rPr>
          <w:szCs w:val="22"/>
        </w:rPr>
        <w:t xml:space="preserve">winning bidders </w:t>
      </w:r>
      <w:r w:rsidR="00E879DC">
        <w:rPr>
          <w:szCs w:val="22"/>
        </w:rPr>
        <w:t xml:space="preserve">have been </w:t>
      </w:r>
      <w:r w:rsidR="0077749C">
        <w:rPr>
          <w:szCs w:val="22"/>
        </w:rPr>
        <w:t xml:space="preserve">previously </w:t>
      </w:r>
      <w:r>
        <w:rPr>
          <w:szCs w:val="22"/>
        </w:rPr>
        <w:t>accepted for filing</w:t>
      </w:r>
      <w:r>
        <w:rPr>
          <w:rStyle w:val="FootnoteReference"/>
          <w:szCs w:val="22"/>
        </w:rPr>
        <w:footnoteReference w:id="5"/>
      </w:r>
      <w:r w:rsidR="00732B08">
        <w:rPr>
          <w:szCs w:val="22"/>
        </w:rPr>
        <w:t xml:space="preserve"> </w:t>
      </w:r>
      <w:r w:rsidR="00311829">
        <w:rPr>
          <w:szCs w:val="22"/>
        </w:rPr>
        <w:t xml:space="preserve">and </w:t>
      </w:r>
      <w:r w:rsidR="002C332B">
        <w:rPr>
          <w:szCs w:val="22"/>
        </w:rPr>
        <w:t xml:space="preserve">most </w:t>
      </w:r>
      <w:r w:rsidR="00E879DC">
        <w:rPr>
          <w:szCs w:val="22"/>
        </w:rPr>
        <w:t xml:space="preserve">of those have been </w:t>
      </w:r>
      <w:r w:rsidR="00311829">
        <w:rPr>
          <w:szCs w:val="22"/>
        </w:rPr>
        <w:t>granted</w:t>
      </w:r>
      <w:r>
        <w:rPr>
          <w:szCs w:val="22"/>
        </w:rPr>
        <w:t>.</w:t>
      </w:r>
      <w:r>
        <w:rPr>
          <w:rStyle w:val="FootnoteReference"/>
          <w:szCs w:val="22"/>
        </w:rPr>
        <w:footnoteReference w:id="6"/>
      </w:r>
      <w:r>
        <w:rPr>
          <w:szCs w:val="22"/>
        </w:rPr>
        <w:t xml:space="preserve">   </w:t>
      </w:r>
    </w:p>
    <w:p w:rsidR="00BA0D9E" w:rsidP="00BA0D9E">
      <w:pPr>
        <w:rPr>
          <w:szCs w:val="22"/>
        </w:rPr>
      </w:pPr>
    </w:p>
    <w:p w:rsidR="00BA0D9E" w:rsidP="00BA0D9E">
      <w:pPr>
        <w:ind w:firstLine="720"/>
        <w:rPr>
          <w:szCs w:val="22"/>
        </w:rPr>
      </w:pPr>
      <w:r w:rsidRPr="00E47855">
        <w:t xml:space="preserve">Upon further review and examination, the application </w:t>
      </w:r>
      <w:r w:rsidR="0047152F">
        <w:t xml:space="preserve">for the licenses </w:t>
      </w:r>
      <w:r w:rsidRPr="00E47855">
        <w:t>listed in Attachment A ha</w:t>
      </w:r>
      <w:r w:rsidR="00FF7EDE">
        <w:t>s</w:t>
      </w:r>
      <w:r w:rsidRPr="00E47855">
        <w:t xml:space="preserve"> been found to be complete and in conformance with the Commission’s rules</w:t>
      </w:r>
      <w:r w:rsidR="00B135E4">
        <w:t>,</w:t>
      </w:r>
      <w:r w:rsidRPr="00732B08" w:rsidR="00732B08">
        <w:t xml:space="preserve"> </w:t>
      </w:r>
      <w:r w:rsidR="00732B08">
        <w:t>and there are no petitions to deny or other requests pending that would prevent grant of these licenses</w:t>
      </w:r>
      <w:r w:rsidRPr="00E47855">
        <w:t>.</w:t>
      </w:r>
      <w:r>
        <w:t xml:space="preserve">  </w:t>
      </w:r>
      <w:r w:rsidR="00732B08">
        <w:t xml:space="preserve">We find that granting the application </w:t>
      </w:r>
      <w:r w:rsidR="0047152F">
        <w:t xml:space="preserve">for the licenses </w:t>
      </w:r>
      <w:r w:rsidR="00732B08">
        <w:t>listed in Attachment A serves the public interest, convenience, and necessity.</w:t>
      </w:r>
      <w:r w:rsidR="00732B08">
        <w:rPr>
          <w:szCs w:val="22"/>
        </w:rPr>
        <w:t xml:space="preserve">  </w:t>
      </w:r>
      <w:r>
        <w:rPr>
          <w:szCs w:val="22"/>
        </w:rPr>
        <w:t>Furthermore, the Commission has received full payment for the licenses listed in Attachment A</w:t>
      </w:r>
      <w:r w:rsidR="00273725">
        <w:rPr>
          <w:szCs w:val="22"/>
        </w:rPr>
        <w:t xml:space="preserve">, as </w:t>
      </w:r>
      <w:r w:rsidR="00273725">
        <w:rPr>
          <w:szCs w:val="22"/>
        </w:rPr>
        <w:t>required by Section 1.2109(a) of its rules.</w:t>
      </w:r>
      <w:r>
        <w:rPr>
          <w:rStyle w:val="FootnoteReference"/>
          <w:szCs w:val="22"/>
        </w:rPr>
        <w:footnoteReference w:id="7"/>
      </w:r>
      <w:r w:rsidR="00273725">
        <w:t xml:space="preserve">  </w:t>
      </w:r>
      <w:r>
        <w:t xml:space="preserve">Accordingly, by this Public Notice, we announce the grant of the licenses listed in Attachment A pursuant to Section 309(a) of the Communications Act, 47 U.S.C. § 309(a), </w:t>
      </w:r>
      <w:r w:rsidRPr="00F73C58">
        <w:rPr>
          <w:szCs w:val="22"/>
        </w:rPr>
        <w:t>and Sections 0.131 and 0.331 of the Commission’s rules, 47 C.F.R. §</w:t>
      </w:r>
      <w:r>
        <w:rPr>
          <w:szCs w:val="22"/>
        </w:rPr>
        <w:t>§ 0.131, 0.331</w:t>
      </w:r>
      <w:r>
        <w:t>.</w:t>
      </w:r>
      <w:r>
        <w:rPr>
          <w:szCs w:val="22"/>
        </w:rPr>
        <w:t xml:space="preserve"> </w:t>
      </w:r>
    </w:p>
    <w:p w:rsidR="00BA0D9E" w:rsidP="00BA0D9E">
      <w:pPr>
        <w:ind w:firstLine="720"/>
        <w:rPr>
          <w:szCs w:val="22"/>
        </w:rPr>
      </w:pPr>
    </w:p>
    <w:p w:rsidR="00BA0D9E" w:rsidP="00BA0D9E">
      <w:pPr>
        <w:ind w:firstLine="720"/>
        <w:rPr>
          <w:szCs w:val="22"/>
        </w:rPr>
      </w:pPr>
      <w:r>
        <w:rPr>
          <w:szCs w:val="22"/>
        </w:rPr>
        <w:t xml:space="preserve">We remind </w:t>
      </w:r>
      <w:r w:rsidR="00FA694B">
        <w:rPr>
          <w:szCs w:val="22"/>
        </w:rPr>
        <w:t xml:space="preserve">the </w:t>
      </w:r>
      <w:r>
        <w:rPr>
          <w:szCs w:val="22"/>
        </w:rPr>
        <w:t xml:space="preserve">licensee that </w:t>
      </w:r>
      <w:r w:rsidR="00A10859">
        <w:rPr>
          <w:szCs w:val="22"/>
        </w:rPr>
        <w:t xml:space="preserve">it </w:t>
      </w:r>
      <w:r>
        <w:rPr>
          <w:szCs w:val="22"/>
        </w:rPr>
        <w:t xml:space="preserve">should </w:t>
      </w:r>
      <w:r>
        <w:t>review</w:t>
      </w:r>
      <w:r w:rsidRPr="00C60499">
        <w:t xml:space="preserve"> all Commission orders and public notices establishing rules and policies for the 600 MHz Band, including but not limited to spectrum use during the Post-Auction Transition Period</w:t>
      </w:r>
      <w:r>
        <w:t>,</w:t>
      </w:r>
      <w:r>
        <w:rPr>
          <w:rStyle w:val="FootnoteReference"/>
        </w:rPr>
        <w:footnoteReference w:id="8"/>
      </w:r>
      <w:r>
        <w:t xml:space="preserve"> procedures for commencing operations,</w:t>
      </w:r>
      <w:r>
        <w:rPr>
          <w:rStyle w:val="FootnoteReference"/>
        </w:rPr>
        <w:footnoteReference w:id="9"/>
      </w:r>
      <w:r>
        <w:t xml:space="preserve"> </w:t>
      </w:r>
      <w:r w:rsidR="003C3C0B">
        <w:t xml:space="preserve">and </w:t>
      </w:r>
      <w:r>
        <w:t>performance requirements.</w:t>
      </w:r>
      <w:r>
        <w:rPr>
          <w:rStyle w:val="FootnoteReference"/>
        </w:rPr>
        <w:footnoteReference w:id="10"/>
      </w:r>
      <w:r>
        <w:t xml:space="preserve">  </w:t>
      </w:r>
      <w:r w:rsidR="00FA694B">
        <w:t>The</w:t>
      </w:r>
      <w:r>
        <w:t xml:space="preserve"> licensee is solely responsible for complying with all FCC rules and regulations associated with these licenses.</w:t>
      </w:r>
    </w:p>
    <w:p w:rsidR="00BA0D9E" w:rsidP="00BA0D9E">
      <w:pPr>
        <w:rPr>
          <w:szCs w:val="22"/>
        </w:rPr>
      </w:pPr>
    </w:p>
    <w:p w:rsidR="00BA0D9E" w:rsidP="00BA0D9E">
      <w:pPr>
        <w:rPr>
          <w:szCs w:val="22"/>
        </w:rPr>
      </w:pPr>
      <w:r>
        <w:rPr>
          <w:szCs w:val="22"/>
        </w:rPr>
        <w:tab/>
        <w:t xml:space="preserve">This Public Notice includes </w:t>
      </w:r>
      <w:r w:rsidR="00FA694B">
        <w:rPr>
          <w:szCs w:val="22"/>
        </w:rPr>
        <w:t>one</w:t>
      </w:r>
      <w:r>
        <w:rPr>
          <w:szCs w:val="22"/>
        </w:rPr>
        <w:t xml:space="preserve"> attachment:</w:t>
      </w:r>
    </w:p>
    <w:p w:rsidR="00BA0D9E" w:rsidP="00BA0D9E">
      <w:pPr>
        <w:rPr>
          <w:szCs w:val="22"/>
        </w:rPr>
      </w:pPr>
    </w:p>
    <w:p w:rsidR="000B1CF0" w:rsidP="000B1CF0">
      <w:r>
        <w:rPr>
          <w:szCs w:val="22"/>
        </w:rPr>
        <w:t>Attachment A –</w:t>
      </w:r>
      <w:r w:rsidR="00FA694B">
        <w:rPr>
          <w:szCs w:val="22"/>
        </w:rPr>
        <w:t xml:space="preserve"> </w:t>
      </w:r>
      <w:r w:rsidR="0002460C">
        <w:rPr>
          <w:szCs w:val="22"/>
        </w:rPr>
        <w:t xml:space="preserve">600 MHz Service Licenses </w:t>
      </w:r>
      <w:r>
        <w:rPr>
          <w:szCs w:val="22"/>
        </w:rPr>
        <w:t xml:space="preserve">Granted – Sorted by </w:t>
      </w:r>
      <w:r>
        <w:t>Market Number</w:t>
      </w:r>
    </w:p>
    <w:p w:rsidR="00BA0D9E" w:rsidP="00BA0D9E">
      <w:pPr>
        <w:rPr>
          <w:szCs w:val="22"/>
        </w:rPr>
      </w:pPr>
    </w:p>
    <w:p w:rsidR="00BA0D9E" w:rsidRPr="00A74183" w:rsidP="00A74183">
      <w:pPr>
        <w:pStyle w:val="ParaNum"/>
        <w:numPr>
          <w:ilvl w:val="0"/>
          <w:numId w:val="0"/>
        </w:numPr>
        <w:ind w:firstLine="720"/>
        <w:rPr>
          <w:szCs w:val="22"/>
        </w:rPr>
      </w:pPr>
      <w:r w:rsidRPr="006E49B7">
        <w:rPr>
          <w:szCs w:val="22"/>
        </w:rPr>
        <w:t xml:space="preserve">Please contact </w:t>
      </w:r>
      <w:r w:rsidR="0005634A">
        <w:rPr>
          <w:szCs w:val="22"/>
        </w:rPr>
        <w:t xml:space="preserve">either </w:t>
      </w:r>
      <w:r w:rsidRPr="006E49B7">
        <w:rPr>
          <w:szCs w:val="22"/>
        </w:rPr>
        <w:t>Paul Malmud</w:t>
      </w:r>
      <w:r w:rsidRPr="00A74183">
        <w:rPr>
          <w:szCs w:val="22"/>
        </w:rPr>
        <w:t xml:space="preserve"> </w:t>
      </w:r>
      <w:r w:rsidR="00612949">
        <w:rPr>
          <w:szCs w:val="22"/>
        </w:rPr>
        <w:t xml:space="preserve">at </w:t>
      </w:r>
      <w:r w:rsidRPr="00A74183">
        <w:rPr>
          <w:szCs w:val="22"/>
        </w:rPr>
        <w:t xml:space="preserve">(202) 418-0006 or </w:t>
      </w:r>
      <w:r>
        <w:fldChar w:fldCharType="begin"/>
      </w:r>
      <w:r>
        <w:instrText xml:space="preserve"> HYPERLINK "mailto:genevieve.ross@fcc.gov" </w:instrText>
      </w:r>
      <w:r>
        <w:fldChar w:fldCharType="separate"/>
      </w:r>
      <w:r w:rsidRPr="00A74183">
        <w:rPr>
          <w:rStyle w:val="Hyperlink"/>
          <w:szCs w:val="22"/>
        </w:rPr>
        <w:t>Paul.Malmud@fcc.gov</w:t>
      </w:r>
      <w:r>
        <w:fldChar w:fldCharType="end"/>
      </w:r>
      <w:r w:rsidR="00612949">
        <w:rPr>
          <w:szCs w:val="22"/>
        </w:rPr>
        <w:t>,</w:t>
      </w:r>
      <w:r w:rsidR="0005634A">
        <w:rPr>
          <w:szCs w:val="22"/>
        </w:rPr>
        <w:t xml:space="preserve"> or Madelaine Maior at </w:t>
      </w:r>
      <w:r w:rsidRPr="00A74183" w:rsidR="0005634A">
        <w:rPr>
          <w:szCs w:val="22"/>
        </w:rPr>
        <w:t>(202) 418-</w:t>
      </w:r>
      <w:r w:rsidR="0005634A">
        <w:rPr>
          <w:szCs w:val="22"/>
        </w:rPr>
        <w:t>146</w:t>
      </w:r>
      <w:r w:rsidRPr="00A74183" w:rsidR="0005634A">
        <w:rPr>
          <w:szCs w:val="22"/>
        </w:rPr>
        <w:t xml:space="preserve">6 or </w:t>
      </w:r>
      <w:r w:rsidRPr="0005634A" w:rsidR="0005634A">
        <w:rPr>
          <w:rStyle w:val="Hyperlink"/>
          <w:szCs w:val="22"/>
        </w:rPr>
        <w:t>Madelaine.Maior@fcc.gov</w:t>
      </w:r>
      <w:r w:rsidR="0005634A">
        <w:rPr>
          <w:szCs w:val="22"/>
        </w:rPr>
        <w:t>, of the</w:t>
      </w:r>
      <w:r w:rsidRPr="006E49B7" w:rsidR="0005634A">
        <w:rPr>
          <w:szCs w:val="22"/>
        </w:rPr>
        <w:t xml:space="preserve"> Wireless Telecommunications Bureau,</w:t>
      </w:r>
      <w:r w:rsidRPr="00A74183" w:rsidR="0005634A">
        <w:rPr>
          <w:szCs w:val="22"/>
        </w:rPr>
        <w:t xml:space="preserve"> Broadband Division,</w:t>
      </w:r>
      <w:r w:rsidR="00612949">
        <w:rPr>
          <w:szCs w:val="22"/>
        </w:rPr>
        <w:t xml:space="preserve"> </w:t>
      </w:r>
      <w:r w:rsidRPr="00A74183" w:rsidR="009A0B44">
        <w:rPr>
          <w:szCs w:val="22"/>
        </w:rPr>
        <w:t>f</w:t>
      </w:r>
      <w:r w:rsidRPr="00A74183">
        <w:rPr>
          <w:szCs w:val="22"/>
        </w:rPr>
        <w:t>or questions regarding legal matters or licensing issues.</w:t>
      </w:r>
      <w:r w:rsidRPr="00A74183" w:rsidR="006E49B7">
        <w:rPr>
          <w:szCs w:val="22"/>
        </w:rPr>
        <w:t xml:space="preserve">  </w:t>
      </w:r>
      <w:r w:rsidR="006E49B7">
        <w:t>Please contact</w:t>
      </w:r>
      <w:r w:rsidRPr="00FB3E7A" w:rsidR="006E49B7">
        <w:t xml:space="preserve"> </w:t>
      </w:r>
      <w:r w:rsidR="009010AA">
        <w:t>Neil Grace</w:t>
      </w:r>
      <w:r w:rsidR="006E49B7">
        <w:t xml:space="preserve">, </w:t>
      </w:r>
      <w:r w:rsidR="00612949">
        <w:t xml:space="preserve">at </w:t>
      </w:r>
      <w:r w:rsidRPr="00FA694B" w:rsidR="00FA694B">
        <w:t xml:space="preserve">(202) 418-0506 </w:t>
      </w:r>
      <w:r w:rsidR="006E49B7">
        <w:t xml:space="preserve">or </w:t>
      </w:r>
      <w:r>
        <w:fldChar w:fldCharType="begin"/>
      </w:r>
      <w:r>
        <w:instrText xml:space="preserve"> HYPERLINK "mailto:Neil.Grace@fcc.gov" </w:instrText>
      </w:r>
      <w:r>
        <w:fldChar w:fldCharType="separate"/>
      </w:r>
      <w:r w:rsidRPr="00255636" w:rsidR="00FF7EDE">
        <w:rPr>
          <w:rStyle w:val="Hyperlink"/>
        </w:rPr>
        <w:t>Neil.Grace@fcc.gov</w:t>
      </w:r>
      <w:r>
        <w:fldChar w:fldCharType="end"/>
      </w:r>
      <w:r w:rsidR="00612949">
        <w:t xml:space="preserve">, </w:t>
      </w:r>
      <w:r w:rsidR="006E49B7">
        <w:t>for press questions.</w:t>
      </w:r>
    </w:p>
    <w:p w:rsidR="00E769E5" w:rsidP="009A0B44">
      <w:pPr>
        <w:ind w:firstLine="720"/>
        <w:rPr>
          <w:szCs w:val="22"/>
        </w:rPr>
      </w:pPr>
    </w:p>
    <w:p w:rsidR="00E769E5" w:rsidP="009A0B44">
      <w:pPr>
        <w:ind w:firstLine="720"/>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w:t>
      </w:r>
      <w:r>
        <w:rPr>
          <w:szCs w:val="22"/>
        </w:rPr>
        <w:t>tty</w:t>
      </w:r>
      <w:r>
        <w:rPr>
          <w:szCs w:val="22"/>
        </w:rPr>
        <w:t xml:space="preserve">).  </w:t>
      </w:r>
      <w:r>
        <w:t xml:space="preserve"> </w:t>
      </w:r>
    </w:p>
    <w:p w:rsidR="00BA0D9E" w:rsidP="00BA0D9E">
      <w:pPr>
        <w:rPr>
          <w:szCs w:val="22"/>
        </w:rPr>
      </w:pPr>
    </w:p>
    <w:p w:rsidR="00760B2D" w:rsidP="00BA0D9E">
      <w:pPr>
        <w:spacing w:before="120"/>
        <w:jc w:val="center"/>
        <w:rPr>
          <w:b/>
          <w:szCs w:val="22"/>
        </w:rPr>
      </w:pPr>
      <w:r>
        <w:rPr>
          <w:b/>
          <w:szCs w:val="22"/>
        </w:rPr>
        <w:t>- FCC -</w:t>
      </w:r>
    </w:p>
    <w:p w:rsidR="00BA0B0B">
      <w:pPr>
        <w:widowControl/>
        <w:rPr>
          <w:sz w:val="24"/>
        </w:rPr>
      </w:pPr>
      <w:r>
        <w:rPr>
          <w:sz w:val="24"/>
        </w:rPr>
        <w:t xml:space="preserve"> </w:t>
      </w:r>
    </w:p>
    <w:sectPr w:rsidSect="00DF0810">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pPr>
      <w:pStyle w:val="Footer"/>
      <w:framePr w:wrap="around" w:vAnchor="text" w:hAnchor="margin" w:xAlign="center" w:y="1"/>
    </w:pPr>
    <w:r>
      <w:fldChar w:fldCharType="begin"/>
    </w:r>
    <w:r>
      <w:instrText xml:space="preserve">PAGE  </w:instrText>
    </w:r>
    <w:r>
      <w:fldChar w:fldCharType="separate"/>
    </w:r>
    <w:r>
      <w:fldChar w:fldCharType="end"/>
    </w:r>
  </w:p>
  <w:p w:rsidR="002747D3">
    <w:pPr>
      <w:pStyle w:val="Footer"/>
    </w:pPr>
  </w:p>
  <w:p w:rsidR="002747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55614C">
    <w:pPr>
      <w:pStyle w:val="Footer"/>
      <w:framePr w:wrap="around" w:vAnchor="text" w:hAnchor="margin" w:xAlign="center" w:y="1"/>
    </w:pPr>
    <w:r>
      <w:fldChar w:fldCharType="begin"/>
    </w:r>
    <w:r>
      <w:instrText xml:space="preserve">PAGE  </w:instrText>
    </w:r>
    <w:r>
      <w:fldChar w:fldCharType="separate"/>
    </w:r>
    <w:r>
      <w:t>2</w:t>
    </w:r>
    <w:r>
      <w:fldChar w:fldCharType="end"/>
    </w:r>
  </w:p>
  <w:p w:rsidR="002747D3"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47D3"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6A02">
      <w:r>
        <w:separator/>
      </w:r>
    </w:p>
  </w:footnote>
  <w:footnote w:type="continuationSeparator" w:id="1">
    <w:p w:rsidR="009F6A02" w:rsidP="00C721AC">
      <w:pPr>
        <w:spacing w:before="120"/>
        <w:rPr>
          <w:sz w:val="20"/>
        </w:rPr>
      </w:pPr>
      <w:r>
        <w:rPr>
          <w:sz w:val="20"/>
        </w:rPr>
        <w:t xml:space="preserve">(Continued from previous page)  </w:t>
      </w:r>
      <w:r>
        <w:rPr>
          <w:sz w:val="20"/>
        </w:rPr>
        <w:separator/>
      </w:r>
    </w:p>
  </w:footnote>
  <w:footnote w:type="continuationNotice" w:id="2">
    <w:p w:rsidR="009F6A02" w:rsidP="00C721AC">
      <w:pPr>
        <w:jc w:val="right"/>
        <w:rPr>
          <w:sz w:val="20"/>
        </w:rPr>
      </w:pPr>
    </w:p>
  </w:footnote>
  <w:footnote w:id="3">
    <w:p w:rsidR="0002638C" w:rsidP="0002638C">
      <w:pPr>
        <w:pStyle w:val="FootnoteText"/>
      </w:pPr>
      <w:r>
        <w:rPr>
          <w:rStyle w:val="FootnoteReference"/>
        </w:rPr>
        <w:footnoteRef/>
      </w:r>
      <w:r>
        <w:t xml:space="preserve"> </w:t>
      </w:r>
      <w:r w:rsidRPr="00225B62" w:rsidR="00190663">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Pr="00225B62" w:rsidR="00190663">
        <w:t>, Public Notice,</w:t>
      </w:r>
      <w:r w:rsidR="00190663">
        <w:t xml:space="preserve"> 32 FCC </w:t>
      </w:r>
      <w:r w:rsidR="00190663">
        <w:t>Rcd</w:t>
      </w:r>
      <w:r w:rsidR="00190663">
        <w:t xml:space="preserve"> 2786</w:t>
      </w:r>
      <w:r w:rsidRPr="00225B62" w:rsidR="00190663">
        <w:t xml:space="preserve"> (2017) (</w:t>
      </w:r>
      <w:r w:rsidRPr="00225B62" w:rsidR="00190663">
        <w:rPr>
          <w:i/>
        </w:rPr>
        <w:t>Closing and Channel Reassignment Public Notice</w:t>
      </w:r>
      <w:r w:rsidR="00190663">
        <w:t>)</w:t>
      </w:r>
      <w:r>
        <w:t xml:space="preserve">.   </w:t>
      </w:r>
    </w:p>
  </w:footnote>
  <w:footnote w:id="4">
    <w:p w:rsidR="00BA0D9E" w:rsidRPr="00944B56" w:rsidP="00BA0D9E">
      <w:pPr>
        <w:pStyle w:val="FootnoteText"/>
      </w:pPr>
      <w:r w:rsidRPr="00944B56">
        <w:rPr>
          <w:rStyle w:val="FootnoteReference"/>
        </w:rPr>
        <w:footnoteRef/>
      </w:r>
      <w:r w:rsidR="006E49B7">
        <w:rPr>
          <w:i/>
        </w:rPr>
        <w:t xml:space="preserve"> </w:t>
      </w:r>
      <w:r w:rsidRPr="0091352D" w:rsidR="0091352D">
        <w:rPr>
          <w:i/>
        </w:rPr>
        <w:t>Id</w:t>
      </w:r>
      <w:r w:rsidR="0091352D">
        <w:t>. at p. 4</w:t>
      </w:r>
      <w:r w:rsidR="00A74BD6">
        <w:t>,</w:t>
      </w:r>
      <w:r w:rsidR="0091352D">
        <w:t xml:space="preserve"> para 2</w:t>
      </w:r>
      <w:r w:rsidRPr="00944B56">
        <w:t xml:space="preserve">.   </w:t>
      </w:r>
      <w:r w:rsidR="00055100">
        <w:t xml:space="preserve">Fifty-three long-form applications were filed by the 50 winning bidders.  Two winning bidders bid as consortia and filed multiple long-form applications pursuant to the Commission’s rules.  </w:t>
      </w:r>
      <w:r w:rsidRPr="00897B8E" w:rsidR="00055100">
        <w:rPr>
          <w:i/>
        </w:rPr>
        <w:t>See</w:t>
      </w:r>
      <w:r w:rsidR="00055100">
        <w:t xml:space="preserve"> </w:t>
      </w:r>
      <w:r w:rsidRPr="00944B56" w:rsidR="00055100">
        <w:t>47 CFR</w:t>
      </w:r>
      <w:r w:rsidR="00055100">
        <w:t xml:space="preserve"> </w:t>
      </w:r>
      <w:r w:rsidRPr="00944B56" w:rsidR="00055100">
        <w:t>§ 1.210</w:t>
      </w:r>
      <w:r w:rsidR="00055100">
        <w:t>7</w:t>
      </w:r>
      <w:r w:rsidRPr="00944B56" w:rsidR="00055100">
        <w:t>(</w:t>
      </w:r>
      <w:r w:rsidR="00055100">
        <w:t>g</w:t>
      </w:r>
      <w:r w:rsidRPr="00944B56" w:rsidR="00055100">
        <w:t>)</w:t>
      </w:r>
      <w:r w:rsidR="00055100">
        <w:t>.</w:t>
      </w:r>
    </w:p>
  </w:footnote>
  <w:footnote w:id="5">
    <w:p w:rsidR="002C332B">
      <w:pPr>
        <w:pStyle w:val="FootnoteText"/>
      </w:pPr>
      <w:r>
        <w:rPr>
          <w:rStyle w:val="FootnoteReference"/>
        </w:rPr>
        <w:footnoteRef/>
      </w:r>
      <w:r>
        <w:t xml:space="preserve"> Specifically, t</w:t>
      </w:r>
      <w:r w:rsidRPr="00594D6E">
        <w:t>he FCC long-form applications (FCC Form 601) of 11 applicants were accepted for filing on May 18, 2017,</w:t>
      </w:r>
      <w:r>
        <w:t xml:space="preserve"> 15 applicants were accepted for filing on June 21, 2017, 13 were accepted for filing on August 9, 2017, 11 were accepted for filing on October 12, 2017, 2 were accepted for filing on December 19, 2017, and 1 was accepted for filing on January 11, 2018. </w:t>
      </w:r>
      <w:r w:rsidRPr="00594D6E">
        <w:t xml:space="preserve"> </w:t>
      </w:r>
      <w:r w:rsidRPr="006A1894">
        <w:rPr>
          <w:i/>
        </w:rPr>
        <w:t xml:space="preserve">Incentive Auction </w:t>
      </w:r>
      <w:r>
        <w:rPr>
          <w:i/>
        </w:rPr>
        <w:t>Task Force and Wireless Telecommunications Bureau Announce that Applications for 600 MHz Band Licenses are Accepted for Filing</w:t>
      </w:r>
      <w:r>
        <w:t xml:space="preserve">, </w:t>
      </w:r>
      <w:r w:rsidRPr="006A1894">
        <w:t>Public Notice</w:t>
      </w:r>
      <w:r>
        <w:t>s</w:t>
      </w:r>
      <w:r w:rsidRPr="006A1894">
        <w:t>,</w:t>
      </w:r>
      <w:r w:rsidRPr="006B4DA8">
        <w:t xml:space="preserve"> </w:t>
      </w:r>
      <w:r>
        <w:t xml:space="preserve">DA 17-487 (May 18, 2017), DA 17-598 (June 21, 2017), DA 17-742 (Aug. 9, 2017), DA 17-1000 (Oct. 12, 2017), DA 17-1216 (Dec. 19, 2017), and DA 18-31 (Jan. 11, 2018).  </w:t>
      </w:r>
    </w:p>
  </w:footnote>
  <w:footnote w:id="6">
    <w:p w:rsidR="00BA0D9E" w:rsidRPr="00944B56" w:rsidP="00BA0D9E">
      <w:pPr>
        <w:pStyle w:val="FootnoteText"/>
      </w:pPr>
      <w:r w:rsidRPr="00944B56">
        <w:rPr>
          <w:rStyle w:val="FootnoteReference"/>
        </w:rPr>
        <w:footnoteRef/>
      </w:r>
      <w:r w:rsidRPr="00944B56">
        <w:t xml:space="preserve"> </w:t>
      </w:r>
      <w:r w:rsidR="00612949">
        <w:t xml:space="preserve">Applications were granted and licenses issued to </w:t>
      </w:r>
      <w:r w:rsidR="00F45C39">
        <w:t>10</w:t>
      </w:r>
      <w:r w:rsidR="00612949">
        <w:t xml:space="preserve"> applicants on June 14, 2017</w:t>
      </w:r>
      <w:r w:rsidR="0065434C">
        <w:t>,</w:t>
      </w:r>
      <w:r w:rsidR="0077749C">
        <w:t xml:space="preserve"> 15 applicants on July </w:t>
      </w:r>
      <w:r w:rsidR="003F723F">
        <w:t>19, 2017</w:t>
      </w:r>
      <w:r w:rsidR="00E879DC">
        <w:t>,</w:t>
      </w:r>
      <w:r w:rsidR="0065434C">
        <w:t xml:space="preserve"> 8 applicants on November 1, 2017</w:t>
      </w:r>
      <w:r w:rsidR="008753C4">
        <w:t>, 13 applicants on January 9, 2018</w:t>
      </w:r>
      <w:r w:rsidR="009D7E35">
        <w:t>,</w:t>
      </w:r>
      <w:r w:rsidR="00967C11">
        <w:t xml:space="preserve"> and 4 applicants on January 30, 2018</w:t>
      </w:r>
      <w:r w:rsidR="00612949">
        <w:t>.</w:t>
      </w:r>
      <w:r w:rsidR="00F45C39">
        <w:t xml:space="preserve">  </w:t>
      </w:r>
      <w:r w:rsidRPr="006A1894" w:rsidR="007E58FE">
        <w:rPr>
          <w:i/>
        </w:rPr>
        <w:t xml:space="preserve">Incentive Auction </w:t>
      </w:r>
      <w:r w:rsidR="007E58FE">
        <w:rPr>
          <w:i/>
        </w:rPr>
        <w:t xml:space="preserve">Task Force and Wireless Telecommunications Bureau </w:t>
      </w:r>
      <w:r w:rsidR="00C35E04">
        <w:rPr>
          <w:i/>
        </w:rPr>
        <w:t xml:space="preserve">Grant </w:t>
      </w:r>
      <w:r w:rsidR="007E58FE">
        <w:rPr>
          <w:i/>
        </w:rPr>
        <w:t>600 MHz Licenses</w:t>
      </w:r>
      <w:r w:rsidR="007E58FE">
        <w:t xml:space="preserve">, </w:t>
      </w:r>
      <w:r w:rsidRPr="006A1894" w:rsidR="007E58FE">
        <w:t>Public Notice,</w:t>
      </w:r>
      <w:r w:rsidRPr="006B4DA8" w:rsidR="007E58FE">
        <w:t xml:space="preserve"> </w:t>
      </w:r>
      <w:r w:rsidR="007E58FE">
        <w:t>DA 17-</w:t>
      </w:r>
      <w:r w:rsidR="00F45C39">
        <w:t>582</w:t>
      </w:r>
      <w:r w:rsidR="007E58FE">
        <w:t xml:space="preserve"> (</w:t>
      </w:r>
      <w:r w:rsidR="00F45C39">
        <w:t>June</w:t>
      </w:r>
      <w:r w:rsidR="007E58FE">
        <w:t xml:space="preserve"> 1</w:t>
      </w:r>
      <w:r w:rsidR="00F45C39">
        <w:t>4</w:t>
      </w:r>
      <w:r w:rsidR="007E58FE">
        <w:t>, 2017)</w:t>
      </w:r>
      <w:r w:rsidR="00024E5C">
        <w:t xml:space="preserve">, </w:t>
      </w:r>
      <w:r w:rsidR="003F723F">
        <w:t>DA 17-693 (July 19, 2017)</w:t>
      </w:r>
      <w:r w:rsidR="00024E5C">
        <w:t>, DA 17-1075 (Nov. 1, 2017)</w:t>
      </w:r>
      <w:r w:rsidR="008753C4">
        <w:t>, DA 18-</w:t>
      </w:r>
      <w:r w:rsidR="00E26DDF">
        <w:t xml:space="preserve">20 </w:t>
      </w:r>
      <w:r w:rsidR="008753C4">
        <w:t xml:space="preserve">(Jan. </w:t>
      </w:r>
      <w:r w:rsidR="00E26DDF">
        <w:t>9</w:t>
      </w:r>
      <w:r w:rsidR="008753C4">
        <w:t>, 2018)</w:t>
      </w:r>
      <w:r w:rsidR="00967C11">
        <w:t>, and DA 18-66 (Jan. 30, 2018)</w:t>
      </w:r>
      <w:r w:rsidR="007E58FE">
        <w:t xml:space="preserve">.  </w:t>
      </w:r>
      <w:r w:rsidR="00732B08">
        <w:t xml:space="preserve">The Commission’s review of the long-form applications of other winning bidders in Auction 1002 is ongoing.  </w:t>
      </w:r>
      <w:r w:rsidR="00E06ACC">
        <w:t>S</w:t>
      </w:r>
      <w:r w:rsidR="00732B08">
        <w:t xml:space="preserve">ubsequent public notices will announce the </w:t>
      </w:r>
      <w:r w:rsidR="00FF3E9D">
        <w:t xml:space="preserve">action taken on </w:t>
      </w:r>
      <w:r w:rsidR="00E879DC">
        <w:t xml:space="preserve">those </w:t>
      </w:r>
      <w:r w:rsidR="00732B08">
        <w:t xml:space="preserve">long-form applications. </w:t>
      </w:r>
    </w:p>
  </w:footnote>
  <w:footnote w:id="7">
    <w:p w:rsidR="00273725" w:rsidRPr="00944B56" w:rsidP="00273725">
      <w:pPr>
        <w:pStyle w:val="FootnoteText"/>
      </w:pPr>
      <w:r w:rsidRPr="00944B56">
        <w:rPr>
          <w:rStyle w:val="FootnoteReference"/>
        </w:rPr>
        <w:footnoteRef/>
      </w:r>
      <w:r w:rsidRPr="00944B56">
        <w:t xml:space="preserve"> 47 CFR</w:t>
      </w:r>
      <w:r>
        <w:t xml:space="preserve"> </w:t>
      </w:r>
      <w:r w:rsidRPr="00944B56">
        <w:t xml:space="preserve">§ 1.2109(a).  </w:t>
      </w:r>
    </w:p>
  </w:footnote>
  <w:footnote w:id="8">
    <w:p w:rsidR="00BA0D9E" w:rsidRPr="009C1E9C" w:rsidP="00BA0D9E">
      <w:pPr>
        <w:pStyle w:val="FootnoteText"/>
        <w:widowControl w:val="0"/>
      </w:pPr>
      <w:r w:rsidRPr="009C1E9C">
        <w:rPr>
          <w:rStyle w:val="FootnoteReference"/>
        </w:rPr>
        <w:footnoteRef/>
      </w:r>
      <w:r w:rsidRPr="009C1E9C">
        <w:rPr>
          <w:i/>
          <w:iCs/>
        </w:rPr>
        <w:t xml:space="preserve"> See </w:t>
      </w:r>
      <w:r w:rsidRPr="009C1E9C">
        <w:rPr>
          <w:i/>
        </w:rPr>
        <w:t>Expanding the Economic and Innovation Opportunities of Spectrum Through Incentive Auctions</w:t>
      </w:r>
      <w:r w:rsidRPr="009C1E9C">
        <w:t xml:space="preserve">, GN Docket No. 12-268, Report and Order, 29 FCC </w:t>
      </w:r>
      <w:r w:rsidRPr="009C1E9C">
        <w:t>Rcd</w:t>
      </w:r>
      <w:r w:rsidRPr="009C1E9C">
        <w:t xml:space="preserve"> 6567, 6782–847, paras. 525–688 (§ V) (2014).  The Post-Auction Transition Period is the 39-month period for broadcasters that are assigned new channels in the repacking process</w:t>
      </w:r>
      <w:r w:rsidR="009D7E35">
        <w:t>,</w:t>
      </w:r>
      <w:r w:rsidRPr="009C1E9C">
        <w:t xml:space="preserve"> and winning UHF-to-VHF and high-VHF-to-low-VHF bid</w:t>
      </w:r>
      <w:r w:rsidR="009D7E35">
        <w:t>der</w:t>
      </w:r>
      <w:r w:rsidRPr="009C1E9C">
        <w:t>s</w:t>
      </w:r>
      <w:r w:rsidR="009D7E35">
        <w:t>,</w:t>
      </w:r>
      <w:r w:rsidRPr="009C1E9C">
        <w:t xml:space="preserve"> to relocate to new channels</w:t>
      </w:r>
      <w:r w:rsidR="009D7E35">
        <w:t>.</w:t>
      </w:r>
      <w:r w:rsidRPr="009C1E9C">
        <w:t xml:space="preserve"> </w:t>
      </w:r>
      <w:r w:rsidRPr="009C1E9C">
        <w:rPr>
          <w:i/>
        </w:rPr>
        <w:t>Id.</w:t>
      </w:r>
      <w:r w:rsidRPr="009C1E9C">
        <w:t xml:space="preserve"> at 6796, para. 559.  The 39-month period commenced on </w:t>
      </w:r>
      <w:r w:rsidR="0091352D">
        <w:t>April 13, 2017.</w:t>
      </w:r>
      <w:r w:rsidRPr="009C1E9C">
        <w:t xml:space="preserve"> </w:t>
      </w:r>
      <w:r w:rsidRPr="00135DE7" w:rsidR="00135DE7">
        <w:rPr>
          <w:i/>
        </w:rPr>
        <w:t>See</w:t>
      </w:r>
      <w:r w:rsidR="00135DE7">
        <w:t xml:space="preserve"> </w:t>
      </w:r>
      <w:r w:rsidRPr="006A1894" w:rsidR="0091352D">
        <w:rPr>
          <w:i/>
        </w:rPr>
        <w:t>Closing and Channel Reassignment Public Notice</w:t>
      </w:r>
      <w:r w:rsidR="00135DE7">
        <w:rPr>
          <w:i/>
        </w:rPr>
        <w:t xml:space="preserve"> </w:t>
      </w:r>
      <w:r w:rsidR="00135DE7">
        <w:t xml:space="preserve">at p. </w:t>
      </w:r>
      <w:r w:rsidR="00CE7278">
        <w:t>22</w:t>
      </w:r>
      <w:r w:rsidR="00135DE7">
        <w:t>, para</w:t>
      </w:r>
      <w:r w:rsidR="009D7E35">
        <w:t>.</w:t>
      </w:r>
      <w:r w:rsidR="00135DE7">
        <w:t xml:space="preserve"> </w:t>
      </w:r>
      <w:r w:rsidR="00CE7278">
        <w:t>68</w:t>
      </w:r>
      <w:r w:rsidRPr="009C1E9C">
        <w:t xml:space="preserve">.   </w:t>
      </w:r>
    </w:p>
  </w:footnote>
  <w:footnote w:id="9">
    <w:p w:rsidR="00BA0D9E" w:rsidRPr="009C1E9C" w:rsidP="00BA0D9E">
      <w:pPr>
        <w:pStyle w:val="FootnoteText"/>
      </w:pPr>
      <w:r w:rsidRPr="009C1E9C">
        <w:rPr>
          <w:rStyle w:val="FootnoteReference"/>
        </w:rPr>
        <w:footnoteRef/>
      </w:r>
      <w:r w:rsidRPr="009C1E9C">
        <w:t xml:space="preserve"> </w:t>
      </w:r>
      <w:r w:rsidRPr="009C1E9C">
        <w:rPr>
          <w:i/>
        </w:rPr>
        <w:t>See Expanding the Economic and Innovation Opportunities of Spectrum Through Incentive Auctions</w:t>
      </w:r>
      <w:r w:rsidRPr="009C1E9C">
        <w:t xml:space="preserve">, GN Docket No. 12-268, Report and Order, 30 FCC </w:t>
      </w:r>
      <w:r w:rsidRPr="009C1E9C">
        <w:t>Rcd</w:t>
      </w:r>
      <w:r w:rsidRPr="009C1E9C">
        <w:t xml:space="preserve"> 12025 (2015).</w:t>
      </w:r>
    </w:p>
  </w:footnote>
  <w:footnote w:id="10">
    <w:p w:rsidR="00BA0D9E" w:rsidP="00BA0D9E">
      <w:pPr>
        <w:pStyle w:val="FootnoteText"/>
      </w:pPr>
      <w:r>
        <w:rPr>
          <w:rStyle w:val="FootnoteReference"/>
        </w:rPr>
        <w:footnoteRef/>
      </w:r>
      <w:r>
        <w:t xml:space="preserve"> </w:t>
      </w:r>
      <w:r w:rsidRPr="00944B56">
        <w:t>47 CFR</w:t>
      </w:r>
      <w:r>
        <w:t xml:space="preserve"> </w:t>
      </w:r>
      <w:r w:rsidRPr="00944B56">
        <w:t xml:space="preserve">§ </w:t>
      </w:r>
      <w:r>
        <w:t>27.14(t)</w:t>
      </w:r>
      <w:r w:rsidR="0079021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A6536" w:rsidRPr="007A6536" w:rsidP="007A6536">
    <w:pPr>
      <w:tabs>
        <w:tab w:val="center" w:pos="4680"/>
        <w:tab w:val="right" w:pos="9360"/>
      </w:tabs>
      <w:rPr>
        <w:b/>
        <w:szCs w:val="22"/>
      </w:rPr>
    </w:pPr>
    <w:r>
      <w:rPr>
        <w:b/>
        <w:szCs w:val="22"/>
      </w:rPr>
      <w:tab/>
    </w:r>
    <w:r w:rsidRPr="007A6536">
      <w:rPr>
        <w:b/>
        <w:szCs w:val="22"/>
      </w:rPr>
      <w:t>Federal Communications Commission</w:t>
    </w:r>
    <w:r w:rsidRPr="007A6536">
      <w:rPr>
        <w:b/>
        <w:szCs w:val="22"/>
      </w:rPr>
      <w:tab/>
      <w:t>DA 1</w:t>
    </w:r>
    <w:r w:rsidR="008441CB">
      <w:rPr>
        <w:b/>
        <w:szCs w:val="22"/>
      </w:rPr>
      <w:t>8</w:t>
    </w:r>
    <w:r w:rsidRPr="008428F7" w:rsidR="009C57CB">
      <w:rPr>
        <w:b/>
        <w:szCs w:val="22"/>
      </w:rPr>
      <w:t>-</w:t>
    </w:r>
    <w:r w:rsidR="00CB1EA0">
      <w:rPr>
        <w:b/>
        <w:szCs w:val="22"/>
      </w:rPr>
      <w:t>693</w:t>
    </w:r>
  </w:p>
  <w:p w:rsidR="007A6536" w:rsidRPr="007A6536" w:rsidP="007A6536">
    <w:pPr>
      <w:tabs>
        <w:tab w:val="left" w:pos="-720"/>
      </w:tabs>
      <w:suppressAutoHyphens/>
      <w:spacing w:line="19" w:lineRule="exact"/>
      <w:rPr>
        <w:b/>
        <w:spacing w:val="-2"/>
        <w:szCs w:val="22"/>
      </w:rPr>
    </w:pPr>
    <w:r w:rsidRPr="007A6536">
      <w:rPr>
        <w:b/>
        <w:noProof/>
        <w:szCs w:val="22"/>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p>
  <w:p w:rsidR="007A6536" w:rsidRPr="007A6536" w:rsidP="007A6536">
    <w:pPr>
      <w:rPr>
        <w:b/>
        <w:szCs w:val="22"/>
      </w:rPr>
    </w:pPr>
  </w:p>
  <w:p w:rsidR="00A74183" w:rsidRPr="00A74183" w:rsidP="00A741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4183" w:rsidRPr="00BA6E7A" w:rsidP="00A74183">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74183" w:rsidP="00A74183">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105685"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2747D3" w:rsidRPr="00A74183" w:rsidP="00A74183">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74183" w:rsidP="00A74183">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A74183" w:rsidP="00A74183">
                    <w:pPr>
                      <w:spacing w:before="40"/>
                      <w:jc w:val="right"/>
                    </w:pPr>
                    <w:r>
                      <w:rPr>
                        <w:rFonts w:ascii="Arial" w:hAnsi="Arial"/>
                        <w:b/>
                        <w:sz w:val="16"/>
                      </w:rPr>
                      <w:t>News Media Information: 202-418-0500</w:t>
                    </w:r>
                    <w:r>
                      <w:rPr>
                        <w:rFonts w:ascii="Arial" w:hAnsi="Arial"/>
                        <w:b/>
                        <w:sz w:val="16"/>
                      </w:rPr>
                      <w:br/>
                      <w:t xml:space="preserve">Internet: </w:t>
                    </w:r>
                    <w:r>
                      <w:fldChar w:fldCharType="begin"/>
                    </w:r>
                    <w:r>
                      <w:instrText xml:space="preserve"> HYPERLINK "C:\\Users\\craig.bomberger\\AppData\\Local\\Microsoft\\Windows\\Temporary Internet Files\\Content.Outlook\\BCL5QM18\\www.fcc.gov" </w:instrText>
                    </w:r>
                    <w:r>
                      <w:fldChar w:fldCharType="separate"/>
                    </w:r>
                    <w:r w:rsidRPr="00967716">
                      <w:rPr>
                        <w:rStyle w:val="Hyperlink"/>
                        <w:rFonts w:ascii="Arial" w:hAnsi="Arial"/>
                        <w:b/>
                        <w:sz w:val="16"/>
                      </w:rPr>
                      <w:t>www.fcc.gov</w:t>
                    </w:r>
                    <w:r>
                      <w:fldChar w:fldCharType="end"/>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5"/>
  </w:num>
  <w:num w:numId="5">
    <w:abstractNumId w:val="3"/>
  </w:num>
  <w:num w:numId="6">
    <w:abstractNumId w:val="1"/>
  </w:num>
  <w:num w:numId="7">
    <w:abstractNumId w:val="8"/>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Footnote Text Char Char1 Char Char Char,Footnote Text Char1 Char Char,Footnote Text Char1 Char Char1 Char,Footnote Text Char2 Char,Footnote Text Char3 Char Char Char Char Char"/>
    <w:link w:val="FootnoteTextChar1"/>
    <w:rsid w:val="000E3D42"/>
    <w:pPr>
      <w:spacing w:after="120"/>
    </w:pPr>
  </w:style>
  <w:style w:type="character" w:customStyle="1" w:styleId="FootnoteTextChar1">
    <w:name w:val="Footnote Text Char1"/>
    <w:aliases w:val="ALTS FOOTNOTE Char,Footnote Text Char Char,Footnote Text Char Char Char Char,Footnote Text Char Char1 Char Char Char Char,Footnote Text Char1 Char Char Char,Footnote Text Char1 Char Char1 Char Char,Footnote Text Char2 Char Char"/>
    <w:link w:val="FootnoteText"/>
    <w:rsid w:val="00760B2D"/>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A74183"/>
    <w:pPr>
      <w:tabs>
        <w:tab w:val="left" w:pos="8190"/>
      </w:tabs>
      <w:spacing w:before="40"/>
      <w:jc w:val="both"/>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38A9"/>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paragraph" w:styleId="BodyText2">
    <w:name w:val="Body Text 2"/>
    <w:basedOn w:val="Normal"/>
    <w:link w:val="BodyText2Char"/>
    <w:rsid w:val="00760B2D"/>
    <w:pPr>
      <w:widowControl/>
    </w:pPr>
    <w:rPr>
      <w:rFonts w:ascii="CG Times (W1)" w:hAnsi="CG Times (W1)"/>
      <w:b/>
      <w:kern w:val="0"/>
      <w:sz w:val="24"/>
    </w:rPr>
  </w:style>
  <w:style w:type="character" w:customStyle="1" w:styleId="BodyText2Char">
    <w:name w:val="Body Text 2 Char"/>
    <w:basedOn w:val="DefaultParagraphFont"/>
    <w:link w:val="BodyText2"/>
    <w:rsid w:val="00760B2D"/>
    <w:rPr>
      <w:rFonts w:ascii="CG Times (W1)" w:hAnsi="CG Times (W1)"/>
      <w:b/>
      <w:snapToGrid w:val="0"/>
      <w:sz w:val="24"/>
    </w:rPr>
  </w:style>
  <w:style w:type="character" w:styleId="CommentReference">
    <w:name w:val="annotation reference"/>
    <w:rsid w:val="00760B2D"/>
    <w:rPr>
      <w:sz w:val="16"/>
      <w:szCs w:val="16"/>
    </w:rPr>
  </w:style>
  <w:style w:type="paragraph" w:styleId="CommentText">
    <w:name w:val="annotation text"/>
    <w:basedOn w:val="Normal"/>
    <w:link w:val="CommentTextChar"/>
    <w:rsid w:val="00760B2D"/>
    <w:pPr>
      <w:widowControl/>
    </w:pPr>
    <w:rPr>
      <w:snapToGrid/>
      <w:kern w:val="0"/>
      <w:sz w:val="20"/>
    </w:rPr>
  </w:style>
  <w:style w:type="character" w:customStyle="1" w:styleId="CommentTextChar">
    <w:name w:val="Comment Text Char"/>
    <w:basedOn w:val="DefaultParagraphFont"/>
    <w:link w:val="CommentText"/>
    <w:rsid w:val="00760B2D"/>
  </w:style>
  <w:style w:type="paragraph" w:styleId="CommentSubject">
    <w:name w:val="annotation subject"/>
    <w:basedOn w:val="CommentText"/>
    <w:next w:val="CommentText"/>
    <w:link w:val="CommentSubjectChar"/>
    <w:semiHidden/>
    <w:unhideWhenUsed/>
    <w:rsid w:val="00EA2B68"/>
    <w:pPr>
      <w:widowControl w:val="0"/>
    </w:pPr>
    <w:rPr>
      <w:b/>
      <w:bCs/>
      <w:snapToGrid w:val="0"/>
      <w:kern w:val="28"/>
    </w:rPr>
  </w:style>
  <w:style w:type="character" w:customStyle="1" w:styleId="CommentSubjectChar">
    <w:name w:val="Comment Subject Char"/>
    <w:basedOn w:val="CommentTextChar"/>
    <w:link w:val="CommentSubject"/>
    <w:semiHidden/>
    <w:rsid w:val="00EA2B68"/>
    <w:rPr>
      <w:b/>
      <w:bCs/>
      <w:snapToGrid w:val="0"/>
      <w:kern w:val="28"/>
    </w:rPr>
  </w:style>
  <w:style w:type="paragraph" w:styleId="Revision">
    <w:name w:val="Revision"/>
    <w:hidden/>
    <w:uiPriority w:val="99"/>
    <w:semiHidden/>
    <w:rsid w:val="002F3BF5"/>
    <w:rPr>
      <w:snapToGrid w:val="0"/>
      <w:kern w:val="28"/>
      <w:sz w:val="22"/>
    </w:rPr>
  </w:style>
  <w:style w:type="character" w:customStyle="1" w:styleId="FootnoteTextChar3">
    <w:name w:val="Footnote Text Char3"/>
    <w:aliases w:val="ALTS FOOTNOTE Char1,Footnote Text Char Char1,Footnote Text Char1 Char,Footnote Text Char1 Char Char Char1,Footnote Text Char1 Char1 Char,Footnote Text Char2 Char Char Char,fn Char"/>
    <w:rsid w:val="00BA0D9E"/>
    <w:rPr>
      <w:sz w:val="22"/>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semiHidden/>
    <w:rsid w:val="0002638C"/>
    <w:rPr>
      <w:lang w:val="en-US" w:eastAsia="en-US" w:bidi="ar-SA"/>
    </w:rPr>
  </w:style>
  <w:style w:type="paragraph" w:customStyle="1" w:styleId="NumberedList">
    <w:name w:val="Numbered List"/>
    <w:basedOn w:val="Normal"/>
    <w:rsid w:val="00A74183"/>
    <w:pPr>
      <w:numPr>
        <w:numId w:val="11"/>
      </w:numPr>
      <w:tabs>
        <w:tab w:val="clear" w:pos="1080"/>
      </w:tabs>
      <w:spacing w:after="220"/>
      <w:ind w:firstLine="0"/>
    </w:pPr>
  </w:style>
  <w:style w:type="character" w:customStyle="1" w:styleId="HeaderChar">
    <w:name w:val="Header Char"/>
    <w:basedOn w:val="DefaultParagraphFont"/>
    <w:link w:val="Header"/>
    <w:rsid w:val="00A74183"/>
    <w:rPr>
      <w:rFonts w:ascii="Arial" w:hAnsi="Arial" w:cs="Arial"/>
      <w:b/>
      <w:snapToGrid w:val="0"/>
      <w:kern w:val="28"/>
      <w:sz w:val="96"/>
    </w:rPr>
  </w:style>
  <w:style w:type="character" w:customStyle="1" w:styleId="UnresolvedMention">
    <w:name w:val="Unresolved Mention"/>
    <w:basedOn w:val="DefaultParagraphFont"/>
    <w:uiPriority w:val="99"/>
    <w:semiHidden/>
    <w:unhideWhenUsed/>
    <w:rsid w:val="00FA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