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Amendment of Section 72.202</w:t>
            </w:r>
            <w:r w:rsidR="00770DF2">
              <w:rPr>
                <w:spacing w:val="-2"/>
              </w:rPr>
              <w:t>(b),</w:t>
            </w:r>
          </w:p>
          <w:p w:rsidR="00770DF2" w:rsidP="007115F7">
            <w:pPr>
              <w:tabs>
                <w:tab w:val="center" w:pos="4680"/>
              </w:tabs>
              <w:suppressAutoHyphens/>
              <w:rPr>
                <w:spacing w:val="-2"/>
              </w:rPr>
            </w:pPr>
            <w:r>
              <w:rPr>
                <w:spacing w:val="-2"/>
              </w:rPr>
              <w:t xml:space="preserve">Table of Allotments, </w:t>
            </w:r>
          </w:p>
          <w:p w:rsidR="00770DF2" w:rsidP="007115F7">
            <w:pPr>
              <w:tabs>
                <w:tab w:val="center" w:pos="4680"/>
              </w:tabs>
              <w:suppressAutoHyphens/>
              <w:rPr>
                <w:spacing w:val="-2"/>
              </w:rPr>
            </w:pPr>
            <w:r>
              <w:rPr>
                <w:spacing w:val="-2"/>
              </w:rPr>
              <w:t>FM Broadcast Stations.</w:t>
            </w:r>
          </w:p>
          <w:p w:rsidR="00770DF2" w:rsidRPr="007115F7" w:rsidP="007115F7">
            <w:pPr>
              <w:tabs>
                <w:tab w:val="center" w:pos="4680"/>
              </w:tabs>
              <w:suppressAutoHyphens/>
              <w:rPr>
                <w:spacing w:val="-2"/>
              </w:rPr>
            </w:pPr>
            <w:r>
              <w:rPr>
                <w:spacing w:val="-2"/>
              </w:rPr>
              <w:t>(Connerville</w:t>
            </w:r>
            <w:r>
              <w:rPr>
                <w:spacing w:val="-2"/>
              </w:rPr>
              <w:t xml:space="preserve">, </w:t>
            </w:r>
            <w:r>
              <w:rPr>
                <w:spacing w:val="-2"/>
              </w:rPr>
              <w:t>Oklahoma</w:t>
            </w:r>
            <w:r>
              <w:rPr>
                <w:spacing w:val="-2"/>
              </w:rPr>
              <w:t>)</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770DF2">
            <w:pPr>
              <w:tabs>
                <w:tab w:val="center" w:pos="4680"/>
              </w:tabs>
              <w:suppressAutoHyphens/>
              <w:rPr>
                <w:b/>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MB Docket No. 18-43</w:t>
            </w:r>
          </w:p>
          <w:p w:rsidR="00770DF2">
            <w:pPr>
              <w:tabs>
                <w:tab w:val="center" w:pos="4680"/>
              </w:tabs>
              <w:suppressAutoHyphens/>
              <w:rPr>
                <w:spacing w:val="-2"/>
              </w:rPr>
            </w:pPr>
            <w:r>
              <w:rPr>
                <w:spacing w:val="-2"/>
              </w:rPr>
              <w:t>RM-11797</w:t>
            </w:r>
          </w:p>
        </w:tc>
      </w:tr>
    </w:tbl>
    <w:p w:rsidR="004C2EE3" w:rsidP="0070224F"/>
    <w:p w:rsidR="00770DF2" w:rsidP="0070224F"/>
    <w:p w:rsidR="00841AB1" w:rsidP="00F021FA">
      <w:pPr>
        <w:pStyle w:val="StyleBoldCentered"/>
      </w:pPr>
      <w:r>
        <w:t>Report and Order</w:t>
      </w:r>
    </w:p>
    <w:p w:rsidR="00224B86" w:rsidP="00224B86">
      <w:pPr>
        <w:tabs>
          <w:tab w:val="center" w:pos="4680"/>
        </w:tabs>
        <w:suppressAutoHyphens/>
        <w:spacing w:line="225" w:lineRule="auto"/>
        <w:jc w:val="center"/>
        <w:rPr>
          <w:spacing w:val="-3"/>
          <w:szCs w:val="22"/>
        </w:rPr>
      </w:pPr>
      <w:r>
        <w:rPr>
          <w:b/>
          <w:spacing w:val="-3"/>
          <w:szCs w:val="22"/>
        </w:rPr>
        <w:t>(Proceeding Terminated)</w:t>
      </w:r>
    </w:p>
    <w:p w:rsidR="00224B86" w:rsidP="00F021FA">
      <w:pPr>
        <w:pStyle w:val="StyleBoldCentered"/>
      </w:pPr>
    </w:p>
    <w:p w:rsidR="004C2EE3">
      <w:pPr>
        <w:tabs>
          <w:tab w:val="left" w:pos="-720"/>
        </w:tabs>
        <w:suppressAutoHyphens/>
        <w:spacing w:line="227" w:lineRule="auto"/>
        <w:rPr>
          <w:spacing w:val="-2"/>
        </w:rPr>
      </w:pPr>
    </w:p>
    <w:p w:rsidR="004C2EE3" w:rsidP="00CF4C6B">
      <w:pPr>
        <w:tabs>
          <w:tab w:val="left" w:pos="720"/>
          <w:tab w:val="right" w:pos="9360"/>
        </w:tabs>
        <w:suppressAutoHyphens/>
        <w:spacing w:line="227" w:lineRule="auto"/>
        <w:jc w:val="distribute"/>
        <w:rPr>
          <w:spacing w:val="-2"/>
        </w:rPr>
      </w:pPr>
      <w:r>
        <w:rPr>
          <w:b/>
          <w:spacing w:val="-2"/>
        </w:rPr>
        <w:t xml:space="preserve">Adopted:  </w:t>
      </w:r>
      <w:r w:rsidR="00CF4C6B">
        <w:rPr>
          <w:b/>
          <w:spacing w:val="-2"/>
        </w:rPr>
        <w:t xml:space="preserve">July </w:t>
      </w:r>
      <w:r w:rsidR="00672F21">
        <w:rPr>
          <w:b/>
          <w:spacing w:val="-2"/>
        </w:rPr>
        <w:t>5</w:t>
      </w:r>
      <w:r w:rsidR="00CF4C6B">
        <w:rPr>
          <w:b/>
          <w:spacing w:val="-2"/>
        </w:rPr>
        <w:t>,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F4C6B">
        <w:rPr>
          <w:b/>
          <w:spacing w:val="-2"/>
        </w:rPr>
        <w:t xml:space="preserve">July </w:t>
      </w:r>
      <w:r w:rsidR="00672F21">
        <w:rPr>
          <w:b/>
          <w:spacing w:val="-2"/>
        </w:rPr>
        <w:t>6</w:t>
      </w:r>
      <w:r w:rsidR="00224B86">
        <w:rPr>
          <w:b/>
          <w:spacing w:val="-2"/>
        </w:rPr>
        <w:t>, 201</w:t>
      </w:r>
      <w:r w:rsidR="00CF4C6B">
        <w:rPr>
          <w:b/>
          <w:spacing w:val="-2"/>
        </w:rPr>
        <w:t>8</w:t>
      </w:r>
    </w:p>
    <w:p w:rsidR="00EF2BEF" w:rsidP="00EF2BEF">
      <w:pPr>
        <w:tabs>
          <w:tab w:val="left" w:pos="-720"/>
        </w:tabs>
        <w:suppressAutoHyphens/>
        <w:spacing w:line="225" w:lineRule="auto"/>
        <w:jc w:val="both"/>
        <w:rPr>
          <w:spacing w:val="-3"/>
          <w:szCs w:val="22"/>
        </w:rPr>
      </w:pPr>
    </w:p>
    <w:p w:rsidR="00EF2BEF" w:rsidP="00EF2BEF">
      <w:pPr>
        <w:pStyle w:val="BodyText"/>
        <w:tabs>
          <w:tab w:val="left" w:pos="360"/>
          <w:tab w:val="left" w:pos="720"/>
        </w:tabs>
        <w:rPr>
          <w:sz w:val="22"/>
          <w:szCs w:val="22"/>
        </w:rPr>
      </w:pPr>
      <w:r>
        <w:rPr>
          <w:sz w:val="22"/>
          <w:szCs w:val="22"/>
        </w:rPr>
        <w:t>By the Assistant Chief, Audio Division, Media Bureau:</w:t>
      </w:r>
      <w:r w:rsidR="009F4305">
        <w:rPr>
          <w:sz w:val="22"/>
          <w:szCs w:val="22"/>
        </w:rPr>
        <w:t xml:space="preserve"> </w:t>
      </w:r>
    </w:p>
    <w:p w:rsidR="00EF2BEF" w:rsidP="00EF2BEF">
      <w:pPr>
        <w:tabs>
          <w:tab w:val="left" w:pos="-720"/>
          <w:tab w:val="left" w:pos="360"/>
          <w:tab w:val="left" w:pos="720"/>
        </w:tabs>
        <w:suppressAutoHyphens/>
        <w:jc w:val="both"/>
        <w:rPr>
          <w:spacing w:val="-3"/>
          <w:szCs w:val="22"/>
        </w:rPr>
      </w:pPr>
    </w:p>
    <w:p w:rsidR="00EF2BEF" w:rsidP="00224B86">
      <w:pPr>
        <w:pStyle w:val="ParaNum"/>
        <w:spacing w:after="220"/>
      </w:pPr>
      <w:r>
        <w:t xml:space="preserve">The Audio Division has before it a </w:t>
      </w:r>
      <w:r>
        <w:rPr>
          <w:i/>
        </w:rPr>
        <w:t>Notice of Proposed Rule Making</w:t>
      </w:r>
      <w:r>
        <w:rPr>
          <w:rStyle w:val="FootnoteReference"/>
          <w:b/>
          <w:caps/>
          <w:szCs w:val="22"/>
        </w:rPr>
        <w:footnoteReference w:id="3"/>
      </w:r>
      <w:r>
        <w:t xml:space="preserve"> issued in response to a Petition for Rule Making (Pe</w:t>
      </w:r>
      <w:r w:rsidR="00CF4C6B">
        <w:t>tition) filed by The Chickasaw Nation</w:t>
      </w:r>
      <w:r>
        <w:t xml:space="preserve"> (Petitioner), proposing to amend the FM Table of Allotments, Section 73.202(b) of the Commission’s rules,</w:t>
      </w:r>
      <w:r>
        <w:rPr>
          <w:rStyle w:val="FootnoteReference"/>
          <w:b/>
          <w:caps/>
          <w:szCs w:val="22"/>
        </w:rPr>
        <w:footnoteReference w:id="4"/>
      </w:r>
      <w:r>
        <w:t xml:space="preserve"> by allotting FM Channe</w:t>
      </w:r>
      <w:r w:rsidR="00C010B0">
        <w:t>l 247A at Connerville, Oklahoma</w:t>
      </w:r>
      <w:r>
        <w:t>, as a Tribal Allotment and a first local Tribal-owned service to the community.</w:t>
      </w:r>
      <w:r>
        <w:rPr>
          <w:rStyle w:val="FootnoteReference"/>
          <w:b/>
          <w:caps/>
          <w:szCs w:val="22"/>
        </w:rPr>
        <w:footnoteReference w:id="5"/>
      </w:r>
      <w:r>
        <w:t xml:space="preserve">  Petitioner filed comments.</w:t>
      </w:r>
      <w:r>
        <w:rPr>
          <w:rStyle w:val="FootnoteReference"/>
        </w:rPr>
        <w:footnoteReference w:id="6"/>
      </w:r>
      <w:r>
        <w:t xml:space="preserve">  No other comments were received.  For the reasons discussed below, we grant the </w:t>
      </w:r>
      <w:r w:rsidR="00CF4C6B">
        <w:t>Petition and allot Channel 247A</w:t>
      </w:r>
      <w:r>
        <w:t xml:space="preserve"> at</w:t>
      </w:r>
      <w:r w:rsidR="00CF4C6B">
        <w:t xml:space="preserve"> Connerville, Oklahoma</w:t>
      </w:r>
      <w:r>
        <w:t>, to the FM Table of Allotments as a Tribal Allotment.</w:t>
      </w:r>
    </w:p>
    <w:p w:rsidR="00F42ECB" w:rsidRPr="00DE609C" w:rsidP="00DE609C">
      <w:pPr>
        <w:pStyle w:val="ParaNum"/>
        <w:spacing w:after="220"/>
        <w:rPr>
          <w:szCs w:val="22"/>
        </w:rPr>
      </w:pPr>
      <w:r w:rsidRPr="00F42ECB">
        <w:rPr>
          <w:rFonts w:ascii="Times New Roman Bold" w:hAnsi="Times New Roman Bold"/>
          <w:b/>
          <w:szCs w:val="22"/>
        </w:rPr>
        <w:t>Background.</w:t>
      </w:r>
      <w:r w:rsidRPr="00F42ECB">
        <w:rPr>
          <w:szCs w:val="22"/>
        </w:rPr>
        <w:t xml:space="preserve">  In </w:t>
      </w:r>
      <w:r w:rsidRPr="00F42ECB">
        <w:rPr>
          <w:i/>
          <w:szCs w:val="22"/>
        </w:rPr>
        <w:t>Rural Radio</w:t>
      </w:r>
      <w:r w:rsidRPr="00F42ECB">
        <w:rPr>
          <w:szCs w:val="22"/>
        </w:rPr>
        <w:t>,</w:t>
      </w:r>
      <w:r>
        <w:rPr>
          <w:rStyle w:val="FootnoteReference"/>
          <w:szCs w:val="22"/>
        </w:rPr>
        <w:footnoteReference w:id="7"/>
      </w:r>
      <w:r w:rsidRPr="00F42ECB">
        <w:rPr>
          <w:szCs w:val="22"/>
        </w:rPr>
        <w:t xml:space="preserve"> the Commission concluded that the public interest would be served by establishing a Section 307(b) priority in favor of Tribes and Tribal Entities proposing the allotment of FM channels to serve Tribal Lands.</w:t>
      </w:r>
      <w:r>
        <w:rPr>
          <w:rStyle w:val="FootnoteReference"/>
          <w:szCs w:val="22"/>
        </w:rPr>
        <w:footnoteReference w:id="8"/>
      </w:r>
      <w:r w:rsidRPr="00F42ECB">
        <w:rPr>
          <w:szCs w:val="22"/>
        </w:rPr>
        <w:t xml:space="preserve">  </w:t>
      </w:r>
      <w:r w:rsidRPr="00F42ECB">
        <w:rPr>
          <w:snapToGrid/>
          <w:szCs w:val="22"/>
        </w:rPr>
        <w:t xml:space="preserve">The Commission instituted several </w:t>
      </w:r>
      <w:r w:rsidRPr="00F42ECB">
        <w:rPr>
          <w:szCs w:val="22"/>
        </w:rPr>
        <w:t xml:space="preserve">eligibility criteria to </w:t>
      </w:r>
      <w:r w:rsidRPr="00F42ECB">
        <w:rPr>
          <w:szCs w:val="22"/>
        </w:rPr>
        <w:t xml:space="preserve">qualify </w:t>
      </w:r>
      <w:r w:rsidRPr="00F42ECB">
        <w:rPr>
          <w:snapToGrid/>
          <w:szCs w:val="22"/>
        </w:rPr>
        <w:t>for a Tribal Allotment.</w:t>
      </w:r>
      <w:r>
        <w:rPr>
          <w:rStyle w:val="FootnoteReference"/>
          <w:snapToGrid/>
          <w:szCs w:val="22"/>
        </w:rPr>
        <w:footnoteReference w:id="9"/>
      </w:r>
      <w:r w:rsidRPr="00F42ECB">
        <w:rPr>
          <w:snapToGrid/>
          <w:szCs w:val="22"/>
        </w:rPr>
        <w:t xml:space="preserve">  </w:t>
      </w:r>
      <w:r w:rsidRPr="00F42ECB" w:rsidR="00CF4C6B">
        <w:rPr>
          <w:szCs w:val="22"/>
        </w:rPr>
        <w:t>Petitioner, a federally-recognized Tribe,</w:t>
      </w:r>
      <w:r>
        <w:rPr>
          <w:rStyle w:val="FootnoteReference"/>
          <w:szCs w:val="22"/>
        </w:rPr>
        <w:footnoteReference w:id="10"/>
      </w:r>
      <w:r w:rsidRPr="00F42ECB" w:rsidR="00CF4C6B">
        <w:rPr>
          <w:szCs w:val="22"/>
        </w:rPr>
        <w:t xml:space="preserve"> certifies that its proposal meets the requirements established in </w:t>
      </w:r>
      <w:r w:rsidRPr="00F42ECB" w:rsidR="00CF4C6B">
        <w:rPr>
          <w:i/>
          <w:szCs w:val="22"/>
        </w:rPr>
        <w:t>Rural Radio</w:t>
      </w:r>
      <w:r w:rsidRPr="00F42ECB" w:rsidR="00CF4C6B">
        <w:rPr>
          <w:szCs w:val="22"/>
        </w:rPr>
        <w:t xml:space="preserve"> for a Tribal Priority.</w:t>
      </w:r>
      <w:r>
        <w:rPr>
          <w:rStyle w:val="FootnoteReference"/>
          <w:szCs w:val="22"/>
        </w:rPr>
        <w:footnoteReference w:id="11"/>
      </w:r>
      <w:r w:rsidRPr="00F42ECB">
        <w:rPr>
          <w:szCs w:val="22"/>
        </w:rPr>
        <w:t xml:space="preserve">  Specifically, Petitioner states that (1) more than fifty percent of the proposed station’s principal community contour is over the boundaries of The Chickasaw Nation Tribal Lands;</w:t>
      </w:r>
      <w:r>
        <w:rPr>
          <w:rStyle w:val="FootnoteReference"/>
          <w:szCs w:val="22"/>
        </w:rPr>
        <w:footnoteReference w:id="12"/>
      </w:r>
      <w:r w:rsidRPr="00F42ECB">
        <w:rPr>
          <w:szCs w:val="22"/>
        </w:rPr>
        <w:t xml:space="preserve"> (2) Connerville, the proposed community of license, is located on The Chickasaw Nation Tribal Lands;</w:t>
      </w:r>
      <w:r>
        <w:rPr>
          <w:rStyle w:val="FootnoteReference"/>
          <w:szCs w:val="22"/>
        </w:rPr>
        <w:footnoteReference w:id="13"/>
      </w:r>
      <w:r w:rsidRPr="00F42ECB">
        <w:rPr>
          <w:szCs w:val="22"/>
        </w:rPr>
        <w:t xml:space="preserve"> and (3) the proposed facility will be the first local Tribal-owned commercial transmission service at Connerville.</w:t>
      </w:r>
      <w:r>
        <w:rPr>
          <w:rStyle w:val="FootnoteReference"/>
          <w:szCs w:val="22"/>
        </w:rPr>
        <w:footnoteReference w:id="14"/>
      </w:r>
      <w:r w:rsidRPr="00F42ECB">
        <w:rPr>
          <w:szCs w:val="22"/>
        </w:rPr>
        <w:t xml:space="preserve">  Petitioner further states that Connerville, Oklahoma, is a community for allotment purposes.</w:t>
      </w:r>
      <w:r>
        <w:rPr>
          <w:rStyle w:val="FootnoteReference"/>
          <w:szCs w:val="22"/>
        </w:rPr>
        <w:footnoteReference w:id="15"/>
      </w:r>
      <w:r w:rsidRPr="00F42ECB">
        <w:rPr>
          <w:szCs w:val="22"/>
        </w:rPr>
        <w:t xml:space="preserve">  Connerville is a census-designated place (CDP) in Oklahoma,</w:t>
      </w:r>
      <w:r>
        <w:rPr>
          <w:rStyle w:val="FootnoteReference"/>
          <w:szCs w:val="22"/>
        </w:rPr>
        <w:footnoteReference w:id="16"/>
      </w:r>
      <w:r w:rsidRPr="00F42ECB">
        <w:rPr>
          <w:szCs w:val="22"/>
        </w:rPr>
        <w:t xml:space="preserve"> with its own zip code,</w:t>
      </w:r>
      <w:r>
        <w:rPr>
          <w:rStyle w:val="FootnoteReference"/>
          <w:szCs w:val="22"/>
        </w:rPr>
        <w:footnoteReference w:id="17"/>
      </w:r>
      <w:r w:rsidRPr="00F42ECB">
        <w:rPr>
          <w:szCs w:val="22"/>
        </w:rPr>
        <w:t xml:space="preserve"> and post office.  Moreover, our independent research confirms that Connerville, as</w:t>
      </w:r>
      <w:r w:rsidR="00E128C8">
        <w:rPr>
          <w:szCs w:val="22"/>
        </w:rPr>
        <w:t xml:space="preserve"> a CDP, is a community for </w:t>
      </w:r>
      <w:r w:rsidR="00944FA1">
        <w:rPr>
          <w:szCs w:val="22"/>
        </w:rPr>
        <w:t>allo</w:t>
      </w:r>
      <w:r w:rsidRPr="00F42ECB" w:rsidR="00944FA1">
        <w:rPr>
          <w:szCs w:val="22"/>
        </w:rPr>
        <w:t>tment</w:t>
      </w:r>
      <w:r w:rsidRPr="00F42ECB">
        <w:rPr>
          <w:szCs w:val="22"/>
        </w:rPr>
        <w:t xml:space="preserve"> purposes.  </w:t>
      </w:r>
      <w:bookmarkStart w:id="0" w:name="_GoBack"/>
      <w:bookmarkEnd w:id="0"/>
    </w:p>
    <w:p w:rsidR="00EF2BEF" w:rsidRPr="00224B86" w:rsidP="00DE609C">
      <w:pPr>
        <w:pStyle w:val="ParaNum"/>
        <w:spacing w:after="220"/>
      </w:pPr>
      <w:r w:rsidRPr="007C63E5">
        <w:rPr>
          <w:rFonts w:ascii="Times New Roman Bold" w:hAnsi="Times New Roman Bold"/>
          <w:b/>
        </w:rPr>
        <w:t>Discussion.</w:t>
      </w:r>
      <w:r w:rsidRPr="007C63E5" w:rsidR="0006761E">
        <w:rPr>
          <w:b/>
        </w:rPr>
        <w:t xml:space="preserve">  </w:t>
      </w:r>
      <w:r w:rsidR="00DE609C">
        <w:rPr>
          <w:szCs w:val="22"/>
        </w:rPr>
        <w:t xml:space="preserve">We find that Petitioner’s proposal satisfies the requirements for a Tribal Allotment and the public interest will be served by the allotment of Channel 247A at Connerville, Oklahoma, as a Tribal Allotment.  </w:t>
      </w:r>
      <w:r w:rsidR="00883026">
        <w:t xml:space="preserve">The facts presented by Petitioner demonstrate that </w:t>
      </w:r>
      <w:r w:rsidR="0006761E">
        <w:t>allotting</w:t>
      </w:r>
      <w:r w:rsidR="00DE609C">
        <w:t xml:space="preserve"> </w:t>
      </w:r>
      <w:r w:rsidR="00DE609C">
        <w:rPr>
          <w:szCs w:val="22"/>
        </w:rPr>
        <w:t>Channel 247A at Connerville, Oklahoma</w:t>
      </w:r>
      <w:r w:rsidRPr="008D0AAC" w:rsidR="0006761E">
        <w:t>, as a Tribal Allotment</w:t>
      </w:r>
      <w:r w:rsidR="00883026">
        <w:t xml:space="preserve"> </w:t>
      </w:r>
      <w:r>
        <w:t xml:space="preserve">will serve the public interest by providing </w:t>
      </w:r>
      <w:r w:rsidR="00DE609C">
        <w:t xml:space="preserve">vital radio service to </w:t>
      </w:r>
      <w:r w:rsidR="00944FA1">
        <w:t>Connersville</w:t>
      </w:r>
      <w:r>
        <w:t xml:space="preserve"> an</w:t>
      </w:r>
      <w:r w:rsidR="00DE609C">
        <w:t xml:space="preserve">d to surrounding Chickasaw </w:t>
      </w:r>
      <w:r w:rsidR="00944FA1">
        <w:t>Nation</w:t>
      </w:r>
      <w:r w:rsidR="00DE609C">
        <w:t xml:space="preserve"> Tribal</w:t>
      </w:r>
      <w:r>
        <w:t xml:space="preserve"> Lands and by enabling the Petitioner to set its own communications priorities and goals with</w:t>
      </w:r>
      <w:r w:rsidR="00C30348">
        <w:t xml:space="preserve"> respect to this new service.  The </w:t>
      </w:r>
      <w:r>
        <w:t>allotment</w:t>
      </w:r>
      <w:r w:rsidR="00C17B47">
        <w:t xml:space="preserve"> </w:t>
      </w:r>
      <w:r>
        <w:t>will</w:t>
      </w:r>
      <w:r w:rsidR="00C30348">
        <w:t xml:space="preserve"> also</w:t>
      </w:r>
      <w:r>
        <w:t xml:space="preserve"> further the public interest by providing a first local Tribal-owned </w:t>
      </w:r>
      <w:r w:rsidR="00F02117">
        <w:t>transmission service at Connerville, Oklahoma</w:t>
      </w:r>
      <w:r>
        <w:t>.  A staff engineering analysis confirms that Channel</w:t>
      </w:r>
      <w:r w:rsidR="009E5BDE">
        <w:t xml:space="preserve"> 247A</w:t>
      </w:r>
      <w:r>
        <w:t xml:space="preserve"> can be allotted to </w:t>
      </w:r>
      <w:r w:rsidR="009E5BDE">
        <w:t>Connerville</w:t>
      </w:r>
      <w:r>
        <w:t xml:space="preserve"> consistent with the minimum distance separation requirements of the Commission’s rules with a site restriction</w:t>
      </w:r>
      <w:r w:rsidR="009E5BDE">
        <w:t xml:space="preserve"> of 9</w:t>
      </w:r>
      <w:r w:rsidR="00C30348">
        <w:t>.4</w:t>
      </w:r>
      <w:r w:rsidR="009E5BDE">
        <w:t>0</w:t>
      </w:r>
      <w:r w:rsidR="00C30348">
        <w:t xml:space="preserve"> km </w:t>
      </w:r>
      <w:r w:rsidR="009E5BDE">
        <w:t>(5.84 miles) south</w:t>
      </w:r>
      <w:r>
        <w:t>west of the community</w:t>
      </w:r>
      <w:r w:rsidR="00C30348">
        <w:t xml:space="preserve"> </w:t>
      </w:r>
      <w:r w:rsidR="009E5BDE">
        <w:t>at reference coordinates 34-</w:t>
      </w:r>
      <w:r w:rsidR="009F4305">
        <w:t>25</w:t>
      </w:r>
      <w:r w:rsidR="009E5BDE">
        <w:t>-</w:t>
      </w:r>
      <w:r w:rsidR="009F4305">
        <w:t>0</w:t>
      </w:r>
      <w:r w:rsidR="009E5BDE">
        <w:t xml:space="preserve"> NL and 96-</w:t>
      </w:r>
      <w:r w:rsidR="009F4305">
        <w:t>43</w:t>
      </w:r>
      <w:r w:rsidR="009E5BDE">
        <w:t>-</w:t>
      </w:r>
      <w:r w:rsidR="009F4305">
        <w:t>53</w:t>
      </w:r>
      <w:r>
        <w:t xml:space="preserve"> WL.    </w:t>
      </w:r>
    </w:p>
    <w:p w:rsidR="001E0348" w:rsidP="008D462E">
      <w:pPr>
        <w:pStyle w:val="ParaNum"/>
        <w:spacing w:after="220"/>
      </w:pPr>
      <w:r>
        <w:rPr>
          <w:b/>
        </w:rPr>
        <w:t xml:space="preserve">Conclusion.  </w:t>
      </w:r>
      <w:r>
        <w:t xml:space="preserve">Accordingly, IT </w:t>
      </w:r>
      <w:r w:rsidR="008D462E">
        <w:t xml:space="preserve">IS ORDERED, </w:t>
      </w:r>
      <w:r w:rsidR="001846AE">
        <w:t>t</w:t>
      </w:r>
      <w:r>
        <w:t xml:space="preserve">hat </w:t>
      </w:r>
      <w:r w:rsidRPr="00662BA7">
        <w:t xml:space="preserve">effective </w:t>
      </w:r>
      <w:r w:rsidR="00672F21">
        <w:t>August 20, 2018</w:t>
      </w:r>
      <w:r w:rsidRPr="00662BA7">
        <w:t>, the</w:t>
      </w:r>
      <w:r>
        <w:t xml:space="preserve"> FM Table of Allotments, 47 CFR Section 73.202(b), IS AMENDED as follows:</w:t>
      </w:r>
    </w:p>
    <w:p w:rsidR="00764504" w:rsidP="001E0348">
      <w:pPr>
        <w:widowControl/>
      </w:pPr>
      <w:r>
        <w:br w:type="page"/>
      </w:r>
    </w:p>
    <w:p w:rsidR="00EF2BEF" w:rsidP="000A31AC">
      <w:pPr>
        <w:widowControl/>
        <w:ind w:left="720" w:firstLine="720"/>
        <w:rPr>
          <w:szCs w:val="22"/>
          <w:u w:val="single"/>
        </w:rPr>
      </w:pPr>
      <w:r>
        <w:rPr>
          <w:szCs w:val="22"/>
          <w:u w:val="words"/>
        </w:rPr>
        <w:t>Community</w:t>
      </w:r>
      <w:r>
        <w:rPr>
          <w:szCs w:val="22"/>
          <w:u w:val="words"/>
        </w:rPr>
        <w:tab/>
      </w:r>
      <w:r>
        <w:rPr>
          <w:szCs w:val="22"/>
          <w:u w:val="words"/>
        </w:rPr>
        <w:tab/>
      </w:r>
      <w:r>
        <w:rPr>
          <w:szCs w:val="22"/>
          <w:u w:val="words"/>
        </w:rPr>
        <w:tab/>
      </w:r>
      <w:r>
        <w:rPr>
          <w:szCs w:val="22"/>
          <w:u w:val="words"/>
        </w:rPr>
        <w:tab/>
      </w:r>
      <w:r>
        <w:rPr>
          <w:szCs w:val="22"/>
          <w:u w:val="single"/>
        </w:rPr>
        <w:t>Channel Number</w:t>
      </w:r>
    </w:p>
    <w:p w:rsidR="000A31AC" w:rsidRPr="000A31AC" w:rsidP="000A31AC">
      <w:pPr>
        <w:widowControl/>
        <w:ind w:firstLine="720"/>
      </w:pPr>
    </w:p>
    <w:p w:rsidR="00EF2BEF" w:rsidRPr="00224B86" w:rsidP="00224B86">
      <w:pPr>
        <w:tabs>
          <w:tab w:val="left" w:pos="-720"/>
          <w:tab w:val="left" w:pos="360"/>
          <w:tab w:val="left" w:pos="720"/>
        </w:tabs>
        <w:suppressAutoHyphens/>
        <w:spacing w:after="220" w:line="225" w:lineRule="auto"/>
        <w:rPr>
          <w:szCs w:val="22"/>
        </w:rPr>
      </w:pPr>
      <w:r>
        <w:rPr>
          <w:szCs w:val="22"/>
        </w:rPr>
        <w:tab/>
      </w:r>
      <w:r>
        <w:rPr>
          <w:szCs w:val="22"/>
        </w:rPr>
        <w:tab/>
      </w:r>
      <w:r w:rsidR="000A31AC">
        <w:rPr>
          <w:szCs w:val="22"/>
        </w:rPr>
        <w:tab/>
      </w:r>
      <w:r w:rsidR="008D462E">
        <w:rPr>
          <w:szCs w:val="22"/>
        </w:rPr>
        <w:t>Connerville, Oklahoma</w:t>
      </w:r>
      <w:r>
        <w:rPr>
          <w:szCs w:val="22"/>
        </w:rPr>
        <w:tab/>
      </w:r>
      <w:r>
        <w:rPr>
          <w:szCs w:val="22"/>
        </w:rPr>
        <w:tab/>
      </w:r>
      <w:r>
        <w:rPr>
          <w:szCs w:val="22"/>
        </w:rPr>
        <w:tab/>
        <w:t>2</w:t>
      </w:r>
      <w:r w:rsidR="008D462E">
        <w:rPr>
          <w:szCs w:val="22"/>
        </w:rPr>
        <w:t>47A</w:t>
      </w:r>
      <w:r>
        <w:rPr>
          <w:rStyle w:val="FootnoteReference"/>
          <w:szCs w:val="22"/>
        </w:rPr>
        <w:footnoteReference w:id="18"/>
      </w:r>
      <w:r>
        <w:rPr>
          <w:szCs w:val="22"/>
        </w:rPr>
        <w:tab/>
      </w:r>
      <w:bookmarkStart w:id="1" w:name="SR;876"/>
      <w:bookmarkEnd w:id="1"/>
    </w:p>
    <w:p w:rsidR="00EF2BEF" w:rsidP="00224B86">
      <w:pPr>
        <w:pStyle w:val="ParaNum"/>
        <w:spacing w:after="220"/>
      </w:pPr>
      <w:r>
        <w:t xml:space="preserve">The Commission will send a copy of this </w:t>
      </w:r>
      <w:r>
        <w:rPr>
          <w:i/>
        </w:rPr>
        <w:t>Report and Order</w:t>
      </w:r>
      <w:r>
        <w:t xml:space="preserve"> in a report to Congress and the </w:t>
      </w:r>
      <w:r>
        <w:rPr>
          <w:rStyle w:val="Strong"/>
          <w:b w:val="0"/>
          <w:color w:val="000000"/>
        </w:rPr>
        <w:t>Government Accountability Office</w:t>
      </w:r>
      <w:r>
        <w:t xml:space="preserve"> pursuant to the Congressional Review Act.</w:t>
      </w:r>
      <w:r>
        <w:rPr>
          <w:rStyle w:val="FootnoteReference"/>
          <w:color w:val="000000"/>
        </w:rPr>
        <w:footnoteReference w:id="19"/>
      </w:r>
      <w:r>
        <w:t xml:space="preserve">  The Commission will release </w:t>
      </w:r>
      <w:r>
        <w:t>in the near future</w:t>
      </w:r>
      <w:r>
        <w:t xml:space="preserve"> a public notice announcing a Threshold Qualifications Window.  Any qualifying applicant may file an FCC Form 301 for this channel during the window.</w:t>
      </w:r>
      <w:r>
        <w:rPr>
          <w:rStyle w:val="FootnoteReference"/>
          <w:color w:val="000000"/>
        </w:rPr>
        <w:footnoteReference w:id="20"/>
      </w:r>
    </w:p>
    <w:p w:rsidR="00224B86" w:rsidP="00B2090D">
      <w:pPr>
        <w:pStyle w:val="ParaNum"/>
        <w:spacing w:after="220"/>
      </w:pPr>
      <w:r>
        <w:t>IT IS FURTHER ORDERED, that this proceeding IS TERMINATED.</w:t>
      </w:r>
    </w:p>
    <w:p w:rsidR="00EF2BEF" w:rsidP="00224B86">
      <w:pPr>
        <w:pStyle w:val="ParaNum"/>
        <w:spacing w:after="220"/>
      </w:pPr>
      <w:r>
        <w:t xml:space="preserve">For further information concerning this proceeding, contact Adrienne Y. Denysyk, Media Bureau, (202) 418-2700.  </w:t>
      </w:r>
    </w:p>
    <w:p w:rsidR="00EF2BEF" w:rsidP="00EF2BEF">
      <w:pPr>
        <w:pStyle w:val="BodyText2"/>
        <w:tabs>
          <w:tab w:val="left" w:pos="360"/>
          <w:tab w:val="left" w:pos="720"/>
        </w:tabs>
        <w:spacing w:after="120"/>
        <w:rPr>
          <w:sz w:val="22"/>
          <w:szCs w:val="22"/>
        </w:rPr>
      </w:pPr>
    </w:p>
    <w:p w:rsidR="00EF2BEF" w:rsidP="00EF2BEF">
      <w:pPr>
        <w:pStyle w:val="BodyText2"/>
        <w:tabs>
          <w:tab w:val="left" w:pos="360"/>
          <w:tab w:val="left" w:pos="720"/>
        </w:tabs>
        <w:rPr>
          <w:sz w:val="22"/>
          <w:szCs w:val="22"/>
        </w:rPr>
      </w:pPr>
      <w:r>
        <w:rPr>
          <w:sz w:val="22"/>
          <w:szCs w:val="22"/>
        </w:rPr>
        <w:tab/>
      </w:r>
    </w:p>
    <w:p w:rsidR="00EF2BEF" w:rsidP="00EF2BEF">
      <w:pPr>
        <w:pStyle w:val="BodyText2"/>
        <w:tabs>
          <w:tab w:val="left" w:pos="360"/>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FEDERAL COMMUNICATIONS COMMISSION</w:t>
      </w:r>
    </w:p>
    <w:p w:rsidR="00EF2BEF" w:rsidP="00EF2BEF">
      <w:pPr>
        <w:pStyle w:val="BodyText2"/>
        <w:tabs>
          <w:tab w:val="left" w:pos="360"/>
          <w:tab w:val="left" w:pos="720"/>
        </w:tabs>
        <w:rPr>
          <w:sz w:val="22"/>
          <w:szCs w:val="22"/>
        </w:rPr>
      </w:pPr>
    </w:p>
    <w:p w:rsidR="00EF2BEF" w:rsidP="00EF2BEF">
      <w:pPr>
        <w:pStyle w:val="BodyText2"/>
        <w:tabs>
          <w:tab w:val="left" w:pos="360"/>
          <w:tab w:val="left" w:pos="720"/>
        </w:tabs>
        <w:rPr>
          <w:sz w:val="22"/>
          <w:szCs w:val="22"/>
        </w:rPr>
      </w:pPr>
    </w:p>
    <w:p w:rsidR="00EF2BEF" w:rsidP="00EF2BEF">
      <w:pPr>
        <w:pStyle w:val="BodyText2"/>
        <w:tabs>
          <w:tab w:val="left" w:pos="360"/>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F2BEF" w:rsidP="00EF2BEF">
      <w:pPr>
        <w:pStyle w:val="BodyText2"/>
        <w:tabs>
          <w:tab w:val="left" w:pos="360"/>
          <w:tab w:val="left" w:pos="720"/>
        </w:tabs>
        <w:rPr>
          <w:sz w:val="22"/>
          <w:szCs w:val="22"/>
        </w:rPr>
      </w:pPr>
    </w:p>
    <w:p w:rsidR="00EF2BEF" w:rsidP="00EF2BEF">
      <w:pPr>
        <w:pStyle w:val="BodyText2"/>
        <w:tabs>
          <w:tab w:val="left" w:pos="360"/>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Nazifa Sawez</w:t>
      </w:r>
    </w:p>
    <w:p w:rsidR="00EF2BEF" w:rsidP="00EF2BEF">
      <w:pPr>
        <w:pStyle w:val="BodyText2"/>
        <w:tabs>
          <w:tab w:val="left" w:pos="360"/>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Assistant Chief</w:t>
      </w:r>
    </w:p>
    <w:p w:rsidR="00EF2BEF" w:rsidP="00EF2BEF">
      <w:pPr>
        <w:pStyle w:val="BodyText2"/>
        <w:tabs>
          <w:tab w:val="left" w:pos="360"/>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Audio Division</w:t>
      </w:r>
    </w:p>
    <w:p w:rsidR="00EF2BEF" w:rsidP="00EF2BEF">
      <w:pPr>
        <w:pStyle w:val="BodyText2"/>
        <w:tabs>
          <w:tab w:val="left" w:pos="360"/>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Media Bureau</w:t>
      </w:r>
    </w:p>
    <w:p w:rsidR="002C00E8" w:rsidRPr="002C00E8" w:rsidP="00224B86">
      <w:pPr>
        <w:pStyle w:val="ParaNum"/>
        <w:numPr>
          <w:ilvl w:val="0"/>
          <w:numId w:val="0"/>
        </w:numPr>
        <w:ind w:left="720"/>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B47" w:rsidP="0055614C">
    <w:pPr>
      <w:pStyle w:val="Footer"/>
      <w:framePr w:wrap="around" w:vAnchor="text" w:hAnchor="margin" w:xAlign="center" w:y="1"/>
    </w:pPr>
    <w:r>
      <w:fldChar w:fldCharType="begin"/>
    </w:r>
    <w:r>
      <w:instrText xml:space="preserve">PAGE  </w:instrText>
    </w:r>
    <w:r>
      <w:fldChar w:fldCharType="separate"/>
    </w:r>
    <w:r>
      <w:fldChar w:fldCharType="end"/>
    </w:r>
  </w:p>
  <w:p w:rsidR="00C17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B47"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C17B4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B4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6ABE">
      <w:r>
        <w:separator/>
      </w:r>
    </w:p>
  </w:footnote>
  <w:footnote w:type="continuationSeparator" w:id="1">
    <w:p w:rsidR="00446ABE" w:rsidP="00C721AC">
      <w:pPr>
        <w:spacing w:before="120"/>
        <w:rPr>
          <w:sz w:val="20"/>
        </w:rPr>
      </w:pPr>
      <w:r>
        <w:rPr>
          <w:sz w:val="20"/>
        </w:rPr>
        <w:t xml:space="preserve">(Continued from previous page)  </w:t>
      </w:r>
      <w:r>
        <w:rPr>
          <w:sz w:val="20"/>
        </w:rPr>
        <w:separator/>
      </w:r>
    </w:p>
  </w:footnote>
  <w:footnote w:type="continuationNotice" w:id="2">
    <w:p w:rsidR="00446ABE" w:rsidP="00C721AC">
      <w:pPr>
        <w:jc w:val="right"/>
        <w:rPr>
          <w:sz w:val="20"/>
        </w:rPr>
      </w:pPr>
      <w:r>
        <w:rPr>
          <w:sz w:val="20"/>
        </w:rPr>
        <w:t>(continued….)</w:t>
      </w:r>
    </w:p>
  </w:footnote>
  <w:footnote w:id="3">
    <w:p w:rsidR="00C17B47" w:rsidRPr="00F72893" w:rsidP="00EF2BEF">
      <w:pPr>
        <w:pStyle w:val="FootnoteText"/>
      </w:pPr>
      <w:r w:rsidRPr="006F01CE">
        <w:rPr>
          <w:rStyle w:val="FootnoteReference"/>
        </w:rPr>
        <w:footnoteRef/>
      </w:r>
      <w:r w:rsidRPr="006F01CE">
        <w:t xml:space="preserve"> </w:t>
      </w:r>
      <w:r w:rsidR="00CF4C6B">
        <w:rPr>
          <w:i/>
        </w:rPr>
        <w:t>Connerville, Oklahoma</w:t>
      </w:r>
      <w:r w:rsidRPr="006F01CE">
        <w:t>, No</w:t>
      </w:r>
      <w:r w:rsidR="00CF4C6B">
        <w:t>tice of Proposed Rule Making</w:t>
      </w:r>
      <w:r w:rsidRPr="00F72893" w:rsidR="00CF4C6B">
        <w:t xml:space="preserve">, </w:t>
      </w:r>
      <w:r w:rsidRPr="00F72893" w:rsidR="00685F26">
        <w:t>33</w:t>
      </w:r>
      <w:r w:rsidRPr="00F72893" w:rsidR="00CF4C6B">
        <w:t xml:space="preserve"> FCC </w:t>
      </w:r>
      <w:r w:rsidRPr="00F72893" w:rsidR="00CF4C6B">
        <w:t>Rcd</w:t>
      </w:r>
      <w:r w:rsidRPr="00F72893" w:rsidR="00CF4C6B">
        <w:t xml:space="preserve"> </w:t>
      </w:r>
      <w:r w:rsidRPr="00F72893" w:rsidR="00685F26">
        <w:t>1778</w:t>
      </w:r>
      <w:r w:rsidRPr="00F72893" w:rsidR="00CF4C6B">
        <w:t xml:space="preserve"> (MB 2018</w:t>
      </w:r>
      <w:r w:rsidRPr="00F72893">
        <w:t>)</w:t>
      </w:r>
      <w:r w:rsidRPr="00F72893" w:rsidR="009F4305">
        <w:t xml:space="preserve"> (</w:t>
      </w:r>
      <w:r w:rsidRPr="00F72893" w:rsidR="009F4305">
        <w:rPr>
          <w:i/>
        </w:rPr>
        <w:t>Notice</w:t>
      </w:r>
      <w:r w:rsidRPr="00F72893" w:rsidR="009F4305">
        <w:t>)</w:t>
      </w:r>
      <w:r w:rsidRPr="00F72893">
        <w:t>.</w:t>
      </w:r>
    </w:p>
  </w:footnote>
  <w:footnote w:id="4">
    <w:p w:rsidR="00C17B47" w:rsidRPr="006F01CE" w:rsidP="00EF2BEF">
      <w:pPr>
        <w:pStyle w:val="FootnoteText"/>
      </w:pPr>
      <w:r w:rsidRPr="00F72893">
        <w:rPr>
          <w:rStyle w:val="FootnoteReference"/>
        </w:rPr>
        <w:footnoteRef/>
      </w:r>
      <w:r w:rsidRPr="00F72893">
        <w:t xml:space="preserve"> 47 CFR § 73.202(b).</w:t>
      </w:r>
    </w:p>
  </w:footnote>
  <w:footnote w:id="5">
    <w:p w:rsidR="00C17B47" w:rsidP="00EF2BEF">
      <w:pPr>
        <w:pStyle w:val="FootnoteText"/>
      </w:pPr>
      <w:r w:rsidRPr="006F01CE">
        <w:rPr>
          <w:rStyle w:val="FootnoteReference"/>
        </w:rPr>
        <w:footnoteRef/>
      </w:r>
      <w:r>
        <w:t xml:space="preserve"> Petitioner filed an associated FCC Form 301 application</w:t>
      </w:r>
      <w:r w:rsidR="00CF4C6B">
        <w:t>.  FCC File No. BNPH-20171201AMM</w:t>
      </w:r>
      <w:r>
        <w:t>.</w:t>
      </w:r>
    </w:p>
  </w:footnote>
  <w:footnote w:id="6">
    <w:p w:rsidR="00C010B0">
      <w:pPr>
        <w:pStyle w:val="FootnoteText"/>
      </w:pPr>
      <w:r>
        <w:rPr>
          <w:rStyle w:val="FootnoteReference"/>
        </w:rPr>
        <w:footnoteRef/>
      </w:r>
      <w:r>
        <w:t xml:space="preserve"> </w:t>
      </w:r>
      <w:r w:rsidR="00C75F81">
        <w:t>Petitioner</w:t>
      </w:r>
      <w:r>
        <w:t xml:space="preserve"> filed comments on April </w:t>
      </w:r>
      <w:r w:rsidR="00F02117">
        <w:t>9, 2018.</w:t>
      </w:r>
    </w:p>
  </w:footnote>
  <w:footnote w:id="7">
    <w:p w:rsidR="00C17B47" w:rsidP="00EF2BEF">
      <w:pPr>
        <w:pStyle w:val="FootnoteText"/>
      </w:pPr>
      <w:r>
        <w:rPr>
          <w:rStyle w:val="FootnoteReference"/>
        </w:rPr>
        <w:footnoteRef/>
      </w:r>
      <w:r>
        <w:t xml:space="preserve"> </w:t>
      </w:r>
      <w:r>
        <w:rPr>
          <w:i/>
        </w:rPr>
        <w:t>Policies to Promote Rural Radio Service and to Streamline Allotment and Assignment Procedures</w:t>
      </w:r>
      <w:r>
        <w:t xml:space="preserve">, Notice of Proposed Rule Making, 24 FCC </w:t>
      </w:r>
      <w:r>
        <w:t>Rcd</w:t>
      </w:r>
      <w:r>
        <w:t xml:space="preserve"> 5239 (2009) (</w:t>
      </w:r>
      <w:r w:rsidRPr="00803F51">
        <w:rPr>
          <w:i/>
        </w:rPr>
        <w:t>NPRM</w:t>
      </w:r>
      <w:r>
        <w:t xml:space="preserve">); First Report and Order, 25 FCC </w:t>
      </w:r>
      <w:r>
        <w:t>Rcd</w:t>
      </w:r>
      <w:r>
        <w:t xml:space="preserve"> 1583 (2010) (</w:t>
      </w:r>
      <w:r w:rsidRPr="00803F51">
        <w:rPr>
          <w:i/>
        </w:rPr>
        <w:t>First R&amp;O</w:t>
      </w:r>
      <w:r>
        <w:t xml:space="preserve">); Second Report and Order, 26 FCC </w:t>
      </w:r>
      <w:r>
        <w:t>Rcd</w:t>
      </w:r>
      <w:r>
        <w:t xml:space="preserve"> 2556 (2011) (</w:t>
      </w:r>
      <w:r w:rsidRPr="00803F51">
        <w:rPr>
          <w:i/>
        </w:rPr>
        <w:t>Second R&amp;O</w:t>
      </w:r>
      <w:r w:rsidR="00F72893">
        <w:t xml:space="preserve">); </w:t>
      </w:r>
      <w:r w:rsidRPr="00F72893">
        <w:rPr>
          <w:i/>
        </w:rPr>
        <w:t>Third Report and Order</w:t>
      </w:r>
      <w:r>
        <w:t xml:space="preserve">, 26 FCC </w:t>
      </w:r>
      <w:r>
        <w:t>Rcd</w:t>
      </w:r>
      <w:r>
        <w:t xml:space="preserve"> 17642 (2011) (</w:t>
      </w:r>
      <w:r w:rsidRPr="00803F51">
        <w:rPr>
          <w:i/>
        </w:rPr>
        <w:t>Third R&amp;O</w:t>
      </w:r>
      <w:r>
        <w:t xml:space="preserve">) (collectively, </w:t>
      </w:r>
      <w:r>
        <w:rPr>
          <w:i/>
        </w:rPr>
        <w:t>Rural Radio</w:t>
      </w:r>
      <w:r>
        <w:t>).</w:t>
      </w:r>
    </w:p>
  </w:footnote>
  <w:footnote w:id="8">
    <w:p w:rsidR="00C17B47" w:rsidP="00EF2BEF">
      <w:pPr>
        <w:pStyle w:val="FootnoteText"/>
      </w:pPr>
      <w:r>
        <w:rPr>
          <w:rStyle w:val="FootnoteReference"/>
        </w:rPr>
        <w:footnoteRef/>
      </w:r>
      <w:r>
        <w:t xml:space="preserve"> </w:t>
      </w:r>
      <w:r w:rsidRPr="00F72893">
        <w:rPr>
          <w:i/>
        </w:rPr>
        <w:t>First R&amp;O</w:t>
      </w:r>
      <w:r>
        <w:t xml:space="preserve">, 25 FCC </w:t>
      </w:r>
      <w:r>
        <w:t>Rcd</w:t>
      </w:r>
      <w:r>
        <w:t xml:space="preserve"> at 1596-97; </w:t>
      </w:r>
      <w:r w:rsidRPr="00F72893">
        <w:rPr>
          <w:i/>
        </w:rPr>
        <w:t>NPRM</w:t>
      </w:r>
      <w:r>
        <w:t xml:space="preserve">, 24 FCC </w:t>
      </w:r>
      <w:r>
        <w:t>Rcd</w:t>
      </w:r>
      <w:r>
        <w:t xml:space="preserve"> at 5248, n.29 (defining “Indian Tribe[s]” and “Federally-Recognized Indian Tribes”), and n.30 (defining “Tribal Lands”).</w:t>
      </w:r>
    </w:p>
  </w:footnote>
  <w:footnote w:id="9">
    <w:p w:rsidR="00C17B47" w:rsidRPr="00962068" w:rsidP="00EF2BEF">
      <w:pPr>
        <w:pStyle w:val="FootnoteText"/>
      </w:pPr>
      <w:r w:rsidRPr="00962068">
        <w:rPr>
          <w:rStyle w:val="FootnoteReference"/>
        </w:rPr>
        <w:footnoteRef/>
      </w:r>
      <w:r w:rsidRPr="00962068">
        <w:t xml:space="preserve"> </w:t>
      </w:r>
      <w:r w:rsidRPr="00962068" w:rsidR="00D802B5">
        <w:t xml:space="preserve">In order to satisfy the prerequisites for a Tribal Allotment, the following </w:t>
      </w:r>
      <w:r w:rsidR="00D802B5">
        <w:t xml:space="preserve">eligibility criteria </w:t>
      </w:r>
      <w:r w:rsidRPr="00962068" w:rsidR="00D802B5">
        <w:t>must be met: “(A) The applicant is either a federally recognized Tribe or Tribal consortium, or an entity 51 percent or more of which is owned or controlled by a Tribe or Tribes</w:t>
      </w:r>
      <w:r w:rsidR="00D802B5">
        <w:t xml:space="preserve"> . . . </w:t>
      </w:r>
      <w:r w:rsidRPr="00962068" w:rsidR="00D802B5">
        <w:t>;</w:t>
      </w:r>
      <w:r w:rsidR="00D802B5">
        <w:t xml:space="preserve"> </w:t>
      </w:r>
      <w:r w:rsidRPr="00962068" w:rsidR="00D802B5">
        <w:t>(B)(1) At least 50 percent of the area within the proposed principal community contour is over that Tribe’s Tribal Lands, or (2) the proposed principal community contour (a) encompasses 50 percent or more of that Tribe’s Tribal Lands, (b) serves at least 2,000 people living on Tribal Lands, and (c) the total population on Tribal Lands residing within the proposed station’s service contour constitutes at least 50 percent of the total covered population</w:t>
      </w:r>
      <w:r w:rsidR="00D802B5">
        <w:t xml:space="preserve"> . . . </w:t>
      </w:r>
      <w:r w:rsidRPr="00962068" w:rsidR="00D802B5">
        <w:t>; (C) The proposed community of license must be located on Tribal Lands; and (D) The proposed service must constitute first or second aural (reception) service, or first local Tribal-owned commercial transmission service at the p</w:t>
      </w:r>
      <w:r w:rsidR="00D802B5">
        <w:t xml:space="preserve">roposed community of license.” </w:t>
      </w:r>
      <w:r>
        <w:t>(</w:t>
      </w:r>
      <w:r w:rsidRPr="00D95E23">
        <w:t xml:space="preserve">Tribal </w:t>
      </w:r>
      <w:r>
        <w:t>Allotment</w:t>
      </w:r>
      <w:r w:rsidRPr="00D95E23">
        <w:t xml:space="preserve"> </w:t>
      </w:r>
      <w:r>
        <w:t xml:space="preserve">Criteria).  </w:t>
      </w:r>
      <w:r w:rsidRPr="006471AD">
        <w:rPr>
          <w:i/>
        </w:rPr>
        <w:t>Third R&amp;O</w:t>
      </w:r>
      <w:r w:rsidRPr="00962068">
        <w:t xml:space="preserve">, 26 FCC </w:t>
      </w:r>
      <w:r w:rsidRPr="00962068">
        <w:t>Rcd</w:t>
      </w:r>
      <w:r w:rsidRPr="00962068">
        <w:t xml:space="preserve"> at 17646-47</w:t>
      </w:r>
      <w:r>
        <w:t>, para. 8</w:t>
      </w:r>
      <w:r w:rsidRPr="00962068">
        <w:t xml:space="preserve">.  </w:t>
      </w:r>
      <w:r w:rsidRPr="00962068">
        <w:rPr>
          <w:i/>
        </w:rPr>
        <w:t>See also</w:t>
      </w:r>
      <w:r w:rsidRPr="00962068">
        <w:t xml:space="preserve"> </w:t>
      </w:r>
      <w:r w:rsidRPr="006471AD">
        <w:rPr>
          <w:i/>
        </w:rPr>
        <w:t>First R&amp;O</w:t>
      </w:r>
      <w:r w:rsidRPr="00962068">
        <w:t xml:space="preserve">, 25 FCC </w:t>
      </w:r>
      <w:r w:rsidRPr="00962068">
        <w:t>Rcd</w:t>
      </w:r>
      <w:r w:rsidRPr="00962068">
        <w:t xml:space="preserve"> at 1596-97</w:t>
      </w:r>
      <w:r>
        <w:t>, paras. 26-27</w:t>
      </w:r>
      <w:r w:rsidRPr="00962068">
        <w:t xml:space="preserve">; </w:t>
      </w:r>
      <w:r w:rsidRPr="006471AD">
        <w:rPr>
          <w:i/>
        </w:rPr>
        <w:t>Second R&amp;O</w:t>
      </w:r>
      <w:r w:rsidRPr="00962068">
        <w:t xml:space="preserve">, 26 FCC </w:t>
      </w:r>
      <w:r w:rsidRPr="00962068">
        <w:t>Rcd</w:t>
      </w:r>
      <w:r w:rsidRPr="00962068">
        <w:t xml:space="preserve"> at 25</w:t>
      </w:r>
      <w:r>
        <w:t>61-63, 2586-87, paras. 9-11, 59; 47 CFR § 73.3573, Note 5.</w:t>
      </w:r>
    </w:p>
  </w:footnote>
  <w:footnote w:id="10">
    <w:p w:rsidR="00CF4C6B" w:rsidP="00CF4C6B">
      <w:pPr>
        <w:pStyle w:val="FootnoteText"/>
      </w:pPr>
      <w:r>
        <w:rPr>
          <w:rStyle w:val="FootnoteReference"/>
        </w:rPr>
        <w:footnoteRef/>
      </w:r>
      <w:r>
        <w:t xml:space="preserve"> </w:t>
      </w:r>
      <w:r w:rsidR="00F42ECB">
        <w:t>Petition at 1 (filed D</w:t>
      </w:r>
      <w:r w:rsidR="00F05D07">
        <w:t>ecember 1, 2017)</w:t>
      </w:r>
      <w:r w:rsidR="00F42ECB">
        <w:t>.</w:t>
      </w:r>
    </w:p>
  </w:footnote>
  <w:footnote w:id="11">
    <w:p w:rsidR="00CF4C6B" w:rsidP="00CF4C6B">
      <w:pPr>
        <w:pStyle w:val="FootnoteText"/>
      </w:pPr>
      <w:r>
        <w:rPr>
          <w:rStyle w:val="FootnoteReference"/>
        </w:rPr>
        <w:footnoteRef/>
      </w:r>
      <w:r>
        <w:t xml:space="preserve">  </w:t>
      </w:r>
      <w:r w:rsidRPr="00F72893">
        <w:rPr>
          <w:i/>
        </w:rPr>
        <w:t>Third R&amp;O</w:t>
      </w:r>
      <w:r>
        <w:t xml:space="preserve">, 26 FCC </w:t>
      </w:r>
      <w:r>
        <w:t>Rcd</w:t>
      </w:r>
      <w:r>
        <w:t xml:space="preserve"> at 17646-47</w:t>
      </w:r>
      <w:r w:rsidR="0006350B">
        <w:t>;</w:t>
      </w:r>
      <w:r>
        <w:t xml:space="preserve"> </w:t>
      </w:r>
      <w:r w:rsidRPr="00F72893">
        <w:rPr>
          <w:i/>
        </w:rPr>
        <w:t>First R&amp;O</w:t>
      </w:r>
      <w:r w:rsidR="0006350B">
        <w:t xml:space="preserve">, 25 FCC </w:t>
      </w:r>
      <w:r w:rsidR="0006350B">
        <w:t>Rcd</w:t>
      </w:r>
      <w:r w:rsidR="0006350B">
        <w:t xml:space="preserve"> at 1596-97; </w:t>
      </w:r>
      <w:r w:rsidRPr="0006350B">
        <w:rPr>
          <w:i/>
        </w:rPr>
        <w:t>Second R&amp;O</w:t>
      </w:r>
      <w:r>
        <w:t xml:space="preserve">, 26 FCC </w:t>
      </w:r>
      <w:r>
        <w:t>Rcd</w:t>
      </w:r>
      <w:r>
        <w:t xml:space="preserve"> at 2585-87.</w:t>
      </w:r>
    </w:p>
  </w:footnote>
  <w:footnote w:id="12">
    <w:p w:rsidR="00F42ECB" w:rsidP="00F42ECB">
      <w:pPr>
        <w:pStyle w:val="FootnoteText"/>
      </w:pPr>
      <w:r>
        <w:rPr>
          <w:rStyle w:val="FootnoteReference"/>
        </w:rPr>
        <w:footnoteRef/>
      </w:r>
      <w:r>
        <w:t xml:space="preserve"> 93 percent of the area within the proposed station’s principle community contour is over The Chickasaw Nation Tribal Lands.  Petition at Attachment B.</w:t>
      </w:r>
    </w:p>
  </w:footnote>
  <w:footnote w:id="13">
    <w:p w:rsidR="00F42ECB" w:rsidP="00F42ECB">
      <w:pPr>
        <w:pStyle w:val="FootnoteText"/>
      </w:pPr>
      <w:r>
        <w:rPr>
          <w:rStyle w:val="FootnoteReference"/>
        </w:rPr>
        <w:footnoteRef/>
      </w:r>
      <w:r>
        <w:t xml:space="preserve"> </w:t>
      </w:r>
      <w:r>
        <w:rPr>
          <w:i/>
        </w:rPr>
        <w:t>Id.</w:t>
      </w:r>
    </w:p>
  </w:footnote>
  <w:footnote w:id="14">
    <w:p w:rsidR="00F42ECB" w:rsidP="00F42ECB">
      <w:pPr>
        <w:pStyle w:val="FootnoteText"/>
      </w:pPr>
      <w:r>
        <w:rPr>
          <w:rStyle w:val="FootnoteReference"/>
        </w:rPr>
        <w:footnoteRef/>
      </w:r>
      <w:r>
        <w:t xml:space="preserve"> Petition at 1.</w:t>
      </w:r>
    </w:p>
  </w:footnote>
  <w:footnote w:id="15">
    <w:p w:rsidR="00F42ECB" w:rsidP="00F42ECB">
      <w:pPr>
        <w:pStyle w:val="FootnoteText"/>
      </w:pPr>
      <w:r>
        <w:rPr>
          <w:rStyle w:val="FootnoteReference"/>
        </w:rPr>
        <w:footnoteRef/>
      </w:r>
      <w:r>
        <w:t xml:space="preserve"> </w:t>
      </w:r>
      <w:r>
        <w:rPr>
          <w:i/>
        </w:rPr>
        <w:t>Id</w:t>
      </w:r>
      <w:r>
        <w:t>. at 2.</w:t>
      </w:r>
    </w:p>
  </w:footnote>
  <w:footnote w:id="16">
    <w:p w:rsidR="00F42ECB" w:rsidP="00F42ECB">
      <w:pPr>
        <w:pStyle w:val="FootnoteText"/>
      </w:pPr>
      <w:r>
        <w:rPr>
          <w:rStyle w:val="FootnoteReference"/>
        </w:rPr>
        <w:footnoteRef/>
      </w:r>
      <w:r>
        <w:t xml:space="preserve"> The 2016 </w:t>
      </w:r>
      <w:r w:rsidR="00095035">
        <w:t>five</w:t>
      </w:r>
      <w:r>
        <w:t xml:space="preserve">-year population estimate is 46 people for Connerville, Oklahoma.  United States Census Bureau, American Fact Finder, searchable at </w:t>
      </w:r>
      <w:r>
        <w:fldChar w:fldCharType="begin"/>
      </w:r>
      <w:r>
        <w:instrText xml:space="preserve"> HYPERLINK "http://factfinder.census.gov/faces/nav/jsf/pages/community_facts.xhtml" </w:instrText>
      </w:r>
      <w:r>
        <w:fldChar w:fldCharType="separate"/>
      </w:r>
      <w:r>
        <w:rPr>
          <w:rStyle w:val="Hyperlink"/>
        </w:rPr>
        <w:t>http://factfinder.census.gov/faces/nav/jsf/pages/community_facts.xhtml#</w:t>
      </w:r>
      <w:r>
        <w:fldChar w:fldCharType="end"/>
      </w:r>
      <w:r w:rsidR="00F02117">
        <w:t xml:space="preserve"> (last visited June</w:t>
      </w:r>
      <w:r>
        <w:t xml:space="preserve"> 2</w:t>
      </w:r>
      <w:r w:rsidR="00F02117">
        <w:t>6, 2018</w:t>
      </w:r>
      <w:r>
        <w:t>).</w:t>
      </w:r>
    </w:p>
  </w:footnote>
  <w:footnote w:id="17">
    <w:p w:rsidR="00F42ECB" w:rsidP="00F42ECB">
      <w:pPr>
        <w:pStyle w:val="FootnoteText"/>
      </w:pPr>
      <w:r>
        <w:rPr>
          <w:rStyle w:val="FootnoteReference"/>
        </w:rPr>
        <w:footnoteRef/>
      </w:r>
      <w:r>
        <w:t xml:space="preserve"> The zip code is 74836.</w:t>
      </w:r>
    </w:p>
  </w:footnote>
  <w:footnote w:id="18">
    <w:p w:rsidR="00C17B47" w:rsidP="00EF2BEF">
      <w:pPr>
        <w:pStyle w:val="FootnoteText"/>
      </w:pPr>
      <w:r>
        <w:rPr>
          <w:rStyle w:val="FootnoteReference"/>
        </w:rPr>
        <w:footnoteRef/>
      </w:r>
      <w:r>
        <w:t xml:space="preserve"> This channel is reserved as a Tribal Allotment.</w:t>
      </w:r>
    </w:p>
  </w:footnote>
  <w:footnote w:id="19">
    <w:p w:rsidR="00C17B47" w:rsidP="00EF2BEF">
      <w:pPr>
        <w:pStyle w:val="FootnoteText"/>
      </w:pPr>
      <w:r>
        <w:rPr>
          <w:rStyle w:val="FootnoteReference"/>
        </w:rPr>
        <w:footnoteRef/>
      </w:r>
      <w:r>
        <w:t xml:space="preserve"> 5 U.S.C. § 801 (a)(1)(A).</w:t>
      </w:r>
    </w:p>
  </w:footnote>
  <w:footnote w:id="20">
    <w:p w:rsidR="00C17B47" w:rsidP="00EF2BEF">
      <w:pPr>
        <w:pStyle w:val="FootnoteText"/>
      </w:pPr>
      <w:r>
        <w:rPr>
          <w:rStyle w:val="FootnoteReference"/>
        </w:rPr>
        <w:footnoteRef/>
      </w:r>
      <w:r>
        <w:t xml:space="preserve"> </w:t>
      </w:r>
      <w:r w:rsidRPr="006471AD">
        <w:rPr>
          <w:i/>
        </w:rPr>
        <w:t>Third R&amp;O</w:t>
      </w:r>
      <w:r>
        <w:t xml:space="preserve">, 26 FCC </w:t>
      </w:r>
      <w:r>
        <w:t>Rcd</w:t>
      </w:r>
      <w:r>
        <w:t xml:space="preserve"> at 17645-46; </w:t>
      </w:r>
      <w:r w:rsidRPr="006471AD">
        <w:rPr>
          <w:i/>
        </w:rPr>
        <w:t>Second R&amp;O</w:t>
      </w:r>
      <w:r>
        <w:t xml:space="preserve">, 26 FCC </w:t>
      </w:r>
      <w:r>
        <w:t>Rcd</w:t>
      </w:r>
      <w:r>
        <w:t xml:space="preserve"> at 2588-90.  Should no applicant meeting threshold qualifications file an FCC Form 301 during the Threshold Qualifications Window (and should the proponent request that its already-filed Form 301 application not be immediately processed), the Tribal Allotment will be included in the inventory for a broadcast auction </w:t>
      </w:r>
      <w:r>
        <w:t>at a later date</w:t>
      </w:r>
      <w:r>
        <w:t xml:space="preserve">.  In that event, only threshold qualified applicants, including the original proponent, would be permitted to participate in the auction.  </w:t>
      </w:r>
      <w:r w:rsidRPr="006471AD">
        <w:rPr>
          <w:i/>
        </w:rPr>
        <w:t>Third R&amp;O</w:t>
      </w:r>
      <w:r>
        <w:t xml:space="preserve">, 26 FCC </w:t>
      </w:r>
      <w:r>
        <w:t>Rcd</w:t>
      </w:r>
      <w:r>
        <w:t xml:space="preserve"> at 17649.</w:t>
      </w:r>
    </w:p>
    <w:p w:rsidR="00C17B47" w:rsidP="00EF2BE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B47" w:rsidP="00810B6F">
    <w:pPr>
      <w:pStyle w:val="Header"/>
      <w:rPr>
        <w:b w:val="0"/>
      </w:rPr>
    </w:pPr>
    <w:r>
      <w:tab/>
      <w:t>Federal Communications Commission</w:t>
    </w:r>
    <w:r>
      <w:tab/>
      <w:t xml:space="preserve">DA </w:t>
    </w:r>
    <w:r w:rsidR="00286937">
      <w:t>18-</w:t>
    </w:r>
    <w:r w:rsidR="00830C2D">
      <w:t>699</w:t>
    </w:r>
  </w:p>
  <w:p w:rsidR="00C17B4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17B47">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B47"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0411AA">
      <w:rPr>
        <w:spacing w:val="-2"/>
      </w:rPr>
      <w:t>18-</w:t>
    </w:r>
    <w:r w:rsidR="00830C2D">
      <w:rPr>
        <w:spacing w:val="-2"/>
      </w:rPr>
      <w:t>699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BEAC4282"/>
    <w:lvl w:ilvl="0">
      <w:start w:val="1"/>
      <w:numFmt w:val="decimal"/>
      <w:pStyle w:val="ParaNum"/>
      <w:lvlText w:val="%1."/>
      <w:lvlJc w:val="left"/>
      <w:pPr>
        <w:tabs>
          <w:tab w:val="num" w:pos="1080"/>
        </w:tabs>
        <w:ind w:left="0" w:firstLine="720"/>
      </w:pPr>
      <w:rPr>
        <w:b w:val="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0E3D42"/>
    <w:pPr>
      <w:spacing w:after="120"/>
    </w:pPr>
  </w:style>
  <w:style w:type="character" w:styleId="FootnoteReference">
    <w:name w:val="footnote reference"/>
    <w:aliases w:val="(NECG) Footnote Reference,Appel note de bas de p,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
    <w:name w:val="Body Text"/>
    <w:basedOn w:val="Normal"/>
    <w:link w:val="BodyTextChar"/>
    <w:rsid w:val="00EF2BEF"/>
    <w:pPr>
      <w:widowControl/>
      <w:tabs>
        <w:tab w:val="left" w:pos="-720"/>
      </w:tabs>
      <w:suppressAutoHyphens/>
      <w:spacing w:line="225" w:lineRule="auto"/>
      <w:jc w:val="both"/>
    </w:pPr>
    <w:rPr>
      <w:spacing w:val="-3"/>
      <w:sz w:val="24"/>
    </w:rPr>
  </w:style>
  <w:style w:type="character" w:customStyle="1" w:styleId="BodyTextChar">
    <w:name w:val="Body Text Char"/>
    <w:basedOn w:val="DefaultParagraphFont"/>
    <w:link w:val="BodyText"/>
    <w:rsid w:val="00EF2BEF"/>
    <w:rPr>
      <w:snapToGrid w:val="0"/>
      <w:spacing w:val="-3"/>
      <w:kern w:val="28"/>
      <w:sz w:val="24"/>
    </w:rPr>
  </w:style>
  <w:style w:type="paragraph" w:styleId="BodyText2">
    <w:name w:val="Body Text 2"/>
    <w:basedOn w:val="Normal"/>
    <w:link w:val="BodyText2Char"/>
    <w:rsid w:val="00EF2BEF"/>
    <w:rPr>
      <w:sz w:val="24"/>
    </w:rPr>
  </w:style>
  <w:style w:type="character" w:customStyle="1" w:styleId="BodyText2Char">
    <w:name w:val="Body Text 2 Char"/>
    <w:basedOn w:val="DefaultParagraphFont"/>
    <w:link w:val="BodyText2"/>
    <w:rsid w:val="00EF2BEF"/>
    <w:rPr>
      <w:snapToGrid w:val="0"/>
      <w:kern w:val="28"/>
      <w:sz w:val="24"/>
    </w:rPr>
  </w:style>
  <w:style w:type="character" w:styleId="Strong">
    <w:name w:val="Strong"/>
    <w:qFormat/>
    <w:rsid w:val="00EF2BEF"/>
    <w:rPr>
      <w:b/>
      <w:bCs/>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link w:val="FootnoteText"/>
    <w:rsid w:val="00EF2BEF"/>
  </w:style>
  <w:style w:type="paragraph" w:styleId="Caption">
    <w:name w:val="caption"/>
    <w:basedOn w:val="Normal"/>
    <w:next w:val="Normal"/>
    <w:qFormat/>
    <w:rsid w:val="00770DF2"/>
    <w:pPr>
      <w:spacing w:before="120" w:after="120"/>
    </w:pPr>
    <w:rPr>
      <w:b/>
    </w:rPr>
  </w:style>
  <w:style w:type="paragraph" w:styleId="BalloonText">
    <w:name w:val="Balloon Text"/>
    <w:basedOn w:val="Normal"/>
    <w:link w:val="BalloonTextChar"/>
    <w:rsid w:val="00C30348"/>
    <w:rPr>
      <w:rFonts w:ascii="Segoe UI" w:hAnsi="Segoe UI" w:cs="Segoe UI"/>
      <w:sz w:val="18"/>
      <w:szCs w:val="18"/>
    </w:rPr>
  </w:style>
  <w:style w:type="character" w:customStyle="1" w:styleId="BalloonTextChar">
    <w:name w:val="Balloon Text Char"/>
    <w:basedOn w:val="DefaultParagraphFont"/>
    <w:link w:val="BalloonText"/>
    <w:rsid w:val="00C30348"/>
    <w:rPr>
      <w:rFonts w:ascii="Segoe UI" w:hAnsi="Segoe UI" w:cs="Segoe UI"/>
      <w:snapToGrid w:val="0"/>
      <w:kern w:val="28"/>
      <w:sz w:val="18"/>
      <w:szCs w:val="18"/>
    </w:rPr>
  </w:style>
  <w:style w:type="character" w:styleId="CommentReference">
    <w:name w:val="annotation reference"/>
    <w:basedOn w:val="DefaultParagraphFont"/>
    <w:rsid w:val="00C30348"/>
    <w:rPr>
      <w:sz w:val="16"/>
      <w:szCs w:val="16"/>
    </w:rPr>
  </w:style>
  <w:style w:type="paragraph" w:styleId="CommentText">
    <w:name w:val="annotation text"/>
    <w:basedOn w:val="Normal"/>
    <w:link w:val="CommentTextChar"/>
    <w:rsid w:val="00C30348"/>
    <w:rPr>
      <w:sz w:val="20"/>
    </w:rPr>
  </w:style>
  <w:style w:type="character" w:customStyle="1" w:styleId="CommentTextChar">
    <w:name w:val="Comment Text Char"/>
    <w:basedOn w:val="DefaultParagraphFont"/>
    <w:link w:val="CommentText"/>
    <w:rsid w:val="00C30348"/>
    <w:rPr>
      <w:snapToGrid w:val="0"/>
      <w:kern w:val="28"/>
    </w:rPr>
  </w:style>
  <w:style w:type="paragraph" w:styleId="CommentSubject">
    <w:name w:val="annotation subject"/>
    <w:basedOn w:val="CommentText"/>
    <w:next w:val="CommentText"/>
    <w:link w:val="CommentSubjectChar"/>
    <w:rsid w:val="00C30348"/>
    <w:rPr>
      <w:b/>
      <w:bCs/>
    </w:rPr>
  </w:style>
  <w:style w:type="character" w:customStyle="1" w:styleId="CommentSubjectChar">
    <w:name w:val="Comment Subject Char"/>
    <w:basedOn w:val="CommentTextChar"/>
    <w:link w:val="CommentSubject"/>
    <w:rsid w:val="00C3034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