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5733D" w:rsidRPr="00514651" w:rsidP="003777FC">
      <w:pPr>
        <w:tabs>
          <w:tab w:val="left" w:pos="0"/>
        </w:tabs>
        <w:suppressAutoHyphens/>
        <w:rPr>
          <w:b/>
          <w:i/>
          <w:sz w:val="22"/>
          <w:szCs w:val="22"/>
        </w:rPr>
      </w:pPr>
    </w:p>
    <w:p w:rsidR="00163368" w:rsidRPr="00163368" w:rsidP="003777FC">
      <w:pPr>
        <w:tabs>
          <w:tab w:val="left" w:pos="0"/>
        </w:tabs>
        <w:suppressAutoHyphens/>
        <w:rPr>
          <w:b/>
          <w:sz w:val="22"/>
          <w:szCs w:val="22"/>
        </w:rPr>
      </w:pPr>
      <w:r w:rsidRPr="003777FC">
        <w:rPr>
          <w:b/>
          <w:i/>
          <w:sz w:val="22"/>
          <w:szCs w:val="22"/>
        </w:rPr>
        <w:tab/>
      </w:r>
      <w:r w:rsidRPr="003777FC">
        <w:rPr>
          <w:b/>
          <w:i/>
          <w:sz w:val="22"/>
          <w:szCs w:val="22"/>
        </w:rPr>
        <w:tab/>
      </w:r>
      <w:r w:rsidRPr="003777FC">
        <w:rPr>
          <w:b/>
          <w:i/>
          <w:sz w:val="22"/>
          <w:szCs w:val="22"/>
        </w:rPr>
        <w:tab/>
      </w:r>
      <w:r w:rsidRPr="003777FC">
        <w:rPr>
          <w:b/>
          <w:i/>
          <w:sz w:val="22"/>
          <w:szCs w:val="22"/>
        </w:rPr>
        <w:tab/>
      </w:r>
      <w:r w:rsidRPr="003777FC">
        <w:rPr>
          <w:b/>
          <w:i/>
          <w:sz w:val="22"/>
          <w:szCs w:val="22"/>
        </w:rPr>
        <w:tab/>
      </w:r>
      <w:r w:rsidRPr="003777FC">
        <w:rPr>
          <w:b/>
          <w:i/>
          <w:sz w:val="22"/>
          <w:szCs w:val="22"/>
        </w:rPr>
        <w:tab/>
      </w:r>
      <w:r w:rsidRPr="003777FC">
        <w:rPr>
          <w:b/>
          <w:i/>
          <w:sz w:val="22"/>
          <w:szCs w:val="22"/>
        </w:rPr>
        <w:tab/>
      </w:r>
      <w:r w:rsidRPr="003777FC">
        <w:rPr>
          <w:b/>
          <w:i/>
          <w:sz w:val="22"/>
          <w:szCs w:val="22"/>
        </w:rPr>
        <w:tab/>
      </w:r>
      <w:r w:rsidRPr="003777FC" w:rsidR="002E266F">
        <w:rPr>
          <w:b/>
          <w:i/>
          <w:sz w:val="22"/>
          <w:szCs w:val="22"/>
        </w:rPr>
        <w:t xml:space="preserve">             </w:t>
      </w:r>
      <w:r>
        <w:rPr>
          <w:b/>
          <w:sz w:val="22"/>
          <w:szCs w:val="22"/>
        </w:rPr>
        <w:t xml:space="preserve">DA </w:t>
      </w:r>
      <w:r w:rsidR="008A5A5F">
        <w:rPr>
          <w:b/>
          <w:sz w:val="22"/>
          <w:szCs w:val="22"/>
        </w:rPr>
        <w:t>18-712</w:t>
      </w:r>
      <w:bookmarkStart w:id="0" w:name="_GoBack"/>
      <w:bookmarkEnd w:id="0"/>
    </w:p>
    <w:p w:rsidR="00E5733D" w:rsidRPr="003777FC" w:rsidP="003777FC">
      <w:pPr>
        <w:tabs>
          <w:tab w:val="left" w:pos="0"/>
        </w:tabs>
        <w:suppressAutoHyphens/>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3777FC">
        <w:rPr>
          <w:b/>
          <w:i/>
          <w:sz w:val="22"/>
          <w:szCs w:val="22"/>
        </w:rPr>
        <w:t xml:space="preserve">In Reply Refer to:  </w:t>
      </w:r>
    </w:p>
    <w:p w:rsidR="00163368" w:rsidP="00EC46A3">
      <w:pPr>
        <w:tabs>
          <w:tab w:val="left" w:pos="0"/>
        </w:tabs>
        <w:suppressAutoHyphens/>
        <w:rPr>
          <w:b/>
          <w:sz w:val="22"/>
          <w:szCs w:val="22"/>
        </w:rPr>
      </w:pPr>
      <w:r w:rsidRPr="003777FC">
        <w:rPr>
          <w:b/>
          <w:i/>
          <w:sz w:val="22"/>
          <w:szCs w:val="22"/>
        </w:rPr>
        <w:tab/>
      </w:r>
      <w:r w:rsidRPr="003777FC">
        <w:rPr>
          <w:b/>
          <w:i/>
          <w:sz w:val="22"/>
          <w:szCs w:val="22"/>
        </w:rPr>
        <w:tab/>
      </w:r>
      <w:r w:rsidRPr="003777FC">
        <w:rPr>
          <w:b/>
          <w:i/>
          <w:sz w:val="22"/>
          <w:szCs w:val="22"/>
        </w:rPr>
        <w:tab/>
      </w:r>
      <w:r w:rsidRPr="003777FC">
        <w:rPr>
          <w:b/>
          <w:i/>
          <w:sz w:val="22"/>
          <w:szCs w:val="22"/>
        </w:rPr>
        <w:tab/>
      </w:r>
      <w:r w:rsidRPr="003777FC">
        <w:rPr>
          <w:b/>
          <w:i/>
          <w:sz w:val="22"/>
          <w:szCs w:val="22"/>
        </w:rPr>
        <w:tab/>
      </w:r>
      <w:r w:rsidRPr="003777FC">
        <w:rPr>
          <w:b/>
          <w:i/>
          <w:sz w:val="22"/>
          <w:szCs w:val="22"/>
        </w:rPr>
        <w:tab/>
      </w:r>
      <w:r w:rsidRPr="003777FC">
        <w:rPr>
          <w:b/>
          <w:i/>
          <w:sz w:val="22"/>
          <w:szCs w:val="22"/>
        </w:rPr>
        <w:tab/>
      </w:r>
      <w:r w:rsidRPr="003777FC">
        <w:rPr>
          <w:b/>
          <w:i/>
          <w:sz w:val="22"/>
          <w:szCs w:val="22"/>
        </w:rPr>
        <w:tab/>
      </w:r>
      <w:r w:rsidRPr="003777FC" w:rsidR="002E266F">
        <w:rPr>
          <w:b/>
          <w:i/>
          <w:sz w:val="22"/>
          <w:szCs w:val="22"/>
        </w:rPr>
        <w:t xml:space="preserve">             </w:t>
      </w:r>
      <w:r w:rsidRPr="003777FC" w:rsidR="00D351D1">
        <w:rPr>
          <w:b/>
          <w:sz w:val="22"/>
          <w:szCs w:val="22"/>
        </w:rPr>
        <w:t>1800B3-C</w:t>
      </w:r>
      <w:r w:rsidRPr="003777FC" w:rsidR="0029108E">
        <w:rPr>
          <w:b/>
          <w:sz w:val="22"/>
          <w:szCs w:val="22"/>
        </w:rPr>
        <w:t>E</w:t>
      </w:r>
      <w:r w:rsidRPr="003777FC" w:rsidR="00D351D1">
        <w:rPr>
          <w:b/>
          <w:sz w:val="22"/>
          <w:szCs w:val="22"/>
        </w:rPr>
        <w:t>G</w:t>
      </w:r>
    </w:p>
    <w:p w:rsidR="00E5733D" w:rsidRPr="003777FC" w:rsidP="00EC46A3">
      <w:pPr>
        <w:tabs>
          <w:tab w:val="left" w:pos="0"/>
        </w:tabs>
        <w:suppressAutoHyphens/>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Released</w:t>
      </w:r>
      <w:r w:rsidR="00070D2E">
        <w:rPr>
          <w:b/>
          <w:sz w:val="22"/>
          <w:szCs w:val="22"/>
        </w:rPr>
        <w:t xml:space="preserve"> July 9, 2018</w:t>
      </w:r>
      <w:r w:rsidR="00514651">
        <w:rPr>
          <w:sz w:val="22"/>
          <w:szCs w:val="22"/>
        </w:rPr>
        <w:tab/>
      </w:r>
      <w:r w:rsidRPr="003777FC">
        <w:rPr>
          <w:sz w:val="22"/>
          <w:szCs w:val="22"/>
        </w:rPr>
        <w:tab/>
      </w:r>
      <w:r w:rsidRPr="003777FC">
        <w:rPr>
          <w:sz w:val="22"/>
          <w:szCs w:val="22"/>
        </w:rPr>
        <w:tab/>
      </w:r>
      <w:r w:rsidRPr="003777FC">
        <w:rPr>
          <w:sz w:val="22"/>
          <w:szCs w:val="22"/>
        </w:rPr>
        <w:tab/>
      </w:r>
      <w:r w:rsidRPr="003777FC">
        <w:rPr>
          <w:sz w:val="22"/>
          <w:szCs w:val="22"/>
        </w:rPr>
        <w:tab/>
      </w:r>
      <w:r w:rsidRPr="003777FC">
        <w:rPr>
          <w:sz w:val="22"/>
          <w:szCs w:val="22"/>
        </w:rPr>
        <w:tab/>
      </w:r>
      <w:r w:rsidRPr="003777FC">
        <w:rPr>
          <w:sz w:val="22"/>
          <w:szCs w:val="22"/>
        </w:rPr>
        <w:tab/>
      </w:r>
      <w:r w:rsidRPr="003777FC">
        <w:rPr>
          <w:sz w:val="22"/>
          <w:szCs w:val="22"/>
        </w:rPr>
        <w:tab/>
      </w:r>
    </w:p>
    <w:p w:rsidR="009E76BB" w:rsidP="00EC46A3">
      <w:pPr>
        <w:tabs>
          <w:tab w:val="left" w:pos="0"/>
        </w:tabs>
        <w:suppressAutoHyphens/>
        <w:ind w:left="5040" w:hanging="5040"/>
        <w:rPr>
          <w:sz w:val="22"/>
          <w:szCs w:val="22"/>
        </w:rPr>
      </w:pPr>
      <w:r>
        <w:rPr>
          <w:sz w:val="22"/>
          <w:szCs w:val="22"/>
        </w:rPr>
        <w:t>Jeffrey L. Timmons, Esq.</w:t>
      </w:r>
    </w:p>
    <w:p w:rsidR="00163368" w:rsidP="00EC46A3">
      <w:pPr>
        <w:tabs>
          <w:tab w:val="left" w:pos="0"/>
        </w:tabs>
        <w:suppressAutoHyphens/>
        <w:ind w:left="5040" w:hanging="5040"/>
        <w:rPr>
          <w:sz w:val="22"/>
          <w:szCs w:val="22"/>
        </w:rPr>
      </w:pPr>
      <w:r>
        <w:rPr>
          <w:sz w:val="22"/>
          <w:szCs w:val="22"/>
        </w:rPr>
        <w:t>974 Branford Lane NW</w:t>
      </w:r>
    </w:p>
    <w:p w:rsidR="00163368" w:rsidP="00EC46A3">
      <w:pPr>
        <w:tabs>
          <w:tab w:val="left" w:pos="0"/>
        </w:tabs>
        <w:suppressAutoHyphens/>
        <w:ind w:left="5040" w:hanging="5040"/>
        <w:rPr>
          <w:sz w:val="22"/>
          <w:szCs w:val="22"/>
        </w:rPr>
      </w:pPr>
      <w:r>
        <w:rPr>
          <w:sz w:val="22"/>
          <w:szCs w:val="22"/>
        </w:rPr>
        <w:t>Lilburn, Georgia 30047</w:t>
      </w:r>
    </w:p>
    <w:p w:rsidR="004F3F15" w:rsidP="00EC46A3">
      <w:pPr>
        <w:tabs>
          <w:tab w:val="left" w:pos="0"/>
        </w:tabs>
        <w:suppressAutoHyphens/>
        <w:ind w:left="5040" w:hanging="5040"/>
        <w:rPr>
          <w:sz w:val="22"/>
          <w:szCs w:val="22"/>
        </w:rPr>
      </w:pPr>
    </w:p>
    <w:p w:rsidR="004F3F15" w:rsidP="00EC46A3">
      <w:pPr>
        <w:tabs>
          <w:tab w:val="left" w:pos="0"/>
        </w:tabs>
        <w:suppressAutoHyphens/>
        <w:ind w:left="5040" w:hanging="5040"/>
        <w:rPr>
          <w:sz w:val="22"/>
          <w:szCs w:val="22"/>
        </w:rPr>
      </w:pPr>
      <w:r>
        <w:rPr>
          <w:sz w:val="22"/>
          <w:szCs w:val="22"/>
        </w:rPr>
        <w:t>Barry A. Friedman, Esq.</w:t>
      </w:r>
    </w:p>
    <w:p w:rsidR="00163368" w:rsidP="00EC46A3">
      <w:pPr>
        <w:tabs>
          <w:tab w:val="left" w:pos="0"/>
        </w:tabs>
        <w:suppressAutoHyphens/>
        <w:ind w:left="5040" w:hanging="5040"/>
        <w:rPr>
          <w:sz w:val="22"/>
          <w:szCs w:val="22"/>
        </w:rPr>
      </w:pPr>
      <w:r>
        <w:rPr>
          <w:sz w:val="22"/>
          <w:szCs w:val="22"/>
        </w:rPr>
        <w:t>Thompson Hine LLP</w:t>
      </w:r>
    </w:p>
    <w:p w:rsidR="00163368" w:rsidP="00EC46A3">
      <w:pPr>
        <w:tabs>
          <w:tab w:val="left" w:pos="0"/>
        </w:tabs>
        <w:suppressAutoHyphens/>
        <w:ind w:left="5040" w:hanging="5040"/>
        <w:rPr>
          <w:sz w:val="22"/>
          <w:szCs w:val="22"/>
        </w:rPr>
      </w:pPr>
      <w:r>
        <w:rPr>
          <w:sz w:val="22"/>
          <w:szCs w:val="22"/>
        </w:rPr>
        <w:t>1919 M Street NW</w:t>
      </w:r>
    </w:p>
    <w:p w:rsidR="00163368" w:rsidP="00EC46A3">
      <w:pPr>
        <w:tabs>
          <w:tab w:val="left" w:pos="0"/>
        </w:tabs>
        <w:suppressAutoHyphens/>
        <w:ind w:left="5040" w:hanging="5040"/>
        <w:rPr>
          <w:sz w:val="22"/>
          <w:szCs w:val="22"/>
        </w:rPr>
      </w:pPr>
      <w:r>
        <w:rPr>
          <w:sz w:val="22"/>
          <w:szCs w:val="22"/>
        </w:rPr>
        <w:t>Washington, DC 20036</w:t>
      </w:r>
    </w:p>
    <w:p w:rsidR="00DF6912" w:rsidP="00EC46A3">
      <w:pPr>
        <w:tabs>
          <w:tab w:val="left" w:pos="0"/>
        </w:tabs>
        <w:suppressAutoHyphens/>
        <w:ind w:left="5040" w:hanging="5040"/>
        <w:rPr>
          <w:sz w:val="22"/>
          <w:szCs w:val="22"/>
        </w:rPr>
      </w:pPr>
    </w:p>
    <w:p w:rsidR="00DF6912" w:rsidP="00EC46A3">
      <w:pPr>
        <w:tabs>
          <w:tab w:val="left" w:pos="0"/>
        </w:tabs>
        <w:suppressAutoHyphens/>
        <w:ind w:left="5040" w:hanging="5040"/>
        <w:rPr>
          <w:sz w:val="22"/>
          <w:szCs w:val="22"/>
        </w:rPr>
      </w:pPr>
      <w:r>
        <w:rPr>
          <w:sz w:val="22"/>
          <w:szCs w:val="22"/>
        </w:rPr>
        <w:t>Victor A. Michael, Jr.</w:t>
      </w:r>
    </w:p>
    <w:p w:rsidR="00DF6912" w:rsidP="00EC46A3">
      <w:pPr>
        <w:tabs>
          <w:tab w:val="left" w:pos="0"/>
        </w:tabs>
        <w:suppressAutoHyphens/>
        <w:ind w:left="5040" w:hanging="5040"/>
        <w:rPr>
          <w:sz w:val="22"/>
          <w:szCs w:val="22"/>
        </w:rPr>
      </w:pPr>
      <w:r>
        <w:rPr>
          <w:sz w:val="22"/>
          <w:szCs w:val="22"/>
        </w:rPr>
        <w:t>Kona Coast Radio LLC</w:t>
      </w:r>
    </w:p>
    <w:p w:rsidR="00DF6912" w:rsidP="00EC46A3">
      <w:pPr>
        <w:tabs>
          <w:tab w:val="left" w:pos="0"/>
        </w:tabs>
        <w:suppressAutoHyphens/>
        <w:ind w:left="5040" w:hanging="5040"/>
        <w:rPr>
          <w:sz w:val="22"/>
          <w:szCs w:val="22"/>
        </w:rPr>
      </w:pPr>
      <w:r>
        <w:rPr>
          <w:sz w:val="22"/>
          <w:szCs w:val="22"/>
        </w:rPr>
        <w:t>87 Jasper Lake Rd</w:t>
      </w:r>
    </w:p>
    <w:p w:rsidR="00DF6912" w:rsidP="00EC46A3">
      <w:pPr>
        <w:tabs>
          <w:tab w:val="left" w:pos="0"/>
        </w:tabs>
        <w:suppressAutoHyphens/>
        <w:ind w:left="5040" w:hanging="5040"/>
        <w:rPr>
          <w:sz w:val="22"/>
          <w:szCs w:val="22"/>
        </w:rPr>
      </w:pPr>
      <w:r>
        <w:rPr>
          <w:sz w:val="22"/>
          <w:szCs w:val="22"/>
        </w:rPr>
        <w:t>Loveland, CO 80537</w:t>
      </w:r>
    </w:p>
    <w:p w:rsidR="00514651" w:rsidRPr="00485A73" w:rsidP="00EC46A3">
      <w:pPr>
        <w:tabs>
          <w:tab w:val="left" w:pos="0"/>
        </w:tabs>
        <w:suppressAutoHyphens/>
        <w:ind w:left="5040" w:hanging="5040"/>
        <w:rPr>
          <w:sz w:val="22"/>
          <w:szCs w:val="22"/>
        </w:rPr>
      </w:pPr>
    </w:p>
    <w:p w:rsidR="008B5C08" w:rsidRPr="00485A73" w:rsidP="00EC46A3">
      <w:pPr>
        <w:tabs>
          <w:tab w:val="left" w:pos="0"/>
          <w:tab w:val="left" w:pos="3600"/>
          <w:tab w:val="left" w:pos="3870"/>
          <w:tab w:val="left" w:pos="4500"/>
          <w:tab w:val="left" w:pos="4590"/>
        </w:tabs>
        <w:suppressAutoHyphens/>
        <w:ind w:left="5040" w:hanging="5040"/>
        <w:rPr>
          <w:b/>
          <w:sz w:val="22"/>
          <w:szCs w:val="22"/>
        </w:rPr>
      </w:pPr>
      <w:r w:rsidRPr="00485A73">
        <w:rPr>
          <w:sz w:val="22"/>
          <w:szCs w:val="22"/>
        </w:rPr>
        <w:tab/>
      </w:r>
      <w:r w:rsidRPr="00485A73" w:rsidR="0077726B">
        <w:rPr>
          <w:sz w:val="22"/>
          <w:szCs w:val="22"/>
        </w:rPr>
        <w:t>In re:</w:t>
      </w:r>
      <w:r w:rsidRPr="00485A73">
        <w:rPr>
          <w:sz w:val="22"/>
          <w:szCs w:val="22"/>
        </w:rPr>
        <w:tab/>
      </w:r>
      <w:r w:rsidR="00163368">
        <w:rPr>
          <w:b/>
          <w:sz w:val="22"/>
          <w:szCs w:val="22"/>
        </w:rPr>
        <w:t>KAZV(FM), Aguila, Arizona</w:t>
      </w:r>
    </w:p>
    <w:p w:rsidR="0077726B" w:rsidRPr="00485A73" w:rsidP="00EC46A3">
      <w:pPr>
        <w:tabs>
          <w:tab w:val="left" w:pos="0"/>
          <w:tab w:val="left" w:pos="3870"/>
          <w:tab w:val="left" w:pos="4500"/>
          <w:tab w:val="left" w:pos="5310"/>
        </w:tabs>
        <w:suppressAutoHyphens/>
        <w:ind w:left="5040" w:hanging="5040"/>
        <w:rPr>
          <w:sz w:val="22"/>
          <w:szCs w:val="22"/>
        </w:rPr>
      </w:pPr>
      <w:r w:rsidRPr="00485A73">
        <w:rPr>
          <w:b/>
          <w:sz w:val="22"/>
          <w:szCs w:val="22"/>
        </w:rPr>
        <w:tab/>
      </w:r>
      <w:r w:rsidRPr="00485A73" w:rsidR="0055182A">
        <w:rPr>
          <w:b/>
          <w:sz w:val="22"/>
          <w:szCs w:val="22"/>
        </w:rPr>
        <w:tab/>
      </w:r>
      <w:r w:rsidRPr="00485A73" w:rsidR="0055182A">
        <w:rPr>
          <w:sz w:val="22"/>
          <w:szCs w:val="22"/>
        </w:rPr>
        <w:t>F</w:t>
      </w:r>
      <w:r w:rsidR="00163368">
        <w:rPr>
          <w:sz w:val="22"/>
          <w:szCs w:val="22"/>
        </w:rPr>
        <w:t>acility ID No. 170953</w:t>
      </w:r>
    </w:p>
    <w:p w:rsidR="002663BF" w:rsidP="00EC46A3">
      <w:pPr>
        <w:tabs>
          <w:tab w:val="left" w:pos="0"/>
          <w:tab w:val="left" w:pos="3870"/>
          <w:tab w:val="left" w:pos="4500"/>
          <w:tab w:val="left" w:pos="4590"/>
        </w:tabs>
        <w:suppressAutoHyphens/>
        <w:ind w:left="5040" w:hanging="5040"/>
        <w:rPr>
          <w:sz w:val="22"/>
          <w:szCs w:val="22"/>
        </w:rPr>
      </w:pPr>
      <w:r w:rsidRPr="00485A73">
        <w:rPr>
          <w:sz w:val="22"/>
          <w:szCs w:val="22"/>
        </w:rPr>
        <w:tab/>
      </w:r>
      <w:r w:rsidRPr="00485A73" w:rsidR="0055182A">
        <w:rPr>
          <w:sz w:val="22"/>
          <w:szCs w:val="22"/>
        </w:rPr>
        <w:tab/>
      </w:r>
      <w:r w:rsidR="00163368">
        <w:rPr>
          <w:sz w:val="22"/>
          <w:szCs w:val="22"/>
        </w:rPr>
        <w:t>File No. BLH-</w:t>
      </w:r>
      <w:bookmarkStart w:id="1" w:name="_Hlk518399719"/>
      <w:r w:rsidR="00163368">
        <w:rPr>
          <w:sz w:val="22"/>
          <w:szCs w:val="22"/>
        </w:rPr>
        <w:t>20171226AAM</w:t>
      </w:r>
      <w:bookmarkEnd w:id="1"/>
      <w:r w:rsidR="00E40153">
        <w:rPr>
          <w:sz w:val="22"/>
          <w:szCs w:val="22"/>
        </w:rPr>
        <w:t xml:space="preserve"> (License Application)</w:t>
      </w:r>
    </w:p>
    <w:p w:rsidR="00E40153" w:rsidP="00EC46A3">
      <w:pPr>
        <w:tabs>
          <w:tab w:val="left" w:pos="0"/>
          <w:tab w:val="left" w:pos="3870"/>
          <w:tab w:val="left" w:pos="4500"/>
          <w:tab w:val="left" w:pos="4590"/>
        </w:tabs>
        <w:suppressAutoHyphens/>
        <w:ind w:left="5040" w:hanging="5040"/>
        <w:rPr>
          <w:sz w:val="22"/>
          <w:szCs w:val="22"/>
        </w:rPr>
      </w:pPr>
      <w:r>
        <w:rPr>
          <w:sz w:val="22"/>
          <w:szCs w:val="22"/>
        </w:rPr>
        <w:tab/>
      </w:r>
      <w:r>
        <w:rPr>
          <w:sz w:val="22"/>
          <w:szCs w:val="22"/>
        </w:rPr>
        <w:tab/>
        <w:t>File No. 20171226AAQ (Program Test Authority)</w:t>
      </w:r>
    </w:p>
    <w:p w:rsidR="00E40153" w:rsidP="00EC46A3">
      <w:pPr>
        <w:tabs>
          <w:tab w:val="left" w:pos="0"/>
          <w:tab w:val="left" w:pos="3870"/>
          <w:tab w:val="left" w:pos="4500"/>
          <w:tab w:val="left" w:pos="4590"/>
        </w:tabs>
        <w:suppressAutoHyphens/>
        <w:ind w:left="5040" w:hanging="5040"/>
        <w:rPr>
          <w:sz w:val="22"/>
          <w:szCs w:val="22"/>
        </w:rPr>
      </w:pPr>
      <w:r>
        <w:rPr>
          <w:sz w:val="22"/>
          <w:szCs w:val="22"/>
        </w:rPr>
        <w:tab/>
      </w:r>
      <w:r>
        <w:rPr>
          <w:sz w:val="22"/>
          <w:szCs w:val="22"/>
        </w:rPr>
        <w:tab/>
        <w:t>Matinee Media Corporation</w:t>
      </w:r>
    </w:p>
    <w:p w:rsidR="00ED2B0B" w:rsidP="00EC46A3">
      <w:pPr>
        <w:tabs>
          <w:tab w:val="left" w:pos="0"/>
          <w:tab w:val="left" w:pos="3870"/>
          <w:tab w:val="left" w:pos="4500"/>
          <w:tab w:val="left" w:pos="4590"/>
        </w:tabs>
        <w:suppressAutoHyphens/>
        <w:ind w:left="5040" w:hanging="5040"/>
        <w:rPr>
          <w:sz w:val="22"/>
          <w:szCs w:val="22"/>
        </w:rPr>
      </w:pPr>
    </w:p>
    <w:p w:rsidR="00ED2B0B" w:rsidP="00EC46A3">
      <w:pPr>
        <w:tabs>
          <w:tab w:val="left" w:pos="0"/>
          <w:tab w:val="left" w:pos="3870"/>
          <w:tab w:val="left" w:pos="4500"/>
          <w:tab w:val="left" w:pos="4590"/>
        </w:tabs>
        <w:suppressAutoHyphens/>
        <w:ind w:left="5040" w:hanging="5040"/>
        <w:rPr>
          <w:b/>
          <w:sz w:val="22"/>
          <w:szCs w:val="22"/>
        </w:rPr>
      </w:pPr>
      <w:r>
        <w:rPr>
          <w:sz w:val="22"/>
          <w:szCs w:val="22"/>
        </w:rPr>
        <w:tab/>
      </w:r>
      <w:r>
        <w:rPr>
          <w:sz w:val="22"/>
          <w:szCs w:val="22"/>
        </w:rPr>
        <w:tab/>
      </w:r>
      <w:r w:rsidRPr="00ED2B0B">
        <w:rPr>
          <w:b/>
          <w:sz w:val="22"/>
          <w:szCs w:val="22"/>
        </w:rPr>
        <w:t>KDVA</w:t>
      </w:r>
      <w:r>
        <w:rPr>
          <w:b/>
          <w:sz w:val="22"/>
          <w:szCs w:val="22"/>
        </w:rPr>
        <w:t>(FM)</w:t>
      </w:r>
      <w:r w:rsidRPr="00ED2B0B">
        <w:rPr>
          <w:b/>
          <w:sz w:val="22"/>
          <w:szCs w:val="22"/>
        </w:rPr>
        <w:t>, Buckeye, Arizona</w:t>
      </w:r>
    </w:p>
    <w:p w:rsidR="00ED2B0B" w:rsidP="00EC46A3">
      <w:pPr>
        <w:tabs>
          <w:tab w:val="left" w:pos="0"/>
          <w:tab w:val="left" w:pos="3870"/>
          <w:tab w:val="left" w:pos="4500"/>
          <w:tab w:val="left" w:pos="4590"/>
        </w:tabs>
        <w:suppressAutoHyphens/>
        <w:ind w:left="5040" w:hanging="5040"/>
        <w:rPr>
          <w:sz w:val="22"/>
          <w:szCs w:val="22"/>
        </w:rPr>
      </w:pPr>
      <w:r>
        <w:rPr>
          <w:b/>
          <w:sz w:val="22"/>
          <w:szCs w:val="22"/>
        </w:rPr>
        <w:tab/>
      </w:r>
      <w:r>
        <w:rPr>
          <w:b/>
          <w:sz w:val="22"/>
          <w:szCs w:val="22"/>
        </w:rPr>
        <w:tab/>
      </w:r>
      <w:r>
        <w:rPr>
          <w:sz w:val="22"/>
          <w:szCs w:val="22"/>
        </w:rPr>
        <w:t>Facility ID No. 2750</w:t>
      </w:r>
    </w:p>
    <w:p w:rsidR="00ED2B0B" w:rsidP="00EC46A3">
      <w:pPr>
        <w:tabs>
          <w:tab w:val="left" w:pos="0"/>
          <w:tab w:val="left" w:pos="3870"/>
          <w:tab w:val="left" w:pos="4500"/>
          <w:tab w:val="left" w:pos="4590"/>
        </w:tabs>
        <w:suppressAutoHyphens/>
        <w:ind w:left="5040" w:hanging="5040"/>
        <w:rPr>
          <w:sz w:val="22"/>
          <w:szCs w:val="22"/>
        </w:rPr>
      </w:pPr>
      <w:r>
        <w:rPr>
          <w:sz w:val="22"/>
          <w:szCs w:val="22"/>
        </w:rPr>
        <w:tab/>
      </w:r>
      <w:r>
        <w:rPr>
          <w:sz w:val="22"/>
          <w:szCs w:val="22"/>
        </w:rPr>
        <w:tab/>
        <w:t xml:space="preserve">File No. </w:t>
      </w:r>
      <w:r w:rsidR="00F30C10">
        <w:rPr>
          <w:sz w:val="22"/>
          <w:szCs w:val="22"/>
        </w:rPr>
        <w:t>BPH-</w:t>
      </w:r>
      <w:r w:rsidRPr="00ED2B0B">
        <w:rPr>
          <w:sz w:val="22"/>
          <w:szCs w:val="22"/>
        </w:rPr>
        <w:t>20171227AAJ</w:t>
      </w:r>
    </w:p>
    <w:p w:rsidR="00F30C10" w:rsidP="00EC46A3">
      <w:pPr>
        <w:tabs>
          <w:tab w:val="left" w:pos="0"/>
          <w:tab w:val="left" w:pos="3870"/>
          <w:tab w:val="left" w:pos="4500"/>
          <w:tab w:val="left" w:pos="4590"/>
        </w:tabs>
        <w:suppressAutoHyphens/>
        <w:ind w:left="5040" w:hanging="5040"/>
        <w:rPr>
          <w:sz w:val="22"/>
          <w:szCs w:val="22"/>
        </w:rPr>
      </w:pPr>
    </w:p>
    <w:p w:rsidR="00F30C10" w:rsidP="00EC46A3">
      <w:pPr>
        <w:tabs>
          <w:tab w:val="left" w:pos="0"/>
          <w:tab w:val="left" w:pos="3870"/>
          <w:tab w:val="left" w:pos="4500"/>
          <w:tab w:val="left" w:pos="4590"/>
        </w:tabs>
        <w:suppressAutoHyphens/>
        <w:ind w:left="5040" w:hanging="5040"/>
        <w:rPr>
          <w:b/>
          <w:sz w:val="22"/>
          <w:szCs w:val="22"/>
        </w:rPr>
      </w:pPr>
      <w:r>
        <w:rPr>
          <w:sz w:val="22"/>
          <w:szCs w:val="22"/>
        </w:rPr>
        <w:tab/>
      </w:r>
      <w:r>
        <w:rPr>
          <w:sz w:val="22"/>
          <w:szCs w:val="22"/>
        </w:rPr>
        <w:tab/>
      </w:r>
      <w:r>
        <w:rPr>
          <w:b/>
          <w:sz w:val="22"/>
          <w:szCs w:val="22"/>
        </w:rPr>
        <w:t xml:space="preserve">KVVA-FM, </w:t>
      </w:r>
      <w:r w:rsidR="00F81BA3">
        <w:rPr>
          <w:b/>
          <w:sz w:val="22"/>
          <w:szCs w:val="22"/>
        </w:rPr>
        <w:t>Apache Junction</w:t>
      </w:r>
      <w:r>
        <w:rPr>
          <w:b/>
          <w:sz w:val="22"/>
          <w:szCs w:val="22"/>
        </w:rPr>
        <w:t>, Arizona</w:t>
      </w:r>
    </w:p>
    <w:p w:rsidR="00F30C10" w:rsidP="00EC46A3">
      <w:pPr>
        <w:tabs>
          <w:tab w:val="left" w:pos="0"/>
          <w:tab w:val="left" w:pos="3870"/>
          <w:tab w:val="left" w:pos="4500"/>
          <w:tab w:val="left" w:pos="4590"/>
        </w:tabs>
        <w:suppressAutoHyphens/>
        <w:ind w:left="5040" w:hanging="5040"/>
        <w:rPr>
          <w:sz w:val="22"/>
          <w:szCs w:val="22"/>
        </w:rPr>
      </w:pPr>
      <w:r>
        <w:rPr>
          <w:b/>
          <w:sz w:val="22"/>
          <w:szCs w:val="22"/>
        </w:rPr>
        <w:tab/>
      </w:r>
      <w:r>
        <w:rPr>
          <w:b/>
          <w:sz w:val="22"/>
          <w:szCs w:val="22"/>
        </w:rPr>
        <w:tab/>
      </w:r>
      <w:r>
        <w:rPr>
          <w:sz w:val="22"/>
          <w:szCs w:val="22"/>
        </w:rPr>
        <w:t>Facility ID No. 1331</w:t>
      </w:r>
    </w:p>
    <w:p w:rsidR="00F30C10" w:rsidP="00EC46A3">
      <w:pPr>
        <w:tabs>
          <w:tab w:val="left" w:pos="0"/>
          <w:tab w:val="left" w:pos="3870"/>
          <w:tab w:val="left" w:pos="4500"/>
          <w:tab w:val="left" w:pos="4590"/>
        </w:tabs>
        <w:suppressAutoHyphens/>
        <w:ind w:left="5040" w:hanging="5040"/>
        <w:rPr>
          <w:sz w:val="22"/>
          <w:szCs w:val="22"/>
        </w:rPr>
      </w:pPr>
      <w:r>
        <w:rPr>
          <w:sz w:val="22"/>
          <w:szCs w:val="22"/>
        </w:rPr>
        <w:tab/>
      </w:r>
      <w:r>
        <w:rPr>
          <w:sz w:val="22"/>
          <w:szCs w:val="22"/>
        </w:rPr>
        <w:tab/>
        <w:t xml:space="preserve">File No. </w:t>
      </w:r>
      <w:r w:rsidR="00F84604">
        <w:rPr>
          <w:sz w:val="22"/>
          <w:szCs w:val="22"/>
        </w:rPr>
        <w:t>BPH</w:t>
      </w:r>
      <w:r w:rsidRPr="00F84604" w:rsidR="00F84604">
        <w:rPr>
          <w:sz w:val="22"/>
          <w:szCs w:val="22"/>
        </w:rPr>
        <w:t>-20171227AAK</w:t>
      </w:r>
    </w:p>
    <w:p w:rsidR="00E40153" w:rsidRPr="00F30C10" w:rsidP="00EC46A3">
      <w:pPr>
        <w:tabs>
          <w:tab w:val="left" w:pos="0"/>
          <w:tab w:val="left" w:pos="3870"/>
          <w:tab w:val="left" w:pos="4500"/>
          <w:tab w:val="left" w:pos="4590"/>
        </w:tabs>
        <w:suppressAutoHyphens/>
        <w:ind w:left="5040" w:hanging="5040"/>
        <w:rPr>
          <w:sz w:val="22"/>
          <w:szCs w:val="22"/>
        </w:rPr>
      </w:pPr>
      <w:r>
        <w:rPr>
          <w:sz w:val="22"/>
          <w:szCs w:val="22"/>
        </w:rPr>
        <w:tab/>
      </w:r>
      <w:r>
        <w:rPr>
          <w:sz w:val="22"/>
          <w:szCs w:val="22"/>
        </w:rPr>
        <w:tab/>
      </w:r>
      <w:r>
        <w:rPr>
          <w:sz w:val="22"/>
          <w:szCs w:val="22"/>
        </w:rPr>
        <w:t>Entravision</w:t>
      </w:r>
      <w:r>
        <w:rPr>
          <w:sz w:val="22"/>
          <w:szCs w:val="22"/>
        </w:rPr>
        <w:t xml:space="preserve"> Holdings, LLC</w:t>
      </w:r>
    </w:p>
    <w:p w:rsidR="009E76BB" w:rsidP="00EC46A3">
      <w:pPr>
        <w:tabs>
          <w:tab w:val="left" w:pos="0"/>
          <w:tab w:val="left" w:pos="3870"/>
          <w:tab w:val="left" w:pos="4500"/>
          <w:tab w:val="left" w:pos="4590"/>
        </w:tabs>
        <w:suppressAutoHyphens/>
        <w:ind w:left="5040" w:hanging="5040"/>
        <w:rPr>
          <w:sz w:val="22"/>
          <w:szCs w:val="22"/>
        </w:rPr>
      </w:pPr>
    </w:p>
    <w:p w:rsidR="009E76BB" w:rsidRPr="009E76BB" w:rsidP="00EC46A3">
      <w:pPr>
        <w:tabs>
          <w:tab w:val="left" w:pos="0"/>
          <w:tab w:val="left" w:pos="3870"/>
          <w:tab w:val="left" w:pos="4500"/>
          <w:tab w:val="left" w:pos="4590"/>
        </w:tabs>
        <w:suppressAutoHyphens/>
        <w:ind w:left="5040" w:hanging="5040"/>
        <w:rPr>
          <w:b/>
          <w:sz w:val="22"/>
          <w:szCs w:val="22"/>
        </w:rPr>
      </w:pPr>
      <w:r>
        <w:rPr>
          <w:sz w:val="22"/>
          <w:szCs w:val="22"/>
        </w:rPr>
        <w:tab/>
      </w:r>
      <w:r>
        <w:rPr>
          <w:sz w:val="22"/>
          <w:szCs w:val="22"/>
        </w:rPr>
        <w:tab/>
      </w:r>
      <w:r>
        <w:rPr>
          <w:b/>
          <w:sz w:val="22"/>
          <w:szCs w:val="22"/>
        </w:rPr>
        <w:t>Informal Objection</w:t>
      </w:r>
      <w:r w:rsidR="000A6403">
        <w:rPr>
          <w:b/>
          <w:sz w:val="22"/>
          <w:szCs w:val="22"/>
        </w:rPr>
        <w:t>s</w:t>
      </w:r>
    </w:p>
    <w:p w:rsidR="00D97E6E" w:rsidRPr="00DA28AF" w:rsidP="00EC46A3">
      <w:pPr>
        <w:tabs>
          <w:tab w:val="left" w:pos="0"/>
          <w:tab w:val="left" w:pos="3870"/>
          <w:tab w:val="left" w:pos="4500"/>
          <w:tab w:val="left" w:pos="4590"/>
        </w:tabs>
        <w:suppressAutoHyphens/>
        <w:ind w:left="5040" w:hanging="5040"/>
        <w:rPr>
          <w:b/>
          <w:color w:val="000000"/>
          <w:sz w:val="22"/>
          <w:szCs w:val="22"/>
        </w:rPr>
      </w:pPr>
      <w:r>
        <w:rPr>
          <w:color w:val="000000"/>
          <w:sz w:val="22"/>
          <w:szCs w:val="22"/>
        </w:rPr>
        <w:t>Dear Coun</w:t>
      </w:r>
      <w:r w:rsidRPr="00DA28AF">
        <w:rPr>
          <w:color w:val="000000"/>
          <w:sz w:val="22"/>
          <w:szCs w:val="22"/>
        </w:rPr>
        <w:t>sel</w:t>
      </w:r>
      <w:r w:rsidRPr="00DA28AF">
        <w:rPr>
          <w:color w:val="000000"/>
          <w:sz w:val="22"/>
          <w:szCs w:val="22"/>
        </w:rPr>
        <w:t xml:space="preserve">: </w:t>
      </w:r>
    </w:p>
    <w:p w:rsidR="00D97E6E" w:rsidRPr="00DA28AF" w:rsidP="00DA28AF">
      <w:pPr>
        <w:spacing w:before="240"/>
        <w:ind w:right="-360" w:firstLine="720"/>
        <w:rPr>
          <w:color w:val="000000"/>
          <w:sz w:val="22"/>
          <w:szCs w:val="22"/>
        </w:rPr>
      </w:pPr>
      <w:r w:rsidRPr="00DA28AF">
        <w:rPr>
          <w:color w:val="000000"/>
          <w:sz w:val="22"/>
          <w:szCs w:val="22"/>
        </w:rPr>
        <w:t xml:space="preserve">We have before us the above-referenced application </w:t>
      </w:r>
      <w:r w:rsidRPr="00DA28AF" w:rsidR="006779B5">
        <w:rPr>
          <w:color w:val="000000"/>
          <w:sz w:val="22"/>
          <w:szCs w:val="22"/>
        </w:rPr>
        <w:t>(</w:t>
      </w:r>
      <w:r w:rsidR="00AA7C83">
        <w:rPr>
          <w:color w:val="000000"/>
          <w:sz w:val="22"/>
          <w:szCs w:val="22"/>
        </w:rPr>
        <w:t xml:space="preserve">KAZV </w:t>
      </w:r>
      <w:r w:rsidR="00F4528C">
        <w:rPr>
          <w:color w:val="000000"/>
          <w:sz w:val="22"/>
          <w:szCs w:val="22"/>
        </w:rPr>
        <w:t xml:space="preserve">License </w:t>
      </w:r>
      <w:r w:rsidRPr="00DA28AF" w:rsidR="006779B5">
        <w:rPr>
          <w:color w:val="000000"/>
          <w:sz w:val="22"/>
          <w:szCs w:val="22"/>
        </w:rPr>
        <w:t xml:space="preserve">Application) </w:t>
      </w:r>
      <w:r w:rsidRPr="00DA28AF" w:rsidR="00210F80">
        <w:rPr>
          <w:color w:val="000000"/>
          <w:sz w:val="22"/>
          <w:szCs w:val="22"/>
        </w:rPr>
        <w:t>for</w:t>
      </w:r>
      <w:r w:rsidRPr="00DA28AF">
        <w:rPr>
          <w:color w:val="000000"/>
          <w:sz w:val="22"/>
          <w:szCs w:val="22"/>
        </w:rPr>
        <w:t xml:space="preserve"> </w:t>
      </w:r>
      <w:r w:rsidR="00EC46A3">
        <w:rPr>
          <w:color w:val="000000"/>
          <w:sz w:val="22"/>
          <w:szCs w:val="22"/>
        </w:rPr>
        <w:t>a license to cover a</w:t>
      </w:r>
      <w:r w:rsidR="002B585C">
        <w:rPr>
          <w:color w:val="000000"/>
          <w:sz w:val="22"/>
          <w:szCs w:val="22"/>
        </w:rPr>
        <w:t xml:space="preserve"> construction permit for s</w:t>
      </w:r>
      <w:r w:rsidRPr="00DA28AF" w:rsidR="004F3F15">
        <w:rPr>
          <w:color w:val="000000"/>
          <w:sz w:val="22"/>
          <w:szCs w:val="22"/>
        </w:rPr>
        <w:t xml:space="preserve">tation </w:t>
      </w:r>
      <w:r w:rsidR="00163368">
        <w:rPr>
          <w:color w:val="000000"/>
          <w:sz w:val="22"/>
          <w:szCs w:val="22"/>
        </w:rPr>
        <w:t>KAZV(FM</w:t>
      </w:r>
      <w:r w:rsidRPr="00DA28AF" w:rsidR="004F3F15">
        <w:rPr>
          <w:color w:val="000000"/>
          <w:sz w:val="22"/>
          <w:szCs w:val="22"/>
        </w:rPr>
        <w:t xml:space="preserve">), </w:t>
      </w:r>
      <w:r w:rsidR="00163368">
        <w:rPr>
          <w:color w:val="000000"/>
          <w:sz w:val="22"/>
          <w:szCs w:val="22"/>
        </w:rPr>
        <w:t>Aguila, Arizona</w:t>
      </w:r>
      <w:r w:rsidRPr="00DA28AF" w:rsidR="00AE3E73">
        <w:rPr>
          <w:color w:val="000000"/>
          <w:sz w:val="22"/>
          <w:szCs w:val="22"/>
        </w:rPr>
        <w:t xml:space="preserve"> (</w:t>
      </w:r>
      <w:r w:rsidR="00831742">
        <w:rPr>
          <w:color w:val="000000"/>
          <w:sz w:val="22"/>
          <w:szCs w:val="22"/>
        </w:rPr>
        <w:t>KAZV</w:t>
      </w:r>
      <w:r w:rsidR="00353DF7">
        <w:rPr>
          <w:color w:val="000000"/>
          <w:sz w:val="22"/>
          <w:szCs w:val="22"/>
        </w:rPr>
        <w:t xml:space="preserve"> or Station</w:t>
      </w:r>
      <w:r w:rsidRPr="00DA28AF">
        <w:rPr>
          <w:color w:val="000000"/>
          <w:sz w:val="22"/>
          <w:szCs w:val="22"/>
        </w:rPr>
        <w:t>), filed on</w:t>
      </w:r>
      <w:r w:rsidR="00163368">
        <w:rPr>
          <w:color w:val="000000"/>
          <w:sz w:val="22"/>
          <w:szCs w:val="22"/>
        </w:rPr>
        <w:t xml:space="preserve"> December 26, 2017</w:t>
      </w:r>
      <w:r w:rsidRPr="00DA28AF">
        <w:rPr>
          <w:color w:val="000000"/>
          <w:sz w:val="22"/>
          <w:szCs w:val="22"/>
        </w:rPr>
        <w:t xml:space="preserve">, by </w:t>
      </w:r>
      <w:r w:rsidR="002F7654">
        <w:rPr>
          <w:color w:val="000000"/>
          <w:sz w:val="22"/>
          <w:szCs w:val="22"/>
        </w:rPr>
        <w:t>Matinee Media Corporation (Matinee)</w:t>
      </w:r>
      <w:r w:rsidRPr="00DA28AF" w:rsidR="004F3F15">
        <w:rPr>
          <w:color w:val="000000"/>
          <w:sz w:val="22"/>
          <w:szCs w:val="22"/>
        </w:rPr>
        <w:t>.</w:t>
      </w:r>
      <w:r w:rsidRPr="00DA28AF">
        <w:rPr>
          <w:color w:val="000000"/>
          <w:sz w:val="22"/>
          <w:szCs w:val="22"/>
        </w:rPr>
        <w:t xml:space="preserve">  </w:t>
      </w:r>
      <w:r w:rsidRPr="00DA28AF" w:rsidR="00EE65A4">
        <w:rPr>
          <w:color w:val="000000"/>
          <w:sz w:val="22"/>
          <w:szCs w:val="22"/>
        </w:rPr>
        <w:t>We also have</w:t>
      </w:r>
      <w:r w:rsidRPr="00DA28AF" w:rsidR="00D15485">
        <w:rPr>
          <w:color w:val="000000"/>
          <w:sz w:val="22"/>
          <w:szCs w:val="22"/>
        </w:rPr>
        <w:t xml:space="preserve"> before us an informal o</w:t>
      </w:r>
      <w:r w:rsidRPr="00DA28AF" w:rsidR="00EE65A4">
        <w:rPr>
          <w:color w:val="000000"/>
          <w:sz w:val="22"/>
          <w:szCs w:val="22"/>
        </w:rPr>
        <w:t xml:space="preserve">bjection to the </w:t>
      </w:r>
      <w:r w:rsidR="00AA7C83">
        <w:rPr>
          <w:color w:val="000000"/>
          <w:sz w:val="22"/>
          <w:szCs w:val="22"/>
        </w:rPr>
        <w:t>KAZV License Application</w:t>
      </w:r>
      <w:r w:rsidR="00EC46A3">
        <w:rPr>
          <w:color w:val="000000"/>
          <w:sz w:val="22"/>
          <w:szCs w:val="22"/>
        </w:rPr>
        <w:t>,</w:t>
      </w:r>
      <w:r w:rsidRPr="00DA28AF" w:rsidR="00EE65A4">
        <w:rPr>
          <w:color w:val="000000"/>
          <w:sz w:val="22"/>
          <w:szCs w:val="22"/>
        </w:rPr>
        <w:t xml:space="preserve"> filed by </w:t>
      </w:r>
      <w:r w:rsidR="002B585C">
        <w:rPr>
          <w:color w:val="000000"/>
          <w:sz w:val="22"/>
          <w:szCs w:val="22"/>
        </w:rPr>
        <w:t>Entravision</w:t>
      </w:r>
      <w:r w:rsidR="002B585C">
        <w:rPr>
          <w:color w:val="000000"/>
          <w:sz w:val="22"/>
          <w:szCs w:val="22"/>
        </w:rPr>
        <w:t xml:space="preserve"> Holdings, LLC (</w:t>
      </w:r>
      <w:r w:rsidR="002B585C">
        <w:rPr>
          <w:color w:val="000000"/>
          <w:sz w:val="22"/>
          <w:szCs w:val="22"/>
        </w:rPr>
        <w:t>Entravision</w:t>
      </w:r>
      <w:r w:rsidRPr="00DA28AF" w:rsidR="00033B07">
        <w:rPr>
          <w:color w:val="000000"/>
          <w:sz w:val="22"/>
          <w:szCs w:val="22"/>
        </w:rPr>
        <w:t>)</w:t>
      </w:r>
      <w:r w:rsidRPr="00DA28AF" w:rsidR="003E6618">
        <w:rPr>
          <w:color w:val="000000"/>
          <w:sz w:val="22"/>
          <w:szCs w:val="22"/>
        </w:rPr>
        <w:t xml:space="preserve"> </w:t>
      </w:r>
      <w:r w:rsidRPr="00DA28AF" w:rsidR="00EE65A4">
        <w:rPr>
          <w:color w:val="000000"/>
          <w:sz w:val="22"/>
          <w:szCs w:val="22"/>
        </w:rPr>
        <w:t xml:space="preserve">on </w:t>
      </w:r>
      <w:r w:rsidR="002B585C">
        <w:rPr>
          <w:color w:val="000000"/>
          <w:sz w:val="22"/>
          <w:szCs w:val="22"/>
        </w:rPr>
        <w:t>January 3, 2018</w:t>
      </w:r>
      <w:r w:rsidRPr="00DA28AF" w:rsidR="00EE65A4">
        <w:rPr>
          <w:color w:val="000000"/>
          <w:sz w:val="22"/>
          <w:szCs w:val="22"/>
        </w:rPr>
        <w:t xml:space="preserve"> (</w:t>
      </w:r>
      <w:r w:rsidR="00F4528C">
        <w:rPr>
          <w:color w:val="000000"/>
          <w:sz w:val="22"/>
          <w:szCs w:val="22"/>
        </w:rPr>
        <w:t xml:space="preserve">KAZV </w:t>
      </w:r>
      <w:r w:rsidR="007247C8">
        <w:rPr>
          <w:color w:val="000000"/>
          <w:sz w:val="22"/>
          <w:szCs w:val="22"/>
        </w:rPr>
        <w:t xml:space="preserve">Informal </w:t>
      </w:r>
      <w:r w:rsidR="002B585C">
        <w:rPr>
          <w:color w:val="000000"/>
          <w:sz w:val="22"/>
          <w:szCs w:val="22"/>
        </w:rPr>
        <w:t>Objection).</w:t>
      </w:r>
      <w:r>
        <w:rPr>
          <w:rStyle w:val="FootnoteReference"/>
          <w:color w:val="000000"/>
          <w:sz w:val="22"/>
          <w:szCs w:val="22"/>
        </w:rPr>
        <w:footnoteReference w:id="2"/>
      </w:r>
      <w:r w:rsidRPr="00DA28AF" w:rsidR="00EE65A4">
        <w:rPr>
          <w:color w:val="000000"/>
          <w:sz w:val="22"/>
          <w:szCs w:val="22"/>
        </w:rPr>
        <w:t xml:space="preserve"> </w:t>
      </w:r>
      <w:r w:rsidR="00D868F0">
        <w:rPr>
          <w:color w:val="000000"/>
          <w:sz w:val="22"/>
          <w:szCs w:val="22"/>
        </w:rPr>
        <w:t xml:space="preserve"> In addition</w:t>
      </w:r>
      <w:r w:rsidR="00DF6912">
        <w:rPr>
          <w:color w:val="000000"/>
          <w:sz w:val="22"/>
          <w:szCs w:val="22"/>
        </w:rPr>
        <w:t xml:space="preserve">, we have </w:t>
      </w:r>
      <w:r w:rsidR="00D868F0">
        <w:rPr>
          <w:color w:val="000000"/>
          <w:sz w:val="22"/>
          <w:szCs w:val="22"/>
        </w:rPr>
        <w:t>before us</w:t>
      </w:r>
      <w:r w:rsidR="00E40153">
        <w:rPr>
          <w:color w:val="000000"/>
          <w:sz w:val="22"/>
          <w:szCs w:val="22"/>
        </w:rPr>
        <w:t>: (1)</w:t>
      </w:r>
      <w:r w:rsidR="00D868F0">
        <w:rPr>
          <w:color w:val="000000"/>
          <w:sz w:val="22"/>
          <w:szCs w:val="22"/>
        </w:rPr>
        <w:t xml:space="preserve"> </w:t>
      </w:r>
      <w:r w:rsidR="00DF6912">
        <w:rPr>
          <w:color w:val="000000"/>
          <w:sz w:val="22"/>
          <w:szCs w:val="22"/>
        </w:rPr>
        <w:t xml:space="preserve">the above-referenced modification applications for </w:t>
      </w:r>
      <w:r w:rsidR="00DF6912">
        <w:rPr>
          <w:color w:val="000000"/>
          <w:sz w:val="22"/>
          <w:szCs w:val="22"/>
        </w:rPr>
        <w:t>Entravision</w:t>
      </w:r>
      <w:r w:rsidR="00DF6912">
        <w:rPr>
          <w:color w:val="000000"/>
          <w:sz w:val="22"/>
          <w:szCs w:val="22"/>
        </w:rPr>
        <w:t xml:space="preserve"> stations KDVA(FM), Buckeye, Arizona</w:t>
      </w:r>
      <w:r w:rsidR="00F4528C">
        <w:rPr>
          <w:color w:val="000000"/>
          <w:sz w:val="22"/>
          <w:szCs w:val="22"/>
        </w:rPr>
        <w:t xml:space="preserve"> (KDVA Modification Application)</w:t>
      </w:r>
      <w:r w:rsidR="00DF6912">
        <w:rPr>
          <w:color w:val="000000"/>
          <w:sz w:val="22"/>
          <w:szCs w:val="22"/>
        </w:rPr>
        <w:t xml:space="preserve">, and KVVA-FM, </w:t>
      </w:r>
      <w:r w:rsidR="00A203D1">
        <w:rPr>
          <w:color w:val="000000"/>
          <w:sz w:val="22"/>
          <w:szCs w:val="22"/>
        </w:rPr>
        <w:t>Apache Junction</w:t>
      </w:r>
      <w:r w:rsidR="00DF6912">
        <w:rPr>
          <w:color w:val="000000"/>
          <w:sz w:val="22"/>
          <w:szCs w:val="22"/>
        </w:rPr>
        <w:t>, Arizona</w:t>
      </w:r>
      <w:r w:rsidR="00F4528C">
        <w:rPr>
          <w:color w:val="000000"/>
          <w:sz w:val="22"/>
          <w:szCs w:val="22"/>
        </w:rPr>
        <w:t xml:space="preserve"> (KVVA-FM Modification Application)</w:t>
      </w:r>
      <w:r w:rsidR="00DF6912">
        <w:rPr>
          <w:color w:val="000000"/>
          <w:sz w:val="22"/>
          <w:szCs w:val="22"/>
        </w:rPr>
        <w:t xml:space="preserve"> </w:t>
      </w:r>
      <w:r w:rsidR="00E17824">
        <w:rPr>
          <w:color w:val="000000"/>
          <w:sz w:val="22"/>
          <w:szCs w:val="22"/>
        </w:rPr>
        <w:t xml:space="preserve">filed by </w:t>
      </w:r>
      <w:r w:rsidR="00E17824">
        <w:rPr>
          <w:color w:val="000000"/>
          <w:sz w:val="22"/>
          <w:szCs w:val="22"/>
        </w:rPr>
        <w:t>Entravision</w:t>
      </w:r>
      <w:r w:rsidR="00E17824">
        <w:rPr>
          <w:color w:val="000000"/>
          <w:sz w:val="22"/>
          <w:szCs w:val="22"/>
        </w:rPr>
        <w:t xml:space="preserve"> on December 27, 2017 </w:t>
      </w:r>
      <w:r w:rsidR="00DF6912">
        <w:rPr>
          <w:color w:val="000000"/>
          <w:sz w:val="22"/>
          <w:szCs w:val="22"/>
        </w:rPr>
        <w:t>(</w:t>
      </w:r>
      <w:r w:rsidR="00F4528C">
        <w:rPr>
          <w:color w:val="000000"/>
          <w:sz w:val="22"/>
          <w:szCs w:val="22"/>
        </w:rPr>
        <w:t xml:space="preserve">collectively, </w:t>
      </w:r>
      <w:r w:rsidR="00DF6912">
        <w:rPr>
          <w:color w:val="000000"/>
          <w:sz w:val="22"/>
          <w:szCs w:val="22"/>
        </w:rPr>
        <w:t>Entravision</w:t>
      </w:r>
      <w:r w:rsidR="00DF6912">
        <w:rPr>
          <w:color w:val="000000"/>
          <w:sz w:val="22"/>
          <w:szCs w:val="22"/>
        </w:rPr>
        <w:t xml:space="preserve"> Modification Applications)</w:t>
      </w:r>
      <w:r w:rsidR="00E40153">
        <w:rPr>
          <w:color w:val="000000"/>
          <w:sz w:val="22"/>
          <w:szCs w:val="22"/>
        </w:rPr>
        <w:t xml:space="preserve">, and (2) </w:t>
      </w:r>
      <w:r w:rsidR="00F4528C">
        <w:rPr>
          <w:color w:val="000000"/>
          <w:sz w:val="22"/>
          <w:szCs w:val="22"/>
        </w:rPr>
        <w:t>Matinee</w:t>
      </w:r>
      <w:r w:rsidR="00E40153">
        <w:rPr>
          <w:color w:val="000000"/>
          <w:sz w:val="22"/>
          <w:szCs w:val="22"/>
        </w:rPr>
        <w:t>’s January 19, 2018,</w:t>
      </w:r>
      <w:r w:rsidR="00F4528C">
        <w:rPr>
          <w:color w:val="000000"/>
          <w:sz w:val="22"/>
          <w:szCs w:val="22"/>
        </w:rPr>
        <w:t xml:space="preserve"> informal objection to the KVVA-FM Modification Application (KVVA-FM Informal Objection).</w:t>
      </w:r>
      <w:r>
        <w:rPr>
          <w:rStyle w:val="FootnoteReference"/>
          <w:color w:val="000000"/>
          <w:sz w:val="22"/>
          <w:szCs w:val="22"/>
        </w:rPr>
        <w:footnoteReference w:id="3"/>
      </w:r>
      <w:r w:rsidR="00F4528C">
        <w:rPr>
          <w:color w:val="000000"/>
          <w:sz w:val="22"/>
          <w:szCs w:val="22"/>
        </w:rPr>
        <w:t xml:space="preserve">  </w:t>
      </w:r>
      <w:r w:rsidRPr="00DA28AF" w:rsidR="002663BF">
        <w:rPr>
          <w:color w:val="000000"/>
          <w:sz w:val="22"/>
          <w:szCs w:val="22"/>
        </w:rPr>
        <w:t>For the reasons stated below, we</w:t>
      </w:r>
      <w:r w:rsidR="00B97132">
        <w:rPr>
          <w:color w:val="000000"/>
          <w:sz w:val="22"/>
          <w:szCs w:val="22"/>
        </w:rPr>
        <w:t>: (1)</w:t>
      </w:r>
      <w:r w:rsidR="00831742">
        <w:rPr>
          <w:color w:val="000000"/>
          <w:sz w:val="22"/>
          <w:szCs w:val="22"/>
        </w:rPr>
        <w:t xml:space="preserve"> </w:t>
      </w:r>
      <w:r w:rsidRPr="00DA28AF" w:rsidR="00831742">
        <w:rPr>
          <w:color w:val="000000"/>
          <w:sz w:val="22"/>
          <w:szCs w:val="22"/>
        </w:rPr>
        <w:t xml:space="preserve">deny the </w:t>
      </w:r>
      <w:r w:rsidR="00831742">
        <w:rPr>
          <w:color w:val="000000"/>
          <w:sz w:val="22"/>
          <w:szCs w:val="22"/>
        </w:rPr>
        <w:t>KAZV Informal Objection</w:t>
      </w:r>
      <w:r w:rsidR="00B97132">
        <w:rPr>
          <w:color w:val="000000"/>
          <w:sz w:val="22"/>
          <w:szCs w:val="22"/>
        </w:rPr>
        <w:t>; (2)</w:t>
      </w:r>
      <w:r w:rsidR="00831742">
        <w:rPr>
          <w:color w:val="000000"/>
          <w:sz w:val="22"/>
          <w:szCs w:val="22"/>
        </w:rPr>
        <w:t xml:space="preserve"> </w:t>
      </w:r>
      <w:r w:rsidRPr="00DA28AF" w:rsidR="00831742">
        <w:rPr>
          <w:color w:val="000000"/>
          <w:sz w:val="22"/>
          <w:szCs w:val="22"/>
        </w:rPr>
        <w:t xml:space="preserve">grant the </w:t>
      </w:r>
      <w:r w:rsidR="00AA7C83">
        <w:rPr>
          <w:color w:val="000000"/>
          <w:sz w:val="22"/>
          <w:szCs w:val="22"/>
        </w:rPr>
        <w:t>KAZV License Application</w:t>
      </w:r>
      <w:r w:rsidR="00B97132">
        <w:rPr>
          <w:color w:val="000000"/>
          <w:sz w:val="22"/>
          <w:szCs w:val="22"/>
        </w:rPr>
        <w:t>; (3)</w:t>
      </w:r>
      <w:r w:rsidR="00831742">
        <w:rPr>
          <w:color w:val="000000"/>
          <w:sz w:val="22"/>
          <w:szCs w:val="22"/>
        </w:rPr>
        <w:t xml:space="preserve"> grant the KVVA-FM Informal Objection</w:t>
      </w:r>
      <w:r w:rsidR="00B97132">
        <w:rPr>
          <w:color w:val="000000"/>
          <w:sz w:val="22"/>
          <w:szCs w:val="22"/>
        </w:rPr>
        <w:t>; (4)</w:t>
      </w:r>
      <w:r w:rsidR="00831742">
        <w:rPr>
          <w:color w:val="000000"/>
          <w:sz w:val="22"/>
          <w:szCs w:val="22"/>
        </w:rPr>
        <w:t xml:space="preserve"> </w:t>
      </w:r>
      <w:r w:rsidR="00DF6912">
        <w:rPr>
          <w:color w:val="000000"/>
          <w:sz w:val="22"/>
          <w:szCs w:val="22"/>
        </w:rPr>
        <w:t xml:space="preserve">dismiss the </w:t>
      </w:r>
      <w:r w:rsidR="00FD6476">
        <w:rPr>
          <w:color w:val="000000"/>
          <w:sz w:val="22"/>
          <w:szCs w:val="22"/>
        </w:rPr>
        <w:t xml:space="preserve">KVVA-FM </w:t>
      </w:r>
      <w:r w:rsidR="00DF6912">
        <w:rPr>
          <w:color w:val="000000"/>
          <w:sz w:val="22"/>
          <w:szCs w:val="22"/>
        </w:rPr>
        <w:t>Modification Application</w:t>
      </w:r>
      <w:r w:rsidR="00A203D1">
        <w:rPr>
          <w:color w:val="000000"/>
          <w:sz w:val="22"/>
          <w:szCs w:val="22"/>
        </w:rPr>
        <w:t xml:space="preserve"> </w:t>
      </w:r>
      <w:r w:rsidR="005A6A70">
        <w:rPr>
          <w:color w:val="000000"/>
          <w:sz w:val="22"/>
          <w:szCs w:val="22"/>
        </w:rPr>
        <w:t xml:space="preserve">as unacceptable for filing due to </w:t>
      </w:r>
      <w:r w:rsidR="00A203D1">
        <w:rPr>
          <w:color w:val="000000"/>
          <w:sz w:val="22"/>
          <w:szCs w:val="22"/>
        </w:rPr>
        <w:t>failure to protect KAZV under the minimum separation requirements set out in Section 73.207(b)(1) of the Rules</w:t>
      </w:r>
      <w:r w:rsidR="00B97132">
        <w:rPr>
          <w:color w:val="000000"/>
          <w:sz w:val="22"/>
          <w:szCs w:val="22"/>
        </w:rPr>
        <w:t>;</w:t>
      </w:r>
      <w:r>
        <w:rPr>
          <w:rStyle w:val="FootnoteReference"/>
          <w:color w:val="000000"/>
          <w:sz w:val="22"/>
          <w:szCs w:val="22"/>
        </w:rPr>
        <w:footnoteReference w:id="4"/>
      </w:r>
      <w:r w:rsidR="00FD6476">
        <w:rPr>
          <w:color w:val="000000"/>
          <w:sz w:val="22"/>
          <w:szCs w:val="22"/>
        </w:rPr>
        <w:t xml:space="preserve"> and </w:t>
      </w:r>
      <w:r w:rsidR="00B97132">
        <w:rPr>
          <w:color w:val="000000"/>
          <w:sz w:val="22"/>
          <w:szCs w:val="22"/>
        </w:rPr>
        <w:t xml:space="preserve">(5) </w:t>
      </w:r>
      <w:r w:rsidR="00FD6476">
        <w:rPr>
          <w:color w:val="000000"/>
          <w:sz w:val="22"/>
          <w:szCs w:val="22"/>
        </w:rPr>
        <w:t xml:space="preserve">dismiss the KDVA Modification Application </w:t>
      </w:r>
      <w:r w:rsidR="001663EB">
        <w:rPr>
          <w:color w:val="000000"/>
          <w:sz w:val="22"/>
          <w:szCs w:val="22"/>
        </w:rPr>
        <w:t xml:space="preserve">pursuant to Section </w:t>
      </w:r>
      <w:r w:rsidRPr="001663EB" w:rsidR="001663EB">
        <w:rPr>
          <w:color w:val="000000"/>
          <w:sz w:val="22"/>
          <w:szCs w:val="22"/>
        </w:rPr>
        <w:t xml:space="preserve">73.3517(e) </w:t>
      </w:r>
      <w:r w:rsidR="001663EB">
        <w:rPr>
          <w:color w:val="000000"/>
          <w:sz w:val="22"/>
          <w:szCs w:val="22"/>
        </w:rPr>
        <w:t xml:space="preserve">of the Rules </w:t>
      </w:r>
      <w:r w:rsidR="005A6A70">
        <w:rPr>
          <w:color w:val="000000"/>
          <w:sz w:val="22"/>
          <w:szCs w:val="22"/>
        </w:rPr>
        <w:t>because it is contingent on the KVVA-FM Modification Application.</w:t>
      </w:r>
      <w:r>
        <w:rPr>
          <w:rStyle w:val="FootnoteReference"/>
          <w:color w:val="000000"/>
          <w:sz w:val="22"/>
          <w:szCs w:val="22"/>
        </w:rPr>
        <w:footnoteReference w:id="5"/>
      </w:r>
      <w:r w:rsidRPr="00DA28AF" w:rsidR="00F63865">
        <w:rPr>
          <w:color w:val="000000"/>
          <w:sz w:val="22"/>
          <w:szCs w:val="22"/>
        </w:rPr>
        <w:t xml:space="preserve">  </w:t>
      </w:r>
    </w:p>
    <w:p w:rsidR="00F55056" w:rsidP="00DA28AF">
      <w:pPr>
        <w:spacing w:before="240"/>
        <w:ind w:firstLine="720"/>
        <w:rPr>
          <w:color w:val="000000"/>
          <w:sz w:val="22"/>
          <w:szCs w:val="22"/>
        </w:rPr>
      </w:pPr>
      <w:r w:rsidRPr="00DA28AF">
        <w:rPr>
          <w:b/>
          <w:color w:val="000000"/>
          <w:sz w:val="22"/>
          <w:szCs w:val="22"/>
        </w:rPr>
        <w:t xml:space="preserve">Background.  </w:t>
      </w:r>
      <w:r w:rsidR="002B585C">
        <w:rPr>
          <w:color w:val="000000"/>
          <w:sz w:val="22"/>
          <w:szCs w:val="22"/>
        </w:rPr>
        <w:t xml:space="preserve">On November 29, 2011, the </w:t>
      </w:r>
      <w:r w:rsidR="005A3D5A">
        <w:rPr>
          <w:color w:val="000000"/>
          <w:sz w:val="22"/>
          <w:szCs w:val="22"/>
        </w:rPr>
        <w:t>Audio Division, Media Bureau (Bureau)</w:t>
      </w:r>
      <w:r w:rsidR="002B585C">
        <w:rPr>
          <w:color w:val="000000"/>
          <w:sz w:val="22"/>
          <w:szCs w:val="22"/>
        </w:rPr>
        <w:t xml:space="preserve"> granted </w:t>
      </w:r>
      <w:r w:rsidR="00E616DF">
        <w:rPr>
          <w:color w:val="000000"/>
          <w:sz w:val="22"/>
          <w:szCs w:val="22"/>
        </w:rPr>
        <w:t xml:space="preserve">a construction permit to </w:t>
      </w:r>
      <w:r w:rsidR="00A5302E">
        <w:rPr>
          <w:color w:val="000000"/>
          <w:sz w:val="22"/>
          <w:szCs w:val="22"/>
        </w:rPr>
        <w:t xml:space="preserve">Able Radio Corporation (Able), </w:t>
      </w:r>
      <w:r w:rsidR="00E616DF">
        <w:rPr>
          <w:color w:val="000000"/>
          <w:sz w:val="22"/>
          <w:szCs w:val="22"/>
        </w:rPr>
        <w:t>the winning bidder</w:t>
      </w:r>
      <w:r w:rsidR="005A3D5A">
        <w:rPr>
          <w:color w:val="000000"/>
          <w:sz w:val="22"/>
          <w:szCs w:val="22"/>
        </w:rPr>
        <w:t xml:space="preserve"> </w:t>
      </w:r>
      <w:r w:rsidR="00E616DF">
        <w:rPr>
          <w:color w:val="000000"/>
          <w:sz w:val="22"/>
          <w:szCs w:val="22"/>
        </w:rPr>
        <w:t>for a new commercial FM station at Aquila, Arizona</w:t>
      </w:r>
      <w:r w:rsidRPr="00E53C2F" w:rsidR="00E53C2F">
        <w:rPr>
          <w:color w:val="000000"/>
          <w:sz w:val="22"/>
          <w:szCs w:val="22"/>
        </w:rPr>
        <w:t>.</w:t>
      </w:r>
      <w:r>
        <w:rPr>
          <w:rStyle w:val="FootnoteReference"/>
          <w:color w:val="000000"/>
          <w:sz w:val="22"/>
          <w:szCs w:val="22"/>
        </w:rPr>
        <w:footnoteReference w:id="6"/>
      </w:r>
      <w:r w:rsidR="00E616DF">
        <w:rPr>
          <w:color w:val="000000"/>
          <w:sz w:val="22"/>
          <w:szCs w:val="22"/>
        </w:rPr>
        <w:t xml:space="preserve">  </w:t>
      </w:r>
      <w:r w:rsidR="00BB10C7">
        <w:rPr>
          <w:color w:val="000000"/>
          <w:sz w:val="22"/>
          <w:szCs w:val="22"/>
        </w:rPr>
        <w:t>At the same time, the Bureau</w:t>
      </w:r>
      <w:r w:rsidR="006A38A3">
        <w:rPr>
          <w:color w:val="000000"/>
          <w:sz w:val="22"/>
          <w:szCs w:val="22"/>
        </w:rPr>
        <w:t xml:space="preserve"> </w:t>
      </w:r>
      <w:r w:rsidR="00E616DF">
        <w:rPr>
          <w:color w:val="000000"/>
          <w:sz w:val="22"/>
          <w:szCs w:val="22"/>
        </w:rPr>
        <w:t xml:space="preserve">dismissed two </w:t>
      </w:r>
      <w:r w:rsidR="009E422F">
        <w:rPr>
          <w:color w:val="000000"/>
          <w:sz w:val="22"/>
          <w:szCs w:val="22"/>
        </w:rPr>
        <w:t>competing</w:t>
      </w:r>
      <w:r w:rsidR="00E616DF">
        <w:rPr>
          <w:color w:val="000000"/>
          <w:sz w:val="22"/>
          <w:szCs w:val="22"/>
        </w:rPr>
        <w:t xml:space="preserve"> modification applicati</w:t>
      </w:r>
      <w:r w:rsidR="00ED2B0B">
        <w:rPr>
          <w:color w:val="000000"/>
          <w:sz w:val="22"/>
          <w:szCs w:val="22"/>
        </w:rPr>
        <w:t xml:space="preserve">ons for </w:t>
      </w:r>
      <w:r w:rsidR="00ED2B0B">
        <w:rPr>
          <w:color w:val="000000"/>
          <w:sz w:val="22"/>
          <w:szCs w:val="22"/>
        </w:rPr>
        <w:t>Entravision</w:t>
      </w:r>
      <w:r w:rsidR="00ED2B0B">
        <w:rPr>
          <w:color w:val="000000"/>
          <w:sz w:val="22"/>
          <w:szCs w:val="22"/>
        </w:rPr>
        <w:t xml:space="preserve"> stations KVV</w:t>
      </w:r>
      <w:r w:rsidR="00E616DF">
        <w:rPr>
          <w:color w:val="000000"/>
          <w:sz w:val="22"/>
          <w:szCs w:val="22"/>
        </w:rPr>
        <w:t>A-FM and KDVA(FM).</w:t>
      </w:r>
      <w:r>
        <w:rPr>
          <w:rStyle w:val="FootnoteReference"/>
          <w:color w:val="000000"/>
          <w:sz w:val="22"/>
          <w:szCs w:val="22"/>
        </w:rPr>
        <w:footnoteReference w:id="7"/>
      </w:r>
      <w:r w:rsidR="00E616DF">
        <w:rPr>
          <w:color w:val="000000"/>
          <w:sz w:val="22"/>
          <w:szCs w:val="22"/>
        </w:rPr>
        <w:t xml:space="preserve"> </w:t>
      </w:r>
      <w:r w:rsidR="0024670E">
        <w:rPr>
          <w:color w:val="000000"/>
          <w:sz w:val="22"/>
          <w:szCs w:val="22"/>
        </w:rPr>
        <w:t xml:space="preserve"> </w:t>
      </w:r>
      <w:r w:rsidR="0024670E">
        <w:rPr>
          <w:color w:val="000000"/>
          <w:sz w:val="22"/>
          <w:szCs w:val="22"/>
        </w:rPr>
        <w:t>Entravision</w:t>
      </w:r>
      <w:r w:rsidR="0024670E">
        <w:rPr>
          <w:color w:val="000000"/>
          <w:sz w:val="22"/>
          <w:szCs w:val="22"/>
        </w:rPr>
        <w:t xml:space="preserve"> </w:t>
      </w:r>
      <w:r w:rsidR="00BB10C7">
        <w:rPr>
          <w:color w:val="000000"/>
          <w:sz w:val="22"/>
          <w:szCs w:val="22"/>
        </w:rPr>
        <w:t xml:space="preserve">repeatedly </w:t>
      </w:r>
      <w:r w:rsidR="0024670E">
        <w:rPr>
          <w:color w:val="000000"/>
          <w:sz w:val="22"/>
          <w:szCs w:val="22"/>
        </w:rPr>
        <w:t xml:space="preserve">challenged the grant of the </w:t>
      </w:r>
      <w:r w:rsidR="004415A6">
        <w:rPr>
          <w:color w:val="000000"/>
          <w:sz w:val="22"/>
          <w:szCs w:val="22"/>
        </w:rPr>
        <w:t>KAZV C</w:t>
      </w:r>
      <w:r w:rsidR="0024670E">
        <w:rPr>
          <w:color w:val="000000"/>
          <w:sz w:val="22"/>
          <w:szCs w:val="22"/>
        </w:rPr>
        <w:t xml:space="preserve">onstruction </w:t>
      </w:r>
      <w:r w:rsidR="004415A6">
        <w:rPr>
          <w:color w:val="000000"/>
          <w:sz w:val="22"/>
          <w:szCs w:val="22"/>
        </w:rPr>
        <w:t>P</w:t>
      </w:r>
      <w:r w:rsidR="0024670E">
        <w:rPr>
          <w:color w:val="000000"/>
          <w:sz w:val="22"/>
          <w:szCs w:val="22"/>
        </w:rPr>
        <w:t>ermit</w:t>
      </w:r>
      <w:r w:rsidR="00F81BA3">
        <w:rPr>
          <w:color w:val="000000"/>
          <w:sz w:val="22"/>
          <w:szCs w:val="22"/>
        </w:rPr>
        <w:t>—</w:t>
      </w:r>
      <w:r w:rsidR="009E422F">
        <w:rPr>
          <w:color w:val="000000"/>
          <w:sz w:val="22"/>
          <w:szCs w:val="22"/>
        </w:rPr>
        <w:t>through an</w:t>
      </w:r>
      <w:r w:rsidR="004415A6">
        <w:rPr>
          <w:color w:val="000000"/>
          <w:sz w:val="22"/>
          <w:szCs w:val="22"/>
        </w:rPr>
        <w:t xml:space="preserve"> informal objection, petition for reconsideration, and application for review</w:t>
      </w:r>
      <w:r w:rsidR="00F81BA3">
        <w:rPr>
          <w:color w:val="000000"/>
          <w:sz w:val="22"/>
          <w:szCs w:val="22"/>
        </w:rPr>
        <w:t>—</w:t>
      </w:r>
      <w:r w:rsidR="006A38A3">
        <w:rPr>
          <w:color w:val="000000"/>
          <w:sz w:val="22"/>
          <w:szCs w:val="22"/>
        </w:rPr>
        <w:t xml:space="preserve">at each stage </w:t>
      </w:r>
      <w:r w:rsidR="009E422F">
        <w:rPr>
          <w:color w:val="000000"/>
          <w:sz w:val="22"/>
          <w:szCs w:val="22"/>
        </w:rPr>
        <w:t xml:space="preserve">arguing unsuccessfully that Able had failed to obtain reasonable assurance of site availability at its original site and </w:t>
      </w:r>
      <w:r w:rsidR="0091461A">
        <w:rPr>
          <w:color w:val="000000"/>
          <w:sz w:val="22"/>
          <w:szCs w:val="22"/>
        </w:rPr>
        <w:t xml:space="preserve">could not </w:t>
      </w:r>
      <w:r w:rsidR="009E422F">
        <w:rPr>
          <w:color w:val="000000"/>
          <w:sz w:val="22"/>
          <w:szCs w:val="22"/>
        </w:rPr>
        <w:t>correct this deficiency by later curative amendment</w:t>
      </w:r>
      <w:r w:rsidR="004415A6">
        <w:rPr>
          <w:color w:val="000000"/>
          <w:sz w:val="22"/>
          <w:szCs w:val="22"/>
        </w:rPr>
        <w:t>.</w:t>
      </w:r>
      <w:r>
        <w:rPr>
          <w:rStyle w:val="FootnoteReference"/>
          <w:color w:val="000000"/>
          <w:sz w:val="22"/>
          <w:szCs w:val="22"/>
        </w:rPr>
        <w:footnoteReference w:id="8"/>
      </w:r>
      <w:r w:rsidR="004415A6">
        <w:rPr>
          <w:color w:val="000000"/>
          <w:sz w:val="22"/>
          <w:szCs w:val="22"/>
        </w:rPr>
        <w:t xml:space="preserve"> </w:t>
      </w:r>
      <w:r w:rsidR="009E422F">
        <w:rPr>
          <w:color w:val="000000"/>
          <w:sz w:val="22"/>
          <w:szCs w:val="22"/>
        </w:rPr>
        <w:t xml:space="preserve"> </w:t>
      </w:r>
      <w:r>
        <w:rPr>
          <w:color w:val="000000"/>
          <w:sz w:val="22"/>
          <w:szCs w:val="22"/>
        </w:rPr>
        <w:t xml:space="preserve">On </w:t>
      </w:r>
      <w:r w:rsidR="005E7C35">
        <w:rPr>
          <w:color w:val="000000"/>
          <w:sz w:val="22"/>
          <w:szCs w:val="22"/>
        </w:rPr>
        <w:t>April 23, 2014, the Commission issued a final disposition of the matter in a memorandum opinion and order</w:t>
      </w:r>
      <w:r w:rsidR="00856AA5">
        <w:rPr>
          <w:color w:val="000000"/>
          <w:sz w:val="22"/>
          <w:szCs w:val="22"/>
        </w:rPr>
        <w:t xml:space="preserve"> denying</w:t>
      </w:r>
      <w:r w:rsidR="005E7C35">
        <w:rPr>
          <w:color w:val="000000"/>
          <w:sz w:val="22"/>
          <w:szCs w:val="22"/>
        </w:rPr>
        <w:t xml:space="preserve"> </w:t>
      </w:r>
      <w:r w:rsidR="005E7C35">
        <w:rPr>
          <w:color w:val="000000"/>
          <w:sz w:val="22"/>
          <w:szCs w:val="22"/>
        </w:rPr>
        <w:t>Entravision’s</w:t>
      </w:r>
      <w:r w:rsidR="005E7C35">
        <w:rPr>
          <w:color w:val="000000"/>
          <w:sz w:val="22"/>
          <w:szCs w:val="22"/>
        </w:rPr>
        <w:t xml:space="preserve"> application for review.</w:t>
      </w:r>
      <w:r>
        <w:rPr>
          <w:rStyle w:val="FootnoteReference"/>
          <w:color w:val="000000"/>
          <w:sz w:val="22"/>
          <w:szCs w:val="22"/>
        </w:rPr>
        <w:footnoteReference w:id="9"/>
      </w:r>
      <w:r w:rsidR="005E7C35">
        <w:rPr>
          <w:color w:val="000000"/>
          <w:sz w:val="22"/>
          <w:szCs w:val="22"/>
        </w:rPr>
        <w:t xml:space="preserve">  </w:t>
      </w:r>
      <w:r w:rsidR="00F3773E">
        <w:rPr>
          <w:color w:val="000000"/>
          <w:sz w:val="22"/>
          <w:szCs w:val="22"/>
        </w:rPr>
        <w:t xml:space="preserve">On December 3, 2015, Matinee acquired the KAZV Construction Permit from </w:t>
      </w:r>
      <w:r w:rsidR="00F3773E">
        <w:rPr>
          <w:color w:val="000000"/>
          <w:sz w:val="22"/>
          <w:szCs w:val="22"/>
        </w:rPr>
        <w:t>Able’s</w:t>
      </w:r>
      <w:r w:rsidR="00F3773E">
        <w:rPr>
          <w:color w:val="000000"/>
          <w:sz w:val="22"/>
          <w:szCs w:val="22"/>
        </w:rPr>
        <w:t xml:space="preserve"> trustee in bankruptcy.</w:t>
      </w:r>
      <w:r>
        <w:rPr>
          <w:rStyle w:val="FootnoteReference"/>
          <w:color w:val="000000"/>
          <w:sz w:val="22"/>
          <w:szCs w:val="22"/>
        </w:rPr>
        <w:footnoteReference w:id="10"/>
      </w:r>
      <w:r w:rsidR="00F3773E">
        <w:rPr>
          <w:color w:val="000000"/>
          <w:sz w:val="22"/>
          <w:szCs w:val="22"/>
        </w:rPr>
        <w:t xml:space="preserve">  </w:t>
      </w:r>
    </w:p>
    <w:p w:rsidR="00833B4A" w:rsidP="00DA28AF">
      <w:pPr>
        <w:spacing w:before="240"/>
        <w:ind w:firstLine="720"/>
        <w:rPr>
          <w:color w:val="000000"/>
          <w:sz w:val="22"/>
          <w:szCs w:val="22"/>
        </w:rPr>
      </w:pPr>
      <w:r>
        <w:rPr>
          <w:i/>
          <w:color w:val="000000"/>
          <w:sz w:val="22"/>
          <w:szCs w:val="22"/>
        </w:rPr>
        <w:t>KAZV M</w:t>
      </w:r>
      <w:r w:rsidR="00F3773E">
        <w:rPr>
          <w:i/>
          <w:color w:val="000000"/>
          <w:sz w:val="22"/>
          <w:szCs w:val="22"/>
        </w:rPr>
        <w:t xml:space="preserve">odification </w:t>
      </w:r>
      <w:r>
        <w:rPr>
          <w:i/>
          <w:color w:val="000000"/>
          <w:sz w:val="22"/>
          <w:szCs w:val="22"/>
        </w:rPr>
        <w:t>A</w:t>
      </w:r>
      <w:r w:rsidR="00F3773E">
        <w:rPr>
          <w:i/>
          <w:color w:val="000000"/>
          <w:sz w:val="22"/>
          <w:szCs w:val="22"/>
        </w:rPr>
        <w:t xml:space="preserve">pplication.  </w:t>
      </w:r>
      <w:r w:rsidR="00F3773E">
        <w:rPr>
          <w:color w:val="000000"/>
          <w:sz w:val="22"/>
          <w:szCs w:val="22"/>
        </w:rPr>
        <w:t>On October 22, 2015, a</w:t>
      </w:r>
      <w:r w:rsidR="005E7C35">
        <w:rPr>
          <w:color w:val="000000"/>
          <w:sz w:val="22"/>
          <w:szCs w:val="22"/>
        </w:rPr>
        <w:t>s</w:t>
      </w:r>
      <w:r w:rsidR="00111DD1">
        <w:rPr>
          <w:color w:val="000000"/>
          <w:sz w:val="22"/>
          <w:szCs w:val="22"/>
        </w:rPr>
        <w:t xml:space="preserve"> the proposed assignee, </w:t>
      </w:r>
      <w:r w:rsidR="001C2F15">
        <w:rPr>
          <w:color w:val="000000"/>
          <w:sz w:val="22"/>
          <w:szCs w:val="22"/>
        </w:rPr>
        <w:t xml:space="preserve">Matinee filed </w:t>
      </w:r>
      <w:r w:rsidR="005E7C35">
        <w:rPr>
          <w:color w:val="000000"/>
          <w:sz w:val="22"/>
          <w:szCs w:val="22"/>
        </w:rPr>
        <w:t>an application to modif</w:t>
      </w:r>
      <w:r w:rsidR="00402094">
        <w:rPr>
          <w:color w:val="000000"/>
          <w:sz w:val="22"/>
          <w:szCs w:val="22"/>
        </w:rPr>
        <w:t>y the KAZV Construction Permit to</w:t>
      </w:r>
      <w:r w:rsidR="005E7C35">
        <w:rPr>
          <w:color w:val="000000"/>
          <w:sz w:val="22"/>
          <w:szCs w:val="22"/>
        </w:rPr>
        <w:t xml:space="preserve"> specify </w:t>
      </w:r>
      <w:r w:rsidR="005B2444">
        <w:rPr>
          <w:color w:val="000000"/>
          <w:sz w:val="22"/>
          <w:szCs w:val="22"/>
        </w:rPr>
        <w:t xml:space="preserve">a </w:t>
      </w:r>
      <w:r w:rsidR="00831742">
        <w:rPr>
          <w:color w:val="000000"/>
          <w:sz w:val="22"/>
          <w:szCs w:val="22"/>
        </w:rPr>
        <w:t>new</w:t>
      </w:r>
      <w:r w:rsidR="005B2444">
        <w:rPr>
          <w:color w:val="000000"/>
          <w:sz w:val="22"/>
          <w:szCs w:val="22"/>
        </w:rPr>
        <w:t xml:space="preserve"> </w:t>
      </w:r>
      <w:r w:rsidR="0021393E">
        <w:rPr>
          <w:color w:val="000000"/>
          <w:sz w:val="22"/>
          <w:szCs w:val="22"/>
        </w:rPr>
        <w:t>365-foot</w:t>
      </w:r>
      <w:r w:rsidR="005B2444">
        <w:rPr>
          <w:color w:val="000000"/>
          <w:sz w:val="22"/>
          <w:szCs w:val="22"/>
        </w:rPr>
        <w:t xml:space="preserve"> </w:t>
      </w:r>
      <w:r w:rsidR="00402094">
        <w:rPr>
          <w:color w:val="000000"/>
          <w:sz w:val="22"/>
          <w:szCs w:val="22"/>
        </w:rPr>
        <w:t xml:space="preserve">guyed </w:t>
      </w:r>
      <w:r w:rsidR="005B2444">
        <w:rPr>
          <w:color w:val="000000"/>
          <w:sz w:val="22"/>
          <w:szCs w:val="22"/>
        </w:rPr>
        <w:t>tower</w:t>
      </w:r>
      <w:r w:rsidR="005E7C35">
        <w:rPr>
          <w:color w:val="000000"/>
          <w:sz w:val="22"/>
          <w:szCs w:val="22"/>
        </w:rPr>
        <w:t xml:space="preserve"> </w:t>
      </w:r>
      <w:r>
        <w:rPr>
          <w:color w:val="000000"/>
          <w:sz w:val="22"/>
          <w:szCs w:val="22"/>
        </w:rPr>
        <w:t xml:space="preserve">located </w:t>
      </w:r>
      <w:r w:rsidR="00F3773E">
        <w:rPr>
          <w:color w:val="000000"/>
          <w:sz w:val="22"/>
          <w:szCs w:val="22"/>
        </w:rPr>
        <w:t xml:space="preserve">between Aquila and Wickenburg, Arizona </w:t>
      </w:r>
      <w:r w:rsidR="00BD061F">
        <w:rPr>
          <w:color w:val="000000"/>
          <w:sz w:val="22"/>
          <w:szCs w:val="22"/>
        </w:rPr>
        <w:t>(</w:t>
      </w:r>
      <w:r w:rsidR="006A2DA0">
        <w:rPr>
          <w:color w:val="000000"/>
          <w:sz w:val="22"/>
          <w:szCs w:val="22"/>
        </w:rPr>
        <w:t>KAZV Modification Application</w:t>
      </w:r>
      <w:r w:rsidR="00BD061F">
        <w:rPr>
          <w:color w:val="000000"/>
          <w:sz w:val="22"/>
          <w:szCs w:val="22"/>
        </w:rPr>
        <w:t>)</w:t>
      </w:r>
      <w:r w:rsidR="005B2444">
        <w:rPr>
          <w:color w:val="000000"/>
          <w:sz w:val="22"/>
          <w:szCs w:val="22"/>
        </w:rPr>
        <w:t>.</w:t>
      </w:r>
      <w:r>
        <w:rPr>
          <w:rStyle w:val="FootnoteReference"/>
          <w:color w:val="000000"/>
          <w:sz w:val="22"/>
          <w:szCs w:val="22"/>
        </w:rPr>
        <w:footnoteReference w:id="11"/>
      </w:r>
      <w:r w:rsidR="005B2444">
        <w:rPr>
          <w:color w:val="000000"/>
          <w:sz w:val="22"/>
          <w:szCs w:val="22"/>
        </w:rPr>
        <w:t xml:space="preserve"> </w:t>
      </w:r>
      <w:r w:rsidR="001C2F15">
        <w:rPr>
          <w:color w:val="000000"/>
          <w:sz w:val="22"/>
          <w:szCs w:val="22"/>
        </w:rPr>
        <w:t xml:space="preserve"> </w:t>
      </w:r>
      <w:r w:rsidR="00F3773E">
        <w:rPr>
          <w:color w:val="000000"/>
          <w:sz w:val="22"/>
          <w:szCs w:val="22"/>
        </w:rPr>
        <w:t xml:space="preserve">Processing of this application was delayed </w:t>
      </w:r>
      <w:r w:rsidR="0021393E">
        <w:rPr>
          <w:color w:val="000000"/>
          <w:sz w:val="22"/>
          <w:szCs w:val="22"/>
        </w:rPr>
        <w:t>due to</w:t>
      </w:r>
      <w:r>
        <w:rPr>
          <w:color w:val="000000"/>
          <w:sz w:val="22"/>
          <w:szCs w:val="22"/>
        </w:rPr>
        <w:t xml:space="preserve"> various issues relating to </w:t>
      </w:r>
      <w:r w:rsidR="00F3773E">
        <w:rPr>
          <w:color w:val="000000"/>
          <w:sz w:val="22"/>
          <w:szCs w:val="22"/>
        </w:rPr>
        <w:t>leasing, environmental compliance, Federal Aviation Administrati</w:t>
      </w:r>
      <w:r w:rsidR="0021393E">
        <w:rPr>
          <w:color w:val="000000"/>
          <w:sz w:val="22"/>
          <w:szCs w:val="22"/>
        </w:rPr>
        <w:t>on</w:t>
      </w:r>
      <w:r>
        <w:rPr>
          <w:color w:val="000000"/>
          <w:sz w:val="22"/>
          <w:szCs w:val="22"/>
        </w:rPr>
        <w:t xml:space="preserve"> (FAA)</w:t>
      </w:r>
      <w:r w:rsidR="0021393E">
        <w:rPr>
          <w:color w:val="000000"/>
          <w:sz w:val="22"/>
          <w:szCs w:val="22"/>
        </w:rPr>
        <w:t xml:space="preserve"> compliance, </w:t>
      </w:r>
      <w:r>
        <w:rPr>
          <w:color w:val="000000"/>
          <w:sz w:val="22"/>
          <w:szCs w:val="22"/>
        </w:rPr>
        <w:t>and local zoning</w:t>
      </w:r>
      <w:r w:rsidR="00F3773E">
        <w:rPr>
          <w:color w:val="000000"/>
          <w:sz w:val="22"/>
          <w:szCs w:val="22"/>
        </w:rPr>
        <w:t xml:space="preserve">.  </w:t>
      </w:r>
      <w:r w:rsidR="005B2444">
        <w:rPr>
          <w:color w:val="000000"/>
          <w:sz w:val="22"/>
          <w:szCs w:val="22"/>
        </w:rPr>
        <w:t>In July 2017, Matinee app</w:t>
      </w:r>
      <w:r w:rsidR="00AA7C83">
        <w:rPr>
          <w:color w:val="000000"/>
          <w:sz w:val="22"/>
          <w:szCs w:val="22"/>
        </w:rPr>
        <w:t>lied for a “Special Use Permit”—</w:t>
      </w:r>
      <w:r w:rsidR="006A2DA0">
        <w:rPr>
          <w:color w:val="000000"/>
          <w:sz w:val="22"/>
          <w:szCs w:val="22"/>
        </w:rPr>
        <w:t xml:space="preserve">a type of </w:t>
      </w:r>
      <w:r w:rsidR="00AA7C83">
        <w:rPr>
          <w:color w:val="000000"/>
          <w:sz w:val="22"/>
          <w:szCs w:val="22"/>
        </w:rPr>
        <w:t>zoning permit—</w:t>
      </w:r>
      <w:r w:rsidR="00402094">
        <w:rPr>
          <w:color w:val="000000"/>
          <w:sz w:val="22"/>
          <w:szCs w:val="22"/>
        </w:rPr>
        <w:t>from</w:t>
      </w:r>
      <w:r w:rsidR="006A2DA0">
        <w:rPr>
          <w:color w:val="000000"/>
          <w:sz w:val="22"/>
          <w:szCs w:val="22"/>
        </w:rPr>
        <w:t xml:space="preserve"> </w:t>
      </w:r>
      <w:r w:rsidR="00402094">
        <w:rPr>
          <w:color w:val="000000"/>
          <w:sz w:val="22"/>
          <w:szCs w:val="22"/>
        </w:rPr>
        <w:t>Maricopa County</w:t>
      </w:r>
      <w:r w:rsidR="006A2DA0">
        <w:rPr>
          <w:color w:val="000000"/>
          <w:sz w:val="22"/>
          <w:szCs w:val="22"/>
        </w:rPr>
        <w:t xml:space="preserve"> </w:t>
      </w:r>
      <w:r w:rsidR="004574BD">
        <w:rPr>
          <w:color w:val="000000"/>
          <w:sz w:val="22"/>
          <w:szCs w:val="22"/>
        </w:rPr>
        <w:t xml:space="preserve">(County) </w:t>
      </w:r>
      <w:r w:rsidR="005B2444">
        <w:rPr>
          <w:color w:val="000000"/>
          <w:sz w:val="22"/>
          <w:szCs w:val="22"/>
        </w:rPr>
        <w:t>to build the KAZV tower.</w:t>
      </w:r>
      <w:r>
        <w:rPr>
          <w:rStyle w:val="FootnoteReference"/>
          <w:color w:val="000000"/>
          <w:sz w:val="22"/>
          <w:szCs w:val="22"/>
        </w:rPr>
        <w:footnoteReference w:id="12"/>
      </w:r>
      <w:r w:rsidR="005B2444">
        <w:rPr>
          <w:color w:val="000000"/>
          <w:sz w:val="22"/>
          <w:szCs w:val="22"/>
        </w:rPr>
        <w:t xml:space="preserve">  In October 2017, while waiting for the Special Use Permit to be processed, Matinee applied for a “Temporary Use</w:t>
      </w:r>
      <w:r w:rsidR="00F3773E">
        <w:rPr>
          <w:color w:val="000000"/>
          <w:sz w:val="22"/>
          <w:szCs w:val="22"/>
        </w:rPr>
        <w:t xml:space="preserve"> Permit” to </w:t>
      </w:r>
      <w:r w:rsidR="006A2DA0">
        <w:rPr>
          <w:color w:val="000000"/>
          <w:sz w:val="22"/>
          <w:szCs w:val="22"/>
        </w:rPr>
        <w:t>allow it to construct</w:t>
      </w:r>
      <w:r w:rsidR="00F3773E">
        <w:rPr>
          <w:color w:val="000000"/>
          <w:sz w:val="22"/>
          <w:szCs w:val="22"/>
        </w:rPr>
        <w:t xml:space="preserve"> </w:t>
      </w:r>
      <w:r w:rsidR="006A2DA0">
        <w:rPr>
          <w:color w:val="000000"/>
          <w:sz w:val="22"/>
          <w:szCs w:val="22"/>
        </w:rPr>
        <w:t xml:space="preserve">the KAZV tower </w:t>
      </w:r>
      <w:r w:rsidR="005B2444">
        <w:rPr>
          <w:color w:val="000000"/>
          <w:sz w:val="22"/>
          <w:szCs w:val="22"/>
        </w:rPr>
        <w:t>before the KAZV Construction Permit expired.</w:t>
      </w:r>
      <w:r>
        <w:rPr>
          <w:rStyle w:val="FootnoteReference"/>
          <w:color w:val="000000"/>
          <w:sz w:val="22"/>
          <w:szCs w:val="22"/>
        </w:rPr>
        <w:footnoteReference w:id="13"/>
      </w:r>
      <w:r w:rsidR="005B2444">
        <w:rPr>
          <w:color w:val="000000"/>
          <w:sz w:val="22"/>
          <w:szCs w:val="22"/>
        </w:rPr>
        <w:t xml:space="preserve">  </w:t>
      </w:r>
      <w:r w:rsidR="006F1B75">
        <w:rPr>
          <w:color w:val="000000"/>
          <w:sz w:val="22"/>
          <w:szCs w:val="22"/>
        </w:rPr>
        <w:t>On December 6, 2017, Maricopa County issued the Temporary Use Permit, stating that “since the [Special Use Permit] has been applied for, staff will allow this [Temporary Use Permit] for 9 months.”</w:t>
      </w:r>
      <w:r>
        <w:rPr>
          <w:rStyle w:val="FootnoteReference"/>
          <w:color w:val="000000"/>
          <w:sz w:val="22"/>
          <w:szCs w:val="22"/>
        </w:rPr>
        <w:footnoteReference w:id="14"/>
      </w:r>
      <w:r w:rsidR="006F1B75">
        <w:rPr>
          <w:color w:val="000000"/>
          <w:sz w:val="22"/>
          <w:szCs w:val="22"/>
        </w:rPr>
        <w:t xml:space="preserve">  </w:t>
      </w:r>
      <w:r w:rsidR="00402094">
        <w:rPr>
          <w:color w:val="000000"/>
          <w:sz w:val="22"/>
          <w:szCs w:val="22"/>
        </w:rPr>
        <w:t xml:space="preserve">The Temporary Use Permit </w:t>
      </w:r>
      <w:r w:rsidR="00AA7C83">
        <w:rPr>
          <w:color w:val="000000"/>
          <w:sz w:val="22"/>
          <w:szCs w:val="22"/>
        </w:rPr>
        <w:t>gave</w:t>
      </w:r>
      <w:r w:rsidR="00402094">
        <w:rPr>
          <w:color w:val="000000"/>
          <w:sz w:val="22"/>
          <w:szCs w:val="22"/>
        </w:rPr>
        <w:t xml:space="preserve"> Matinee </w:t>
      </w:r>
      <w:r w:rsidR="006A2DA0">
        <w:rPr>
          <w:color w:val="000000"/>
          <w:sz w:val="22"/>
          <w:szCs w:val="22"/>
        </w:rPr>
        <w:t xml:space="preserve">zoning </w:t>
      </w:r>
      <w:r w:rsidR="00402094">
        <w:rPr>
          <w:color w:val="000000"/>
          <w:sz w:val="22"/>
          <w:szCs w:val="22"/>
        </w:rPr>
        <w:t>permission to build a 199-foot guyed tower, with the first of two ultimate sets of guy wire stanchions, a generator, a satellite dish, and a 10 by 20 steel container at the base of the tower to house transmission equipment.</w:t>
      </w:r>
      <w:r>
        <w:rPr>
          <w:rStyle w:val="FootnoteReference"/>
          <w:color w:val="000000"/>
          <w:sz w:val="22"/>
          <w:szCs w:val="22"/>
        </w:rPr>
        <w:footnoteReference w:id="15"/>
      </w:r>
      <w:r w:rsidR="00402094">
        <w:rPr>
          <w:color w:val="000000"/>
          <w:sz w:val="22"/>
          <w:szCs w:val="22"/>
        </w:rPr>
        <w:t xml:space="preserve">  </w:t>
      </w:r>
      <w:r w:rsidR="005A3D5A">
        <w:rPr>
          <w:color w:val="000000"/>
          <w:sz w:val="22"/>
          <w:szCs w:val="22"/>
        </w:rPr>
        <w:t xml:space="preserve">On December 12, 2017, Bureau staff </w:t>
      </w:r>
      <w:r w:rsidR="00742383">
        <w:rPr>
          <w:color w:val="000000"/>
          <w:sz w:val="22"/>
          <w:szCs w:val="22"/>
        </w:rPr>
        <w:t xml:space="preserve">denied Matinee’s request for </w:t>
      </w:r>
      <w:r w:rsidR="00AD57CA">
        <w:rPr>
          <w:color w:val="000000"/>
          <w:sz w:val="22"/>
          <w:szCs w:val="22"/>
        </w:rPr>
        <w:t xml:space="preserve">further </w:t>
      </w:r>
      <w:r w:rsidR="00742383">
        <w:rPr>
          <w:color w:val="000000"/>
          <w:sz w:val="22"/>
          <w:szCs w:val="22"/>
        </w:rPr>
        <w:t>tollin</w:t>
      </w:r>
      <w:r w:rsidR="00AD57CA">
        <w:rPr>
          <w:color w:val="000000"/>
          <w:sz w:val="22"/>
          <w:szCs w:val="22"/>
        </w:rPr>
        <w:t>g and c</w:t>
      </w:r>
      <w:r w:rsidR="00F33761">
        <w:rPr>
          <w:color w:val="000000"/>
          <w:sz w:val="22"/>
          <w:szCs w:val="22"/>
        </w:rPr>
        <w:t xml:space="preserve">onfirmed </w:t>
      </w:r>
      <w:r w:rsidR="00AD57CA">
        <w:rPr>
          <w:color w:val="000000"/>
          <w:sz w:val="22"/>
          <w:szCs w:val="22"/>
        </w:rPr>
        <w:t>that the KAZV Construction Permit would expire on December 26, 2017.</w:t>
      </w:r>
      <w:r>
        <w:rPr>
          <w:rStyle w:val="FootnoteReference"/>
          <w:color w:val="000000"/>
          <w:sz w:val="22"/>
          <w:szCs w:val="22"/>
        </w:rPr>
        <w:footnoteReference w:id="16"/>
      </w:r>
      <w:r w:rsidR="00AD57CA">
        <w:rPr>
          <w:color w:val="000000"/>
          <w:sz w:val="22"/>
          <w:szCs w:val="22"/>
        </w:rPr>
        <w:t xml:space="preserve">  </w:t>
      </w:r>
      <w:r w:rsidR="00395BD1">
        <w:rPr>
          <w:color w:val="000000"/>
          <w:sz w:val="22"/>
          <w:szCs w:val="22"/>
        </w:rPr>
        <w:t xml:space="preserve">On December 18, 2017, </w:t>
      </w:r>
      <w:r w:rsidR="00402094">
        <w:rPr>
          <w:color w:val="000000"/>
          <w:sz w:val="22"/>
          <w:szCs w:val="22"/>
        </w:rPr>
        <w:t xml:space="preserve">Matinee amended </w:t>
      </w:r>
      <w:r w:rsidR="00395BD1">
        <w:rPr>
          <w:color w:val="000000"/>
          <w:sz w:val="22"/>
          <w:szCs w:val="22"/>
        </w:rPr>
        <w:t xml:space="preserve">the </w:t>
      </w:r>
      <w:r w:rsidR="00AA7C83">
        <w:rPr>
          <w:color w:val="000000"/>
          <w:sz w:val="22"/>
          <w:szCs w:val="22"/>
        </w:rPr>
        <w:t>KAZV Modification</w:t>
      </w:r>
      <w:r w:rsidR="00395BD1">
        <w:rPr>
          <w:color w:val="000000"/>
          <w:sz w:val="22"/>
          <w:szCs w:val="22"/>
        </w:rPr>
        <w:t xml:space="preserve"> Application</w:t>
      </w:r>
      <w:r w:rsidR="00402094">
        <w:rPr>
          <w:color w:val="000000"/>
          <w:sz w:val="22"/>
          <w:szCs w:val="22"/>
        </w:rPr>
        <w:t xml:space="preserve"> to conform to the terms of the Temporary Use Permit</w:t>
      </w:r>
      <w:r w:rsidR="00395BD1">
        <w:rPr>
          <w:color w:val="000000"/>
          <w:sz w:val="22"/>
          <w:szCs w:val="22"/>
        </w:rPr>
        <w:t xml:space="preserve">, specifying </w:t>
      </w:r>
      <w:r w:rsidR="00402094">
        <w:rPr>
          <w:color w:val="000000"/>
          <w:sz w:val="22"/>
          <w:szCs w:val="22"/>
        </w:rPr>
        <w:t xml:space="preserve">a </w:t>
      </w:r>
      <w:r w:rsidR="00AA7C83">
        <w:rPr>
          <w:color w:val="000000"/>
          <w:sz w:val="22"/>
          <w:szCs w:val="22"/>
        </w:rPr>
        <w:t>1</w:t>
      </w:r>
      <w:r>
        <w:rPr>
          <w:color w:val="000000"/>
          <w:sz w:val="22"/>
          <w:szCs w:val="22"/>
        </w:rPr>
        <w:t>50</w:t>
      </w:r>
      <w:r w:rsidR="00AA7C83">
        <w:rPr>
          <w:color w:val="000000"/>
          <w:sz w:val="22"/>
          <w:szCs w:val="22"/>
        </w:rPr>
        <w:t>-foot</w:t>
      </w:r>
      <w:r w:rsidR="00395BD1">
        <w:rPr>
          <w:color w:val="000000"/>
          <w:sz w:val="22"/>
          <w:szCs w:val="22"/>
        </w:rPr>
        <w:t xml:space="preserve"> tower.  </w:t>
      </w:r>
      <w:r w:rsidR="00AA7C83">
        <w:rPr>
          <w:color w:val="000000"/>
          <w:sz w:val="22"/>
          <w:szCs w:val="22"/>
        </w:rPr>
        <w:t>T</w:t>
      </w:r>
      <w:r w:rsidR="00F3773E">
        <w:rPr>
          <w:color w:val="000000"/>
          <w:sz w:val="22"/>
          <w:szCs w:val="22"/>
        </w:rPr>
        <w:t>he Bureau granted the</w:t>
      </w:r>
      <w:r>
        <w:rPr>
          <w:color w:val="000000"/>
          <w:sz w:val="22"/>
          <w:szCs w:val="22"/>
        </w:rPr>
        <w:t xml:space="preserve"> amended</w:t>
      </w:r>
      <w:r w:rsidR="00395BD1">
        <w:rPr>
          <w:color w:val="000000"/>
          <w:sz w:val="22"/>
          <w:szCs w:val="22"/>
        </w:rPr>
        <w:t xml:space="preserve"> </w:t>
      </w:r>
      <w:r w:rsidR="00B86A77">
        <w:rPr>
          <w:color w:val="000000"/>
          <w:sz w:val="22"/>
          <w:szCs w:val="22"/>
        </w:rPr>
        <w:t>KA</w:t>
      </w:r>
      <w:r w:rsidR="00F3773E">
        <w:rPr>
          <w:color w:val="000000"/>
          <w:sz w:val="22"/>
          <w:szCs w:val="22"/>
        </w:rPr>
        <w:t>ZV Modification Application</w:t>
      </w:r>
      <w:r w:rsidR="00AA7C83">
        <w:rPr>
          <w:color w:val="000000"/>
          <w:sz w:val="22"/>
          <w:szCs w:val="22"/>
        </w:rPr>
        <w:t xml:space="preserve"> the same day, December 18, 2017</w:t>
      </w:r>
      <w:r w:rsidR="00395BD1">
        <w:rPr>
          <w:color w:val="000000"/>
          <w:sz w:val="22"/>
          <w:szCs w:val="22"/>
        </w:rPr>
        <w:t>.</w:t>
      </w:r>
      <w:r>
        <w:rPr>
          <w:rStyle w:val="FootnoteReference"/>
          <w:color w:val="000000"/>
          <w:sz w:val="22"/>
          <w:szCs w:val="22"/>
        </w:rPr>
        <w:footnoteReference w:id="17"/>
      </w:r>
      <w:r w:rsidR="00B86A77">
        <w:rPr>
          <w:color w:val="000000"/>
          <w:sz w:val="22"/>
          <w:szCs w:val="22"/>
        </w:rPr>
        <w:t xml:space="preserve">  </w:t>
      </w:r>
      <w:r>
        <w:rPr>
          <w:color w:val="000000"/>
          <w:sz w:val="22"/>
          <w:szCs w:val="22"/>
        </w:rPr>
        <w:t>On December 26, 2017 (</w:t>
      </w:r>
      <w:r w:rsidR="00395BD1">
        <w:rPr>
          <w:color w:val="000000"/>
          <w:sz w:val="22"/>
          <w:szCs w:val="22"/>
        </w:rPr>
        <w:t>the day the KAZV Construction Permit expired</w:t>
      </w:r>
      <w:r>
        <w:rPr>
          <w:color w:val="000000"/>
          <w:sz w:val="22"/>
          <w:szCs w:val="22"/>
        </w:rPr>
        <w:t>)</w:t>
      </w:r>
      <w:r w:rsidR="00395BD1">
        <w:rPr>
          <w:color w:val="000000"/>
          <w:sz w:val="22"/>
          <w:szCs w:val="22"/>
        </w:rPr>
        <w:t xml:space="preserve">, </w:t>
      </w:r>
      <w:r w:rsidR="00AD57CA">
        <w:rPr>
          <w:color w:val="000000"/>
          <w:sz w:val="22"/>
          <w:szCs w:val="22"/>
        </w:rPr>
        <w:t xml:space="preserve">Matinee filed the </w:t>
      </w:r>
      <w:r w:rsidR="00AA7C83">
        <w:rPr>
          <w:color w:val="000000"/>
          <w:sz w:val="22"/>
          <w:szCs w:val="22"/>
        </w:rPr>
        <w:t>KAZV License Application</w:t>
      </w:r>
      <w:r w:rsidR="00E40153">
        <w:rPr>
          <w:color w:val="000000"/>
          <w:sz w:val="22"/>
          <w:szCs w:val="22"/>
        </w:rPr>
        <w:t xml:space="preserve"> and a request for program test authority (PTA)</w:t>
      </w:r>
      <w:r w:rsidR="00CE6051">
        <w:rPr>
          <w:color w:val="000000"/>
          <w:sz w:val="22"/>
          <w:szCs w:val="22"/>
        </w:rPr>
        <w:t>.</w:t>
      </w:r>
    </w:p>
    <w:p w:rsidR="00CE6051" w:rsidP="00DA28AF">
      <w:pPr>
        <w:spacing w:before="240"/>
        <w:ind w:firstLine="720"/>
        <w:rPr>
          <w:color w:val="000000"/>
          <w:sz w:val="22"/>
          <w:szCs w:val="22"/>
        </w:rPr>
      </w:pPr>
      <w:r>
        <w:rPr>
          <w:i/>
          <w:color w:val="000000"/>
          <w:sz w:val="22"/>
          <w:szCs w:val="22"/>
        </w:rPr>
        <w:t>Entravision</w:t>
      </w:r>
      <w:r>
        <w:rPr>
          <w:i/>
          <w:color w:val="000000"/>
          <w:sz w:val="22"/>
          <w:szCs w:val="22"/>
        </w:rPr>
        <w:t xml:space="preserve"> Modification Applications.  </w:t>
      </w:r>
      <w:r w:rsidR="008108DD">
        <w:rPr>
          <w:color w:val="000000"/>
          <w:sz w:val="22"/>
          <w:szCs w:val="22"/>
        </w:rPr>
        <w:t>On Decem</w:t>
      </w:r>
      <w:r w:rsidR="00E66615">
        <w:rPr>
          <w:color w:val="000000"/>
          <w:sz w:val="22"/>
          <w:szCs w:val="22"/>
        </w:rPr>
        <w:t xml:space="preserve">ber 27, 2017, </w:t>
      </w:r>
      <w:r w:rsidR="00E40153">
        <w:rPr>
          <w:color w:val="000000"/>
          <w:sz w:val="22"/>
          <w:szCs w:val="22"/>
        </w:rPr>
        <w:t xml:space="preserve">the day after the KAZV Construction Permit expired, </w:t>
      </w:r>
      <w:r w:rsidR="00E66615">
        <w:rPr>
          <w:color w:val="000000"/>
          <w:sz w:val="22"/>
          <w:szCs w:val="22"/>
        </w:rPr>
        <w:t>Entravision</w:t>
      </w:r>
      <w:r w:rsidR="00E66615">
        <w:rPr>
          <w:color w:val="000000"/>
          <w:sz w:val="22"/>
          <w:szCs w:val="22"/>
        </w:rPr>
        <w:t xml:space="preserve"> filed the </w:t>
      </w:r>
      <w:r w:rsidR="00142088">
        <w:rPr>
          <w:color w:val="000000"/>
          <w:sz w:val="22"/>
          <w:szCs w:val="22"/>
        </w:rPr>
        <w:t xml:space="preserve">contingent </w:t>
      </w:r>
      <w:r w:rsidR="00E127A0">
        <w:rPr>
          <w:color w:val="000000"/>
          <w:sz w:val="22"/>
          <w:szCs w:val="22"/>
        </w:rPr>
        <w:t>Entravision</w:t>
      </w:r>
      <w:r w:rsidR="00E127A0">
        <w:rPr>
          <w:color w:val="000000"/>
          <w:sz w:val="22"/>
          <w:szCs w:val="22"/>
        </w:rPr>
        <w:t xml:space="preserve"> Modification Application</w:t>
      </w:r>
      <w:r w:rsidR="007E548F">
        <w:rPr>
          <w:color w:val="000000"/>
          <w:sz w:val="22"/>
          <w:szCs w:val="22"/>
        </w:rPr>
        <w:t>s</w:t>
      </w:r>
      <w:r w:rsidR="00AA7C83">
        <w:rPr>
          <w:color w:val="000000"/>
          <w:sz w:val="22"/>
          <w:szCs w:val="22"/>
        </w:rPr>
        <w:t xml:space="preserve">, </w:t>
      </w:r>
      <w:r w:rsidR="00E66615">
        <w:rPr>
          <w:color w:val="000000"/>
          <w:sz w:val="22"/>
          <w:szCs w:val="22"/>
        </w:rPr>
        <w:t>which</w:t>
      </w:r>
      <w:r w:rsidR="00E127A0">
        <w:rPr>
          <w:color w:val="000000"/>
          <w:sz w:val="22"/>
          <w:szCs w:val="22"/>
        </w:rPr>
        <w:t xml:space="preserve"> are substantially </w:t>
      </w:r>
      <w:r w:rsidR="00E127A0">
        <w:rPr>
          <w:color w:val="000000"/>
          <w:sz w:val="22"/>
          <w:szCs w:val="22"/>
        </w:rPr>
        <w:t>similar</w:t>
      </w:r>
      <w:r w:rsidR="00D50839">
        <w:rPr>
          <w:color w:val="000000"/>
          <w:sz w:val="22"/>
          <w:szCs w:val="22"/>
        </w:rPr>
        <w:t xml:space="preserve"> </w:t>
      </w:r>
      <w:r w:rsidR="00E66615">
        <w:rPr>
          <w:color w:val="000000"/>
          <w:sz w:val="22"/>
          <w:szCs w:val="22"/>
        </w:rPr>
        <w:t>to</w:t>
      </w:r>
      <w:r w:rsidR="00AA7C83">
        <w:rPr>
          <w:color w:val="000000"/>
          <w:sz w:val="22"/>
          <w:szCs w:val="22"/>
        </w:rPr>
        <w:t xml:space="preserve"> the</w:t>
      </w:r>
      <w:r w:rsidR="00E66615">
        <w:rPr>
          <w:color w:val="000000"/>
          <w:sz w:val="22"/>
          <w:szCs w:val="22"/>
        </w:rPr>
        <w:t xml:space="preserve"> modification applications</w:t>
      </w:r>
      <w:r w:rsidR="00AA7C83">
        <w:rPr>
          <w:color w:val="000000"/>
          <w:sz w:val="22"/>
          <w:szCs w:val="22"/>
        </w:rPr>
        <w:t xml:space="preserve"> that </w:t>
      </w:r>
      <w:r w:rsidR="003C2CCF">
        <w:rPr>
          <w:color w:val="000000"/>
          <w:sz w:val="22"/>
          <w:szCs w:val="22"/>
        </w:rPr>
        <w:t>the Bureau</w:t>
      </w:r>
      <w:r w:rsidR="00AA7C83">
        <w:rPr>
          <w:color w:val="000000"/>
          <w:sz w:val="22"/>
          <w:szCs w:val="22"/>
        </w:rPr>
        <w:t xml:space="preserve"> dismissed in 2011</w:t>
      </w:r>
      <w:r w:rsidR="00831742">
        <w:rPr>
          <w:color w:val="000000"/>
          <w:sz w:val="22"/>
          <w:szCs w:val="22"/>
        </w:rPr>
        <w:t xml:space="preserve">.  </w:t>
      </w:r>
      <w:r w:rsidR="00751386">
        <w:rPr>
          <w:color w:val="000000"/>
          <w:sz w:val="22"/>
          <w:szCs w:val="22"/>
        </w:rPr>
        <w:t xml:space="preserve">In the </w:t>
      </w:r>
      <w:r w:rsidR="00751386">
        <w:rPr>
          <w:color w:val="000000"/>
          <w:sz w:val="22"/>
          <w:szCs w:val="22"/>
        </w:rPr>
        <w:t>Entravision</w:t>
      </w:r>
      <w:r w:rsidR="00751386">
        <w:rPr>
          <w:color w:val="000000"/>
          <w:sz w:val="22"/>
          <w:szCs w:val="22"/>
        </w:rPr>
        <w:t xml:space="preserve"> Modification Applications</w:t>
      </w:r>
      <w:r w:rsidR="00831742">
        <w:rPr>
          <w:color w:val="000000"/>
          <w:sz w:val="22"/>
          <w:szCs w:val="22"/>
        </w:rPr>
        <w:t xml:space="preserve">, </w:t>
      </w:r>
      <w:r w:rsidR="00E66615">
        <w:rPr>
          <w:color w:val="000000"/>
          <w:sz w:val="22"/>
          <w:szCs w:val="22"/>
        </w:rPr>
        <w:t>Entravision</w:t>
      </w:r>
      <w:r w:rsidR="008108DD">
        <w:rPr>
          <w:color w:val="000000"/>
          <w:sz w:val="22"/>
          <w:szCs w:val="22"/>
        </w:rPr>
        <w:t xml:space="preserve"> request</w:t>
      </w:r>
      <w:r w:rsidR="00E66615">
        <w:rPr>
          <w:color w:val="000000"/>
          <w:sz w:val="22"/>
          <w:szCs w:val="22"/>
        </w:rPr>
        <w:t>s</w:t>
      </w:r>
      <w:r w:rsidR="002F5E70">
        <w:rPr>
          <w:color w:val="000000"/>
          <w:sz w:val="22"/>
          <w:szCs w:val="22"/>
        </w:rPr>
        <w:t xml:space="preserve"> that: (1) the KVV</w:t>
      </w:r>
      <w:r w:rsidR="008108DD">
        <w:rPr>
          <w:color w:val="000000"/>
          <w:sz w:val="22"/>
          <w:szCs w:val="22"/>
        </w:rPr>
        <w:t xml:space="preserve">A-FM license be modified from Channel 296C3 at Apache Junction to Channel 296C3 at Sun Lakes, </w:t>
      </w:r>
      <w:r w:rsidR="003C2CCF">
        <w:rPr>
          <w:color w:val="000000"/>
          <w:sz w:val="22"/>
          <w:szCs w:val="22"/>
        </w:rPr>
        <w:t xml:space="preserve">Arizona, </w:t>
      </w:r>
      <w:r w:rsidR="008108DD">
        <w:rPr>
          <w:color w:val="000000"/>
          <w:sz w:val="22"/>
          <w:szCs w:val="22"/>
        </w:rPr>
        <w:t>with a change in community of license and transmitter site;</w:t>
      </w:r>
      <w:r>
        <w:rPr>
          <w:rStyle w:val="FootnoteReference"/>
          <w:color w:val="000000"/>
          <w:sz w:val="22"/>
          <w:szCs w:val="22"/>
        </w:rPr>
        <w:footnoteReference w:id="18"/>
      </w:r>
      <w:r w:rsidR="008108DD">
        <w:rPr>
          <w:color w:val="000000"/>
          <w:sz w:val="22"/>
          <w:szCs w:val="22"/>
        </w:rPr>
        <w:t xml:space="preserve"> (2) the KDVA license be modified from Channel 295A at Buckeye to Channel 294A at Buckey</w:t>
      </w:r>
      <w:r w:rsidR="00E66615">
        <w:rPr>
          <w:color w:val="000000"/>
          <w:sz w:val="22"/>
          <w:szCs w:val="22"/>
        </w:rPr>
        <w:t>e</w:t>
      </w:r>
      <w:r w:rsidR="008108DD">
        <w:rPr>
          <w:color w:val="000000"/>
          <w:sz w:val="22"/>
          <w:szCs w:val="22"/>
        </w:rPr>
        <w:t>, at the existing KDVA transmitter site;</w:t>
      </w:r>
      <w:r>
        <w:rPr>
          <w:rStyle w:val="FootnoteReference"/>
          <w:color w:val="000000"/>
          <w:sz w:val="22"/>
          <w:szCs w:val="22"/>
        </w:rPr>
        <w:footnoteReference w:id="19"/>
      </w:r>
      <w:r w:rsidR="008108DD">
        <w:rPr>
          <w:color w:val="000000"/>
          <w:sz w:val="22"/>
          <w:szCs w:val="22"/>
        </w:rPr>
        <w:t xml:space="preserve"> (3) the </w:t>
      </w:r>
      <w:r w:rsidR="00412A7D">
        <w:rPr>
          <w:color w:val="000000"/>
          <w:sz w:val="22"/>
          <w:szCs w:val="22"/>
        </w:rPr>
        <w:t>license for station KPPV, Prescott Valley, Arizona,</w:t>
      </w:r>
      <w:r>
        <w:rPr>
          <w:rStyle w:val="FootnoteReference"/>
          <w:color w:val="000000"/>
          <w:sz w:val="22"/>
          <w:szCs w:val="22"/>
        </w:rPr>
        <w:footnoteReference w:id="20"/>
      </w:r>
      <w:r w:rsidR="00412A7D">
        <w:rPr>
          <w:color w:val="000000"/>
          <w:sz w:val="22"/>
          <w:szCs w:val="22"/>
        </w:rPr>
        <w:t xml:space="preserve"> be involuntarily modified through an order to show cause procedure to specify Channel 295C2 </w:t>
      </w:r>
      <w:r w:rsidR="00F81BA3">
        <w:rPr>
          <w:color w:val="000000"/>
          <w:sz w:val="22"/>
          <w:szCs w:val="22"/>
        </w:rPr>
        <w:t xml:space="preserve">in lieu of Channel 295A </w:t>
      </w:r>
      <w:r w:rsidR="00412A7D">
        <w:rPr>
          <w:color w:val="000000"/>
          <w:sz w:val="22"/>
          <w:szCs w:val="22"/>
        </w:rPr>
        <w:t>at its existing transmitter site;</w:t>
      </w:r>
      <w:r>
        <w:rPr>
          <w:rStyle w:val="FootnoteReference"/>
          <w:color w:val="000000"/>
          <w:sz w:val="22"/>
          <w:szCs w:val="22"/>
        </w:rPr>
        <w:footnoteReference w:id="21"/>
      </w:r>
      <w:r w:rsidR="00412A7D">
        <w:rPr>
          <w:color w:val="000000"/>
          <w:sz w:val="22"/>
          <w:szCs w:val="22"/>
        </w:rPr>
        <w:t xml:space="preserve"> and (4) </w:t>
      </w:r>
      <w:r w:rsidR="002F5E70">
        <w:rPr>
          <w:color w:val="000000"/>
          <w:sz w:val="22"/>
          <w:szCs w:val="22"/>
        </w:rPr>
        <w:t xml:space="preserve">the KAZV allotment site (Channel 297C2 at Aguila) be relocated to a site that would be fully </w:t>
      </w:r>
      <w:r w:rsidR="00233774">
        <w:rPr>
          <w:color w:val="000000"/>
          <w:sz w:val="22"/>
          <w:szCs w:val="22"/>
        </w:rPr>
        <w:t>spaced to KVVA-FM</w:t>
      </w:r>
      <w:r w:rsidR="005E2A21">
        <w:rPr>
          <w:color w:val="000000"/>
          <w:sz w:val="22"/>
          <w:szCs w:val="22"/>
        </w:rPr>
        <w:t>.</w:t>
      </w:r>
    </w:p>
    <w:p w:rsidR="00F46997" w:rsidRPr="00142088" w:rsidP="00D2453F">
      <w:pPr>
        <w:spacing w:before="240"/>
        <w:ind w:firstLine="720"/>
        <w:rPr>
          <w:color w:val="000000"/>
          <w:sz w:val="22"/>
          <w:szCs w:val="22"/>
        </w:rPr>
      </w:pPr>
      <w:r>
        <w:rPr>
          <w:i/>
          <w:color w:val="000000"/>
          <w:sz w:val="22"/>
          <w:szCs w:val="22"/>
        </w:rPr>
        <w:t xml:space="preserve">Pleadings.  </w:t>
      </w:r>
      <w:r w:rsidR="00142088">
        <w:rPr>
          <w:color w:val="000000"/>
          <w:sz w:val="22"/>
          <w:szCs w:val="22"/>
        </w:rPr>
        <w:t>Entravision’s</w:t>
      </w:r>
      <w:r w:rsidR="00142088">
        <w:rPr>
          <w:color w:val="000000"/>
          <w:sz w:val="22"/>
          <w:szCs w:val="22"/>
        </w:rPr>
        <w:t xml:space="preserve"> primary contentio</w:t>
      </w:r>
      <w:r w:rsidR="00AA2CA1">
        <w:rPr>
          <w:color w:val="000000"/>
          <w:sz w:val="22"/>
          <w:szCs w:val="22"/>
        </w:rPr>
        <w:t>n is that the KAZV facilities a</w:t>
      </w:r>
      <w:r w:rsidR="00142088">
        <w:rPr>
          <w:color w:val="000000"/>
          <w:sz w:val="22"/>
          <w:szCs w:val="22"/>
        </w:rPr>
        <w:t xml:space="preserve">re impermissibly temporary, in violation of the principle set out in </w:t>
      </w:r>
      <w:r w:rsidR="00142088">
        <w:rPr>
          <w:i/>
          <w:color w:val="000000"/>
          <w:sz w:val="22"/>
          <w:szCs w:val="22"/>
        </w:rPr>
        <w:t xml:space="preserve">Tango </w:t>
      </w:r>
      <w:r w:rsidR="00E40153">
        <w:rPr>
          <w:i/>
          <w:color w:val="000000"/>
          <w:sz w:val="22"/>
          <w:szCs w:val="22"/>
        </w:rPr>
        <w:t xml:space="preserve">Radio, LLC, </w:t>
      </w:r>
      <w:r w:rsidR="00142088">
        <w:rPr>
          <w:color w:val="000000"/>
          <w:sz w:val="22"/>
          <w:szCs w:val="22"/>
        </w:rPr>
        <w:t xml:space="preserve">and related cases that “permittees may not rely on temporarily constructed facilities </w:t>
      </w:r>
      <w:r w:rsidRPr="00142088" w:rsidR="00142088">
        <w:rPr>
          <w:color w:val="000000"/>
          <w:sz w:val="22"/>
          <w:szCs w:val="22"/>
        </w:rPr>
        <w:t>to satisf</w:t>
      </w:r>
      <w:r w:rsidR="00142088">
        <w:rPr>
          <w:color w:val="000000"/>
          <w:sz w:val="22"/>
          <w:szCs w:val="22"/>
        </w:rPr>
        <w:t>y</w:t>
      </w:r>
      <w:r w:rsidRPr="00142088" w:rsidR="00142088">
        <w:rPr>
          <w:color w:val="000000"/>
          <w:sz w:val="22"/>
          <w:szCs w:val="22"/>
        </w:rPr>
        <w:t xml:space="preserve"> construction requirements and that construction permits</w:t>
      </w:r>
      <w:r w:rsidR="00142088">
        <w:rPr>
          <w:color w:val="000000"/>
          <w:sz w:val="22"/>
          <w:szCs w:val="22"/>
        </w:rPr>
        <w:t xml:space="preserve"> </w:t>
      </w:r>
      <w:r w:rsidRPr="00142088" w:rsidR="00142088">
        <w:rPr>
          <w:color w:val="000000"/>
          <w:sz w:val="22"/>
          <w:szCs w:val="22"/>
        </w:rPr>
        <w:t xml:space="preserve">associated with temporarily constructed facilities are subject to automatic forfeiture </w:t>
      </w:r>
      <w:r w:rsidRPr="00142088" w:rsidR="00142088">
        <w:rPr>
          <w:color w:val="000000"/>
          <w:sz w:val="22"/>
          <w:szCs w:val="22"/>
        </w:rPr>
        <w:t>pursuant to Section</w:t>
      </w:r>
      <w:r w:rsidR="00142088">
        <w:rPr>
          <w:color w:val="000000"/>
          <w:sz w:val="22"/>
          <w:szCs w:val="22"/>
        </w:rPr>
        <w:t xml:space="preserve"> </w:t>
      </w:r>
      <w:r w:rsidR="00AA2CA1">
        <w:rPr>
          <w:color w:val="000000"/>
          <w:sz w:val="22"/>
          <w:szCs w:val="22"/>
        </w:rPr>
        <w:t>73</w:t>
      </w:r>
      <w:r w:rsidR="00142088">
        <w:rPr>
          <w:color w:val="000000"/>
          <w:sz w:val="22"/>
          <w:szCs w:val="22"/>
        </w:rPr>
        <w:t>.3598(e) of the Rules.”</w:t>
      </w:r>
      <w:r>
        <w:rPr>
          <w:rStyle w:val="FootnoteReference"/>
          <w:color w:val="000000"/>
          <w:sz w:val="22"/>
          <w:szCs w:val="22"/>
        </w:rPr>
        <w:footnoteReference w:id="22"/>
      </w:r>
      <w:r w:rsidR="00B51FFE">
        <w:rPr>
          <w:color w:val="000000"/>
          <w:sz w:val="22"/>
          <w:szCs w:val="22"/>
        </w:rPr>
        <w:t xml:space="preserve">  In support of this argument, </w:t>
      </w:r>
      <w:r w:rsidR="00B51FFE">
        <w:rPr>
          <w:color w:val="000000"/>
          <w:sz w:val="22"/>
          <w:szCs w:val="22"/>
        </w:rPr>
        <w:t>Entravision</w:t>
      </w:r>
      <w:r w:rsidR="00B51FFE">
        <w:rPr>
          <w:color w:val="000000"/>
          <w:sz w:val="22"/>
          <w:szCs w:val="22"/>
        </w:rPr>
        <w:t xml:space="preserve"> </w:t>
      </w:r>
      <w:r w:rsidR="00D51536">
        <w:rPr>
          <w:color w:val="000000"/>
          <w:sz w:val="22"/>
          <w:szCs w:val="22"/>
        </w:rPr>
        <w:t xml:space="preserve">points to the fact that the KAZV License Application was filed </w:t>
      </w:r>
      <w:r w:rsidR="00AA2CA1">
        <w:rPr>
          <w:color w:val="000000"/>
          <w:sz w:val="22"/>
          <w:szCs w:val="22"/>
        </w:rPr>
        <w:t>“</w:t>
      </w:r>
      <w:r w:rsidR="00D51536">
        <w:rPr>
          <w:color w:val="000000"/>
          <w:sz w:val="22"/>
          <w:szCs w:val="22"/>
        </w:rPr>
        <w:t>at the last minute</w:t>
      </w:r>
      <w:r w:rsidR="00AA2CA1">
        <w:rPr>
          <w:color w:val="000000"/>
          <w:sz w:val="22"/>
          <w:szCs w:val="22"/>
        </w:rPr>
        <w:t>”</w:t>
      </w:r>
      <w:r w:rsidR="00D51536">
        <w:rPr>
          <w:color w:val="000000"/>
          <w:sz w:val="22"/>
          <w:szCs w:val="22"/>
        </w:rPr>
        <w:t xml:space="preserve"> and that the Temporary Use Permit</w:t>
      </w:r>
      <w:r>
        <w:rPr>
          <w:color w:val="000000"/>
          <w:sz w:val="22"/>
          <w:szCs w:val="22"/>
        </w:rPr>
        <w:t xml:space="preserve"> does not provide “permanent authority to operate the broadcast facility.”</w:t>
      </w:r>
      <w:r>
        <w:rPr>
          <w:rStyle w:val="FootnoteReference"/>
          <w:color w:val="000000"/>
          <w:sz w:val="22"/>
          <w:szCs w:val="22"/>
        </w:rPr>
        <w:footnoteReference w:id="23"/>
      </w:r>
      <w:r w:rsidR="001A740F">
        <w:rPr>
          <w:color w:val="000000"/>
          <w:sz w:val="22"/>
          <w:szCs w:val="22"/>
        </w:rPr>
        <w:t xml:space="preserve">  </w:t>
      </w:r>
      <w:r>
        <w:rPr>
          <w:color w:val="000000"/>
          <w:sz w:val="22"/>
          <w:szCs w:val="22"/>
        </w:rPr>
        <w:t>E</w:t>
      </w:r>
      <w:r w:rsidR="005C0CAA">
        <w:rPr>
          <w:color w:val="000000"/>
          <w:sz w:val="22"/>
          <w:szCs w:val="22"/>
        </w:rPr>
        <w:t>ntravision</w:t>
      </w:r>
      <w:r w:rsidR="005C0CAA">
        <w:rPr>
          <w:color w:val="000000"/>
          <w:sz w:val="22"/>
          <w:szCs w:val="22"/>
        </w:rPr>
        <w:t xml:space="preserve"> </w:t>
      </w:r>
      <w:r w:rsidR="003E0751">
        <w:rPr>
          <w:color w:val="000000"/>
          <w:sz w:val="22"/>
          <w:szCs w:val="22"/>
        </w:rPr>
        <w:t>also</w:t>
      </w:r>
      <w:r w:rsidR="00D3718A">
        <w:rPr>
          <w:color w:val="000000"/>
          <w:sz w:val="22"/>
          <w:szCs w:val="22"/>
        </w:rPr>
        <w:t xml:space="preserve"> argues</w:t>
      </w:r>
      <w:r w:rsidR="003E0751">
        <w:rPr>
          <w:color w:val="000000"/>
          <w:sz w:val="22"/>
          <w:szCs w:val="22"/>
        </w:rPr>
        <w:t xml:space="preserve"> that Matinee violated the terms of the Temporary Use Permit by building a 150-foot </w:t>
      </w:r>
      <w:r w:rsidR="00997C1A">
        <w:rPr>
          <w:color w:val="000000"/>
          <w:sz w:val="22"/>
          <w:szCs w:val="22"/>
        </w:rPr>
        <w:t>(</w:t>
      </w:r>
      <w:r w:rsidR="003E0751">
        <w:rPr>
          <w:color w:val="000000"/>
          <w:sz w:val="22"/>
          <w:szCs w:val="22"/>
        </w:rPr>
        <w:t xml:space="preserve">rather than </w:t>
      </w:r>
      <w:r w:rsidR="00F81BA3">
        <w:rPr>
          <w:color w:val="000000"/>
          <w:sz w:val="22"/>
          <w:szCs w:val="22"/>
        </w:rPr>
        <w:t xml:space="preserve">the permitted </w:t>
      </w:r>
      <w:r w:rsidR="003E0751">
        <w:rPr>
          <w:color w:val="000000"/>
          <w:sz w:val="22"/>
          <w:szCs w:val="22"/>
        </w:rPr>
        <w:t>199-foot</w:t>
      </w:r>
      <w:r w:rsidR="00997C1A">
        <w:rPr>
          <w:color w:val="000000"/>
          <w:sz w:val="22"/>
          <w:szCs w:val="22"/>
        </w:rPr>
        <w:t>)</w:t>
      </w:r>
      <w:r w:rsidR="003E0751">
        <w:rPr>
          <w:color w:val="000000"/>
          <w:sz w:val="22"/>
          <w:szCs w:val="22"/>
        </w:rPr>
        <w:t xml:space="preserve"> tower and </w:t>
      </w:r>
      <w:r w:rsidR="00A701C9">
        <w:rPr>
          <w:color w:val="000000"/>
          <w:sz w:val="22"/>
          <w:szCs w:val="22"/>
        </w:rPr>
        <w:t>by</w:t>
      </w:r>
      <w:r w:rsidR="003E0751">
        <w:rPr>
          <w:color w:val="000000"/>
          <w:sz w:val="22"/>
          <w:szCs w:val="22"/>
        </w:rPr>
        <w:t xml:space="preserve"> failing to get a </w:t>
      </w:r>
      <w:r w:rsidR="00F81BA3">
        <w:rPr>
          <w:color w:val="000000"/>
          <w:sz w:val="22"/>
          <w:szCs w:val="22"/>
        </w:rPr>
        <w:t xml:space="preserve">Maricopa </w:t>
      </w:r>
      <w:r w:rsidR="003E0751">
        <w:rPr>
          <w:color w:val="000000"/>
          <w:sz w:val="22"/>
          <w:szCs w:val="22"/>
        </w:rPr>
        <w:t xml:space="preserve">County building permit, </w:t>
      </w:r>
      <w:r w:rsidR="00F81BA3">
        <w:rPr>
          <w:color w:val="000000"/>
          <w:sz w:val="22"/>
          <w:szCs w:val="22"/>
        </w:rPr>
        <w:t>an omission that</w:t>
      </w:r>
      <w:r w:rsidR="003E0751">
        <w:rPr>
          <w:color w:val="000000"/>
          <w:sz w:val="22"/>
          <w:szCs w:val="22"/>
        </w:rPr>
        <w:t xml:space="preserve"> </w:t>
      </w:r>
      <w:r w:rsidR="003E0751">
        <w:rPr>
          <w:color w:val="000000"/>
          <w:sz w:val="22"/>
          <w:szCs w:val="22"/>
        </w:rPr>
        <w:t>Entravision</w:t>
      </w:r>
      <w:r w:rsidR="003E0751">
        <w:rPr>
          <w:color w:val="000000"/>
          <w:sz w:val="22"/>
          <w:szCs w:val="22"/>
        </w:rPr>
        <w:t xml:space="preserve"> </w:t>
      </w:r>
      <w:r w:rsidR="000D4664">
        <w:rPr>
          <w:color w:val="000000"/>
          <w:sz w:val="22"/>
          <w:szCs w:val="22"/>
        </w:rPr>
        <w:t>compares</w:t>
      </w:r>
      <w:r w:rsidR="003E0751">
        <w:rPr>
          <w:color w:val="000000"/>
          <w:sz w:val="22"/>
          <w:szCs w:val="22"/>
        </w:rPr>
        <w:t xml:space="preserve"> to </w:t>
      </w:r>
      <w:r w:rsidR="00F81BA3">
        <w:rPr>
          <w:color w:val="000000"/>
          <w:sz w:val="22"/>
          <w:szCs w:val="22"/>
        </w:rPr>
        <w:t xml:space="preserve">a </w:t>
      </w:r>
      <w:r w:rsidR="003E0751">
        <w:rPr>
          <w:color w:val="000000"/>
          <w:sz w:val="22"/>
          <w:szCs w:val="22"/>
        </w:rPr>
        <w:t>failure to obtain a landowner’s permission to construct a broadcast facility.</w:t>
      </w:r>
      <w:r>
        <w:rPr>
          <w:rStyle w:val="FootnoteReference"/>
          <w:color w:val="000000"/>
          <w:sz w:val="22"/>
          <w:szCs w:val="22"/>
        </w:rPr>
        <w:footnoteReference w:id="24"/>
      </w:r>
      <w:r w:rsidR="003E0751">
        <w:rPr>
          <w:color w:val="000000"/>
          <w:sz w:val="22"/>
          <w:szCs w:val="22"/>
        </w:rPr>
        <w:t xml:space="preserve"> </w:t>
      </w:r>
      <w:r>
        <w:rPr>
          <w:color w:val="000000"/>
          <w:sz w:val="22"/>
          <w:szCs w:val="22"/>
        </w:rPr>
        <w:t xml:space="preserve"> </w:t>
      </w:r>
      <w:r w:rsidR="006173F0">
        <w:rPr>
          <w:color w:val="000000"/>
          <w:sz w:val="22"/>
          <w:szCs w:val="22"/>
        </w:rPr>
        <w:t xml:space="preserve">Finally, </w:t>
      </w:r>
      <w:r>
        <w:rPr>
          <w:color w:val="000000"/>
          <w:sz w:val="22"/>
          <w:szCs w:val="22"/>
        </w:rPr>
        <w:t>Entravision</w:t>
      </w:r>
      <w:r>
        <w:rPr>
          <w:color w:val="000000"/>
          <w:sz w:val="22"/>
          <w:szCs w:val="22"/>
        </w:rPr>
        <w:t xml:space="preserve"> </w:t>
      </w:r>
      <w:r w:rsidR="00D3718A">
        <w:rPr>
          <w:color w:val="000000"/>
          <w:sz w:val="22"/>
          <w:szCs w:val="22"/>
        </w:rPr>
        <w:t xml:space="preserve">alleges </w:t>
      </w:r>
      <w:r>
        <w:rPr>
          <w:color w:val="000000"/>
          <w:sz w:val="22"/>
          <w:szCs w:val="22"/>
        </w:rPr>
        <w:t>that Matinee</w:t>
      </w:r>
      <w:r w:rsidR="00A701C9">
        <w:rPr>
          <w:color w:val="000000"/>
          <w:sz w:val="22"/>
          <w:szCs w:val="22"/>
        </w:rPr>
        <w:t>: (1)</w:t>
      </w:r>
      <w:r>
        <w:rPr>
          <w:color w:val="000000"/>
          <w:sz w:val="22"/>
          <w:szCs w:val="22"/>
        </w:rPr>
        <w:t xml:space="preserve"> </w:t>
      </w:r>
      <w:r w:rsidR="00A701C9">
        <w:rPr>
          <w:color w:val="000000"/>
          <w:sz w:val="22"/>
          <w:szCs w:val="22"/>
        </w:rPr>
        <w:t xml:space="preserve">failed to file a post-license application ownership report, in violation of Section </w:t>
      </w:r>
      <w:r w:rsidR="00A701C9">
        <w:rPr>
          <w:sz w:val="22"/>
          <w:szCs w:val="22"/>
        </w:rPr>
        <w:t>73.3615(b)(2) of the Rules;</w:t>
      </w:r>
      <w:r>
        <w:rPr>
          <w:rStyle w:val="FootnoteReference"/>
          <w:sz w:val="22"/>
          <w:szCs w:val="22"/>
        </w:rPr>
        <w:footnoteReference w:id="25"/>
      </w:r>
      <w:r w:rsidR="00A701C9">
        <w:rPr>
          <w:sz w:val="22"/>
          <w:szCs w:val="22"/>
        </w:rPr>
        <w:t xml:space="preserve"> (2) </w:t>
      </w:r>
      <w:r w:rsidR="00D83E2F">
        <w:rPr>
          <w:sz w:val="22"/>
          <w:szCs w:val="22"/>
        </w:rPr>
        <w:t>failed to construct a main studio</w:t>
      </w:r>
      <w:r w:rsidRPr="0082040B" w:rsidR="0082040B">
        <w:rPr>
          <w:sz w:val="22"/>
          <w:szCs w:val="22"/>
        </w:rPr>
        <w:t xml:space="preserve"> </w:t>
      </w:r>
      <w:r w:rsidR="0082040B">
        <w:rPr>
          <w:sz w:val="22"/>
          <w:szCs w:val="22"/>
        </w:rPr>
        <w:t>or justify a waiver of the main studio rule</w:t>
      </w:r>
      <w:r w:rsidR="006049B7">
        <w:rPr>
          <w:sz w:val="22"/>
          <w:szCs w:val="22"/>
        </w:rPr>
        <w:t>,</w:t>
      </w:r>
      <w:r w:rsidR="00D83E2F">
        <w:rPr>
          <w:sz w:val="22"/>
          <w:szCs w:val="22"/>
        </w:rPr>
        <w:t xml:space="preserve"> in violation of Section 73.1125</w:t>
      </w:r>
      <w:r>
        <w:rPr>
          <w:rStyle w:val="FootnoteReference"/>
          <w:color w:val="000000"/>
          <w:sz w:val="22"/>
          <w:szCs w:val="22"/>
        </w:rPr>
        <w:footnoteReference w:id="26"/>
      </w:r>
      <w:r w:rsidR="00D83E2F">
        <w:rPr>
          <w:sz w:val="22"/>
          <w:szCs w:val="22"/>
        </w:rPr>
        <w:t>;</w:t>
      </w:r>
      <w:r w:rsidR="00D83E2F">
        <w:rPr>
          <w:color w:val="000000"/>
          <w:sz w:val="22"/>
          <w:szCs w:val="22"/>
        </w:rPr>
        <w:t xml:space="preserve"> and (3)</w:t>
      </w:r>
      <w:r>
        <w:rPr>
          <w:color w:val="000000"/>
          <w:sz w:val="22"/>
          <w:szCs w:val="22"/>
        </w:rPr>
        <w:t xml:space="preserve"> </w:t>
      </w:r>
      <w:r w:rsidR="00D83E2F">
        <w:rPr>
          <w:color w:val="000000"/>
          <w:sz w:val="22"/>
          <w:szCs w:val="22"/>
        </w:rPr>
        <w:t xml:space="preserve">failed to satisfy </w:t>
      </w:r>
      <w:r>
        <w:rPr>
          <w:color w:val="000000"/>
          <w:sz w:val="22"/>
          <w:szCs w:val="22"/>
        </w:rPr>
        <w:t>Condition #3 of the KAZV Construction Permit</w:t>
      </w:r>
      <w:r w:rsidR="00D83E2F">
        <w:rPr>
          <w:color w:val="000000"/>
          <w:sz w:val="22"/>
          <w:szCs w:val="22"/>
        </w:rPr>
        <w:t xml:space="preserve">, which </w:t>
      </w:r>
      <w:r>
        <w:rPr>
          <w:color w:val="000000"/>
          <w:sz w:val="22"/>
          <w:szCs w:val="22"/>
        </w:rPr>
        <w:t>requir</w:t>
      </w:r>
      <w:r w:rsidR="00D83E2F">
        <w:rPr>
          <w:color w:val="000000"/>
          <w:sz w:val="22"/>
          <w:szCs w:val="22"/>
        </w:rPr>
        <w:t>es</w:t>
      </w:r>
      <w:r>
        <w:rPr>
          <w:color w:val="000000"/>
          <w:sz w:val="22"/>
          <w:szCs w:val="22"/>
        </w:rPr>
        <w:t xml:space="preserve"> radio frequency (RF) field strength measurements and protective fencing as necessary.</w:t>
      </w:r>
      <w:r>
        <w:rPr>
          <w:rStyle w:val="FootnoteReference"/>
          <w:color w:val="000000"/>
          <w:sz w:val="22"/>
          <w:szCs w:val="22"/>
        </w:rPr>
        <w:footnoteReference w:id="27"/>
      </w:r>
      <w:r w:rsidR="00D3718A">
        <w:rPr>
          <w:color w:val="000000"/>
          <w:sz w:val="22"/>
          <w:szCs w:val="22"/>
        </w:rPr>
        <w:t xml:space="preserve">  Because of these defects, </w:t>
      </w:r>
      <w:r w:rsidR="00D3718A">
        <w:rPr>
          <w:color w:val="000000"/>
          <w:sz w:val="22"/>
          <w:szCs w:val="22"/>
        </w:rPr>
        <w:t>Entravision</w:t>
      </w:r>
      <w:r w:rsidR="00D3718A">
        <w:rPr>
          <w:color w:val="000000"/>
          <w:sz w:val="22"/>
          <w:szCs w:val="22"/>
        </w:rPr>
        <w:t xml:space="preserve"> argues that the KAZV License Application should be dismissed as a “mere placeholder.”</w:t>
      </w:r>
      <w:r>
        <w:rPr>
          <w:rStyle w:val="FootnoteReference"/>
          <w:color w:val="000000"/>
          <w:sz w:val="22"/>
          <w:szCs w:val="22"/>
        </w:rPr>
        <w:footnoteReference w:id="28"/>
      </w:r>
    </w:p>
    <w:p w:rsidR="00D868F0" w:rsidRPr="00D868F0" w:rsidP="00D868F0">
      <w:pPr>
        <w:spacing w:before="240"/>
        <w:ind w:firstLine="720"/>
        <w:rPr>
          <w:sz w:val="22"/>
          <w:szCs w:val="22"/>
        </w:rPr>
      </w:pPr>
      <w:bookmarkStart w:id="3" w:name="_Hlk516845814"/>
      <w:r w:rsidRPr="00D868F0">
        <w:rPr>
          <w:sz w:val="22"/>
          <w:szCs w:val="22"/>
        </w:rPr>
        <w:t xml:space="preserve">In its KAZV Opposition and KVAA-FM Informal Objection, Matinee </w:t>
      </w:r>
      <w:r w:rsidR="00A203D1">
        <w:rPr>
          <w:sz w:val="22"/>
          <w:szCs w:val="22"/>
        </w:rPr>
        <w:t>states</w:t>
      </w:r>
      <w:r w:rsidRPr="00D868F0">
        <w:rPr>
          <w:sz w:val="22"/>
          <w:szCs w:val="22"/>
        </w:rPr>
        <w:t xml:space="preserve"> that it </w:t>
      </w:r>
      <w:r w:rsidR="00A203D1">
        <w:rPr>
          <w:sz w:val="22"/>
          <w:szCs w:val="22"/>
        </w:rPr>
        <w:t>simply</w:t>
      </w:r>
      <w:r w:rsidRPr="00D868F0">
        <w:rPr>
          <w:sz w:val="22"/>
          <w:szCs w:val="22"/>
        </w:rPr>
        <w:t xml:space="preserve"> “determined what facilities it believed it could actually construct by the permit expiration date, filed an amendment to the pending [KAZV] Modification Application to propose those facilities, and began making arrangements to have the tower and transmission equipment delivered to the KAZV site during the week prior to the permit expiration date.”</w:t>
      </w:r>
      <w:r>
        <w:rPr>
          <w:sz w:val="22"/>
          <w:szCs w:val="22"/>
          <w:vertAlign w:val="superscript"/>
        </w:rPr>
        <w:footnoteReference w:id="29"/>
      </w:r>
      <w:r w:rsidRPr="00D868F0">
        <w:rPr>
          <w:sz w:val="22"/>
          <w:szCs w:val="22"/>
        </w:rPr>
        <w:t xml:space="preserve">  Matinee </w:t>
      </w:r>
      <w:r w:rsidR="00A203D1">
        <w:rPr>
          <w:sz w:val="22"/>
          <w:szCs w:val="22"/>
        </w:rPr>
        <w:t>confirms</w:t>
      </w:r>
      <w:r w:rsidRPr="00D868F0">
        <w:rPr>
          <w:sz w:val="22"/>
          <w:szCs w:val="22"/>
        </w:rPr>
        <w:t xml:space="preserve"> that the authorized facilities are “still in place and may be turned on and used to operate KAZV, once program test authority and/or the [License] Application are granted.”</w:t>
      </w:r>
      <w:r>
        <w:rPr>
          <w:sz w:val="22"/>
          <w:szCs w:val="22"/>
          <w:vertAlign w:val="superscript"/>
        </w:rPr>
        <w:footnoteReference w:id="30"/>
      </w:r>
      <w:r w:rsidRPr="00D868F0">
        <w:rPr>
          <w:sz w:val="22"/>
          <w:szCs w:val="22"/>
        </w:rPr>
        <w:t xml:space="preserve">  </w:t>
      </w:r>
      <w:r w:rsidR="00A203D1">
        <w:rPr>
          <w:sz w:val="22"/>
          <w:szCs w:val="22"/>
        </w:rPr>
        <w:t>Matinee acknowledges that</w:t>
      </w:r>
      <w:r w:rsidRPr="00D868F0">
        <w:rPr>
          <w:sz w:val="22"/>
          <w:szCs w:val="22"/>
        </w:rPr>
        <w:t xml:space="preserve"> it intends in the future to apply to the Commission for approval to increase the height to 408 feet.</w:t>
      </w:r>
      <w:r>
        <w:rPr>
          <w:sz w:val="22"/>
          <w:szCs w:val="22"/>
          <w:vertAlign w:val="superscript"/>
        </w:rPr>
        <w:footnoteReference w:id="31"/>
      </w:r>
      <w:r w:rsidRPr="00D868F0">
        <w:rPr>
          <w:sz w:val="22"/>
          <w:szCs w:val="22"/>
        </w:rPr>
        <w:t xml:space="preserve">  Pending issuance of the Special Use Permit, </w:t>
      </w:r>
      <w:r w:rsidR="00A203D1">
        <w:rPr>
          <w:sz w:val="22"/>
          <w:szCs w:val="22"/>
        </w:rPr>
        <w:t xml:space="preserve">however, </w:t>
      </w:r>
      <w:r w:rsidRPr="00D868F0">
        <w:rPr>
          <w:sz w:val="22"/>
          <w:szCs w:val="22"/>
        </w:rPr>
        <w:t xml:space="preserve">Matinee anticipates that the Temporary Use Permit will allow it to operate uninterrupted </w:t>
      </w:r>
      <w:r w:rsidR="00A203D1">
        <w:rPr>
          <w:sz w:val="22"/>
          <w:szCs w:val="22"/>
        </w:rPr>
        <w:t>using the permitted facilities</w:t>
      </w:r>
      <w:r w:rsidRPr="00D868F0">
        <w:rPr>
          <w:sz w:val="22"/>
          <w:szCs w:val="22"/>
        </w:rPr>
        <w:t>.</w:t>
      </w:r>
      <w:r>
        <w:rPr>
          <w:sz w:val="22"/>
          <w:szCs w:val="22"/>
          <w:vertAlign w:val="superscript"/>
        </w:rPr>
        <w:footnoteReference w:id="32"/>
      </w:r>
      <w:r w:rsidRPr="00D868F0">
        <w:rPr>
          <w:sz w:val="22"/>
          <w:szCs w:val="22"/>
        </w:rPr>
        <w:t xml:space="preserve">  Matinee also explains that it is in the process of obtaining a building permit for the KAZV tower and asserts that it does not anticipate enforcement issues at the local level.  Matinee states that it has permission to build from the site owner and urges the Commission to distinguish between reasonable assurance of site availability issues, which are not implicated here, and local zoning and permitting issues, </w:t>
      </w:r>
      <w:r w:rsidR="006B014A">
        <w:rPr>
          <w:sz w:val="22"/>
          <w:szCs w:val="22"/>
        </w:rPr>
        <w:t xml:space="preserve">an </w:t>
      </w:r>
      <w:r w:rsidRPr="00D868F0">
        <w:rPr>
          <w:sz w:val="22"/>
          <w:szCs w:val="22"/>
        </w:rPr>
        <w:t>area “best left to the appropriate local governmental authorities with the expertise and jurisdiction over same.”</w:t>
      </w:r>
      <w:r>
        <w:rPr>
          <w:sz w:val="22"/>
          <w:szCs w:val="22"/>
          <w:vertAlign w:val="superscript"/>
        </w:rPr>
        <w:footnoteReference w:id="33"/>
      </w:r>
      <w:r w:rsidRPr="00D868F0">
        <w:rPr>
          <w:sz w:val="22"/>
          <w:szCs w:val="22"/>
        </w:rPr>
        <w:t xml:space="preserve">  </w:t>
      </w:r>
    </w:p>
    <w:p w:rsidR="00D868F0" w:rsidRPr="00D868F0" w:rsidP="00D868F0">
      <w:pPr>
        <w:spacing w:before="240"/>
        <w:ind w:firstLine="720"/>
        <w:rPr>
          <w:sz w:val="22"/>
          <w:szCs w:val="22"/>
        </w:rPr>
      </w:pPr>
      <w:r w:rsidRPr="00D868F0">
        <w:rPr>
          <w:sz w:val="22"/>
          <w:szCs w:val="22"/>
        </w:rPr>
        <w:t>Matinee concedes that it did not file an ownership report in conjunction with the KAZV License Application, but states that it filed one a week later, on January 5, 2018, and that its ownership information at the time it filed the KAZV License Application was “essentially unchanged” from the information already on file with the Commission.</w:t>
      </w:r>
      <w:r>
        <w:rPr>
          <w:sz w:val="22"/>
          <w:szCs w:val="22"/>
          <w:vertAlign w:val="superscript"/>
        </w:rPr>
        <w:footnoteReference w:id="34"/>
      </w:r>
      <w:r w:rsidRPr="00D868F0">
        <w:rPr>
          <w:sz w:val="22"/>
          <w:szCs w:val="22"/>
        </w:rPr>
        <w:t xml:space="preserve">  Matinee argues that at the time it filed the KAZV License Application, a waiver of the main studio rule was warranted because the Commission had adopted an order eliminating that rule, </w:t>
      </w:r>
      <w:r w:rsidR="00A203D1">
        <w:rPr>
          <w:sz w:val="22"/>
          <w:szCs w:val="22"/>
        </w:rPr>
        <w:t>which would</w:t>
      </w:r>
      <w:r w:rsidRPr="00D868F0">
        <w:rPr>
          <w:sz w:val="22"/>
          <w:szCs w:val="22"/>
        </w:rPr>
        <w:t xml:space="preserve"> become effective less than two weeks after the filing of the KAZV License Application.</w:t>
      </w:r>
      <w:r>
        <w:rPr>
          <w:sz w:val="22"/>
          <w:szCs w:val="22"/>
          <w:vertAlign w:val="superscript"/>
        </w:rPr>
        <w:footnoteReference w:id="35"/>
      </w:r>
      <w:r w:rsidRPr="003C2CCF" w:rsidR="003C2CCF">
        <w:rPr>
          <w:sz w:val="22"/>
          <w:szCs w:val="22"/>
        </w:rPr>
        <w:t xml:space="preserve"> </w:t>
      </w:r>
      <w:r w:rsidR="003C2CCF">
        <w:rPr>
          <w:sz w:val="22"/>
          <w:szCs w:val="22"/>
        </w:rPr>
        <w:t xml:space="preserve"> </w:t>
      </w:r>
      <w:r w:rsidRPr="00D868F0" w:rsidR="003C2CCF">
        <w:rPr>
          <w:sz w:val="22"/>
          <w:szCs w:val="22"/>
        </w:rPr>
        <w:t xml:space="preserve">Finally, Matinee states that it took RF field strength measurements prior to </w:t>
      </w:r>
      <w:r w:rsidR="00B4581B">
        <w:rPr>
          <w:sz w:val="22"/>
          <w:szCs w:val="22"/>
        </w:rPr>
        <w:t>filing for</w:t>
      </w:r>
      <w:r w:rsidRPr="00D868F0" w:rsidR="00B4581B">
        <w:rPr>
          <w:sz w:val="22"/>
          <w:szCs w:val="22"/>
        </w:rPr>
        <w:t xml:space="preserve"> </w:t>
      </w:r>
      <w:r w:rsidRPr="00D868F0" w:rsidR="003C2CCF">
        <w:rPr>
          <w:sz w:val="22"/>
          <w:szCs w:val="22"/>
        </w:rPr>
        <w:t>PTA, as required by Condition #3, and that KAZV complies with the Commission’s RF guidelines at all locations.</w:t>
      </w:r>
      <w:r>
        <w:rPr>
          <w:sz w:val="22"/>
          <w:szCs w:val="22"/>
          <w:vertAlign w:val="superscript"/>
        </w:rPr>
        <w:footnoteReference w:id="36"/>
      </w:r>
      <w:r w:rsidRPr="00D868F0" w:rsidR="003C2CCF">
        <w:rPr>
          <w:sz w:val="22"/>
          <w:szCs w:val="22"/>
        </w:rPr>
        <w:t xml:space="preserve">  </w:t>
      </w:r>
      <w:r w:rsidR="003C2CCF">
        <w:rPr>
          <w:sz w:val="22"/>
          <w:szCs w:val="22"/>
        </w:rPr>
        <w:t xml:space="preserve">On January 29, 2018, </w:t>
      </w:r>
      <w:r w:rsidRPr="00D868F0" w:rsidR="003C2CCF">
        <w:rPr>
          <w:sz w:val="22"/>
          <w:szCs w:val="22"/>
        </w:rPr>
        <w:t xml:space="preserve">Matinee </w:t>
      </w:r>
      <w:r w:rsidR="003C2CCF">
        <w:rPr>
          <w:sz w:val="22"/>
          <w:szCs w:val="22"/>
        </w:rPr>
        <w:t>amended the KAZV License Application to include</w:t>
      </w:r>
      <w:r w:rsidRPr="00D868F0" w:rsidR="003C2CCF">
        <w:rPr>
          <w:sz w:val="22"/>
          <w:szCs w:val="22"/>
        </w:rPr>
        <w:t xml:space="preserve"> an exhibit certifying co</w:t>
      </w:r>
      <w:r w:rsidR="003C2CCF">
        <w:rPr>
          <w:sz w:val="22"/>
          <w:szCs w:val="22"/>
        </w:rPr>
        <w:t>mpliance with the RF guidelines</w:t>
      </w:r>
      <w:r w:rsidRPr="00D868F0" w:rsidR="003C2CCF">
        <w:rPr>
          <w:sz w:val="22"/>
          <w:szCs w:val="22"/>
        </w:rPr>
        <w:t>.</w:t>
      </w:r>
      <w:r>
        <w:rPr>
          <w:sz w:val="22"/>
          <w:szCs w:val="22"/>
          <w:vertAlign w:val="superscript"/>
        </w:rPr>
        <w:footnoteReference w:id="37"/>
      </w:r>
      <w:r w:rsidRPr="00D868F0" w:rsidR="003C2CCF">
        <w:rPr>
          <w:sz w:val="22"/>
          <w:szCs w:val="22"/>
        </w:rPr>
        <w:t xml:space="preserve">  </w:t>
      </w:r>
    </w:p>
    <w:p w:rsidR="001016FF" w:rsidRPr="00D868F0" w:rsidP="00D868F0">
      <w:pPr>
        <w:spacing w:before="240"/>
        <w:ind w:firstLine="720"/>
        <w:rPr>
          <w:sz w:val="22"/>
          <w:szCs w:val="22"/>
        </w:rPr>
      </w:pPr>
      <w:r w:rsidRPr="00D868F0">
        <w:rPr>
          <w:b/>
          <w:sz w:val="22"/>
          <w:szCs w:val="22"/>
        </w:rPr>
        <w:t>Discussion.</w:t>
      </w:r>
      <w:r w:rsidRPr="00D868F0">
        <w:rPr>
          <w:sz w:val="22"/>
          <w:szCs w:val="22"/>
        </w:rPr>
        <w:t xml:space="preserve">  </w:t>
      </w:r>
      <w:r w:rsidR="00081ACE">
        <w:rPr>
          <w:sz w:val="22"/>
          <w:szCs w:val="22"/>
        </w:rPr>
        <w:t>Section 319(c) of the Communications Act of 1934, as amended (Act)</w:t>
      </w:r>
      <w:r>
        <w:rPr>
          <w:rStyle w:val="FootnoteReference"/>
          <w:sz w:val="22"/>
          <w:szCs w:val="22"/>
        </w:rPr>
        <w:footnoteReference w:id="38"/>
      </w:r>
      <w:r w:rsidR="00081ACE">
        <w:rPr>
          <w:sz w:val="22"/>
          <w:szCs w:val="22"/>
        </w:rPr>
        <w:t xml:space="preserve"> imposes a stringent standard on challenges to license applications.  So long as “all the terms, conditions, and obligations set forth in the application and permit have been fully met,” </w:t>
      </w:r>
      <w:r w:rsidRPr="00D868F0">
        <w:rPr>
          <w:sz w:val="22"/>
          <w:szCs w:val="22"/>
        </w:rPr>
        <w:t>Matinee is entitled</w:t>
      </w:r>
      <w:r w:rsidRPr="00D868F0" w:rsidR="00353DF7">
        <w:rPr>
          <w:sz w:val="22"/>
          <w:szCs w:val="22"/>
        </w:rPr>
        <w:t xml:space="preserve">, as an applicant for a license to cover a construction permit, </w:t>
      </w:r>
      <w:r w:rsidRPr="00D868F0">
        <w:rPr>
          <w:sz w:val="22"/>
          <w:szCs w:val="22"/>
        </w:rPr>
        <w:t xml:space="preserve">to a high degree of protection and a </w:t>
      </w:r>
      <w:bookmarkStart w:id="4" w:name="ctx3"/>
      <w:bookmarkEnd w:id="4"/>
      <w:r w:rsidRPr="00D868F0">
        <w:rPr>
          <w:sz w:val="22"/>
          <w:szCs w:val="22"/>
        </w:rPr>
        <w:fldChar w:fldCharType="begin"/>
      </w:r>
      <w:r w:rsidRPr="00D868F0">
        <w:rPr>
          <w:sz w:val="22"/>
          <w:szCs w:val="22"/>
        </w:rPr>
        <w:instrText xml:space="preserve"> HYPERLINK "javascript:top.docjs.prev_hit(3)" </w:instrText>
      </w:r>
      <w:r w:rsidRPr="00D868F0">
        <w:rPr>
          <w:sz w:val="22"/>
          <w:szCs w:val="22"/>
        </w:rPr>
        <w:fldChar w:fldCharType="separate"/>
      </w:r>
      <w:hyperlink r:id="rId5" w:history="1">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vious hit" style="width:0.75pt;height:0.75pt" o:button="t">
              <v:imagedata r:id="rId6" r:href="rId7" o:title=""/>
            </v:shape>
          </w:pict>
        </w:r>
      </w:hyperlink>
      <w:r w:rsidRPr="00D868F0">
        <w:rPr>
          <w:sz w:val="22"/>
          <w:szCs w:val="22"/>
        </w:rPr>
        <w:fldChar w:fldCharType="end"/>
      </w:r>
      <w:r w:rsidRPr="00D868F0">
        <w:rPr>
          <w:sz w:val="22"/>
          <w:szCs w:val="22"/>
        </w:rPr>
        <w:t>presumption</w:t>
      </w:r>
      <w:hyperlink r:id="rId8" w:history="1">
        <w:r>
          <w:rPr>
            <w:sz w:val="22"/>
            <w:szCs w:val="22"/>
          </w:rPr>
          <w:pict>
            <v:shape id="_x0000_i1026" type="#_x0000_t75" alt="next hit" style="width:0.75pt;height:0.75pt" o:button="t">
              <v:imagedata r:id="rId6" r:href="rId9" o:title=""/>
            </v:shape>
          </w:pict>
        </w:r>
      </w:hyperlink>
      <w:r w:rsidRPr="00D868F0">
        <w:rPr>
          <w:sz w:val="22"/>
          <w:szCs w:val="22"/>
        </w:rPr>
        <w:t xml:space="preserve"> that the public interest determination made during the underlying construction permit proceedings continues in effect unless circumstances have arisen that would make operation of the </w:t>
      </w:r>
      <w:r w:rsidRPr="00D868F0" w:rsidR="00353DF7">
        <w:rPr>
          <w:sz w:val="22"/>
          <w:szCs w:val="22"/>
        </w:rPr>
        <w:t>Station</w:t>
      </w:r>
      <w:r w:rsidRPr="00D868F0">
        <w:rPr>
          <w:sz w:val="22"/>
          <w:szCs w:val="22"/>
        </w:rPr>
        <w:t xml:space="preserve"> </w:t>
      </w:r>
      <w:r w:rsidRPr="00D868F0">
        <w:rPr>
          <w:spacing w:val="-7"/>
          <w:sz w:val="22"/>
          <w:szCs w:val="22"/>
        </w:rPr>
        <w:t>against</w:t>
      </w:r>
      <w:r w:rsidRPr="00D868F0">
        <w:rPr>
          <w:sz w:val="22"/>
          <w:szCs w:val="22"/>
        </w:rPr>
        <w:t xml:space="preserve"> the public interest.</w:t>
      </w:r>
      <w:bookmarkStart w:id="5" w:name="a0n5c4a5z4_ref"/>
      <w:bookmarkStart w:id="6" w:name="a0n5c4a5z4_reffirst_footref"/>
      <w:bookmarkEnd w:id="5"/>
      <w:bookmarkEnd w:id="6"/>
      <w:r>
        <w:rPr>
          <w:rStyle w:val="FootnoteReference"/>
          <w:sz w:val="22"/>
          <w:szCs w:val="22"/>
        </w:rPr>
        <w:footnoteReference w:id="39"/>
      </w:r>
      <w:r w:rsidRPr="00D868F0">
        <w:rPr>
          <w:sz w:val="22"/>
          <w:szCs w:val="22"/>
        </w:rPr>
        <w:t xml:space="preserve">  </w:t>
      </w:r>
      <w:r w:rsidR="00A203D1">
        <w:rPr>
          <w:sz w:val="22"/>
          <w:szCs w:val="22"/>
        </w:rPr>
        <w:t xml:space="preserve">The Commission </w:t>
      </w:r>
      <w:r w:rsidRPr="00D868F0">
        <w:rPr>
          <w:sz w:val="22"/>
          <w:szCs w:val="22"/>
        </w:rPr>
        <w:t xml:space="preserve">traditionally </w:t>
      </w:r>
      <w:r w:rsidR="006B0C54">
        <w:rPr>
          <w:sz w:val="22"/>
          <w:szCs w:val="22"/>
        </w:rPr>
        <w:t>is</w:t>
      </w:r>
      <w:r w:rsidRPr="00D868F0" w:rsidR="006B0C54">
        <w:rPr>
          <w:sz w:val="22"/>
          <w:szCs w:val="22"/>
        </w:rPr>
        <w:t xml:space="preserve"> </w:t>
      </w:r>
      <w:r w:rsidRPr="00D868F0">
        <w:rPr>
          <w:sz w:val="22"/>
          <w:szCs w:val="22"/>
        </w:rPr>
        <w:t>reluctant to designate license applications for hearing in these circumstances and, in most instances, consider</w:t>
      </w:r>
      <w:r w:rsidR="00A203D1">
        <w:rPr>
          <w:sz w:val="22"/>
          <w:szCs w:val="22"/>
        </w:rPr>
        <w:t>s</w:t>
      </w:r>
      <w:r w:rsidRPr="00D868F0">
        <w:rPr>
          <w:sz w:val="22"/>
          <w:szCs w:val="22"/>
        </w:rPr>
        <w:t xml:space="preserve"> the grant of such application to follow almost automatically from the issuance of a construction permit and the completion of construction in accordance therewith.</w:t>
      </w:r>
      <w:r>
        <w:rPr>
          <w:rStyle w:val="FootnoteReference"/>
          <w:sz w:val="22"/>
          <w:szCs w:val="22"/>
        </w:rPr>
        <w:footnoteReference w:id="40"/>
      </w:r>
      <w:r w:rsidRPr="00D868F0" w:rsidR="00353DF7">
        <w:rPr>
          <w:sz w:val="22"/>
          <w:szCs w:val="22"/>
        </w:rPr>
        <w:t xml:space="preserve">  </w:t>
      </w:r>
      <w:bookmarkEnd w:id="3"/>
      <w:r w:rsidRPr="00D868F0" w:rsidR="00353DF7">
        <w:rPr>
          <w:sz w:val="22"/>
          <w:szCs w:val="22"/>
        </w:rPr>
        <w:t xml:space="preserve">In this case, </w:t>
      </w:r>
      <w:r w:rsidR="00A203D1">
        <w:rPr>
          <w:sz w:val="22"/>
          <w:szCs w:val="22"/>
        </w:rPr>
        <w:t xml:space="preserve">we find that </w:t>
      </w:r>
      <w:r w:rsidRPr="00D868F0" w:rsidR="00353DF7">
        <w:rPr>
          <w:sz w:val="22"/>
          <w:szCs w:val="22"/>
        </w:rPr>
        <w:t>Entravision</w:t>
      </w:r>
      <w:r w:rsidRPr="00D868F0" w:rsidR="00353DF7">
        <w:rPr>
          <w:sz w:val="22"/>
          <w:szCs w:val="22"/>
        </w:rPr>
        <w:t xml:space="preserve"> has failed to demonstrate </w:t>
      </w:r>
      <w:r w:rsidRPr="00D868F0" w:rsidR="00081ACE">
        <w:rPr>
          <w:sz w:val="22"/>
          <w:szCs w:val="22"/>
        </w:rPr>
        <w:t>that</w:t>
      </w:r>
      <w:r w:rsidR="00081ACE">
        <w:rPr>
          <w:sz w:val="22"/>
          <w:szCs w:val="22"/>
        </w:rPr>
        <w:t xml:space="preserve"> Matinee failed to meet the terms of its permit or that </w:t>
      </w:r>
      <w:r w:rsidR="00A203D1">
        <w:rPr>
          <w:sz w:val="22"/>
          <w:szCs w:val="22"/>
        </w:rPr>
        <w:t xml:space="preserve">grant of the </w:t>
      </w:r>
      <w:r w:rsidRPr="00D868F0" w:rsidR="00353DF7">
        <w:rPr>
          <w:sz w:val="22"/>
          <w:szCs w:val="22"/>
        </w:rPr>
        <w:t xml:space="preserve">KAZV </w:t>
      </w:r>
      <w:r w:rsidR="00A203D1">
        <w:rPr>
          <w:sz w:val="22"/>
          <w:szCs w:val="22"/>
        </w:rPr>
        <w:t>License Application would be inconsistent with</w:t>
      </w:r>
      <w:r w:rsidRPr="00D868F0" w:rsidR="00353DF7">
        <w:rPr>
          <w:sz w:val="22"/>
          <w:szCs w:val="22"/>
        </w:rPr>
        <w:t xml:space="preserve"> the public interest, as discussed below. </w:t>
      </w:r>
    </w:p>
    <w:p w:rsidR="00DA28AF" w:rsidP="00A07363">
      <w:pPr>
        <w:spacing w:before="240"/>
        <w:ind w:firstLine="720"/>
        <w:rPr>
          <w:sz w:val="22"/>
          <w:szCs w:val="22"/>
        </w:rPr>
      </w:pPr>
      <w:r>
        <w:rPr>
          <w:i/>
          <w:sz w:val="22"/>
          <w:szCs w:val="22"/>
        </w:rPr>
        <w:t xml:space="preserve">Temporary construction.  </w:t>
      </w:r>
      <w:r w:rsidR="009C2C96">
        <w:rPr>
          <w:sz w:val="22"/>
          <w:szCs w:val="22"/>
        </w:rPr>
        <w:t xml:space="preserve">In </w:t>
      </w:r>
      <w:r w:rsidRPr="00800E05" w:rsidR="009C2C96">
        <w:rPr>
          <w:i/>
          <w:sz w:val="22"/>
          <w:szCs w:val="22"/>
        </w:rPr>
        <w:t>Tango</w:t>
      </w:r>
      <w:r w:rsidR="009C2C96">
        <w:rPr>
          <w:i/>
          <w:sz w:val="22"/>
          <w:szCs w:val="22"/>
        </w:rPr>
        <w:t xml:space="preserve"> </w:t>
      </w:r>
      <w:r w:rsidR="009C2C96">
        <w:rPr>
          <w:sz w:val="22"/>
          <w:szCs w:val="22"/>
        </w:rPr>
        <w:t>and subsequent decisions, the Commiss</w:t>
      </w:r>
      <w:r>
        <w:rPr>
          <w:sz w:val="22"/>
          <w:szCs w:val="22"/>
        </w:rPr>
        <w:t>ion targeted the</w:t>
      </w:r>
      <w:r w:rsidR="009C2C96">
        <w:rPr>
          <w:sz w:val="22"/>
          <w:szCs w:val="22"/>
        </w:rPr>
        <w:t xml:space="preserve"> recurring </w:t>
      </w:r>
      <w:r>
        <w:rPr>
          <w:sz w:val="22"/>
          <w:szCs w:val="22"/>
        </w:rPr>
        <w:t xml:space="preserve">abuse of the Commission’s processes by </w:t>
      </w:r>
      <w:r w:rsidR="009C2C96">
        <w:rPr>
          <w:sz w:val="22"/>
          <w:szCs w:val="22"/>
        </w:rPr>
        <w:t>permittees</w:t>
      </w:r>
      <w:r w:rsidR="00A203D1">
        <w:rPr>
          <w:sz w:val="22"/>
          <w:szCs w:val="22"/>
        </w:rPr>
        <w:t xml:space="preserve"> who—when faced with the imminent expiration of a construction permit—</w:t>
      </w:r>
      <w:r w:rsidR="00D64A8B">
        <w:rPr>
          <w:sz w:val="22"/>
          <w:szCs w:val="22"/>
        </w:rPr>
        <w:t xml:space="preserve">have </w:t>
      </w:r>
      <w:r w:rsidR="003A512E">
        <w:rPr>
          <w:sz w:val="22"/>
          <w:szCs w:val="22"/>
        </w:rPr>
        <w:t>erect</w:t>
      </w:r>
      <w:r w:rsidR="00A203D1">
        <w:rPr>
          <w:sz w:val="22"/>
          <w:szCs w:val="22"/>
        </w:rPr>
        <w:t>ed</w:t>
      </w:r>
      <w:r w:rsidR="003A512E">
        <w:rPr>
          <w:sz w:val="22"/>
          <w:szCs w:val="22"/>
        </w:rPr>
        <w:t xml:space="preserve"> makeshift facilities for the sole purpose of applying for a license to cover and then </w:t>
      </w:r>
      <w:r w:rsidR="006666C8">
        <w:rPr>
          <w:sz w:val="22"/>
          <w:szCs w:val="22"/>
        </w:rPr>
        <w:t>immediately dismantl</w:t>
      </w:r>
      <w:r w:rsidR="00A203D1">
        <w:rPr>
          <w:sz w:val="22"/>
          <w:szCs w:val="22"/>
        </w:rPr>
        <w:t>ed</w:t>
      </w:r>
      <w:r w:rsidR="003A512E">
        <w:rPr>
          <w:sz w:val="22"/>
          <w:szCs w:val="22"/>
        </w:rPr>
        <w:t xml:space="preserve"> the facilities</w:t>
      </w:r>
      <w:r w:rsidR="009C2C96">
        <w:rPr>
          <w:sz w:val="22"/>
          <w:szCs w:val="22"/>
        </w:rPr>
        <w:t xml:space="preserve"> </w:t>
      </w:r>
      <w:r w:rsidR="006666C8">
        <w:rPr>
          <w:sz w:val="22"/>
          <w:szCs w:val="22"/>
        </w:rPr>
        <w:t>upon grant of the license</w:t>
      </w:r>
      <w:r w:rsidR="009C2C96">
        <w:rPr>
          <w:sz w:val="22"/>
          <w:szCs w:val="22"/>
        </w:rPr>
        <w:t xml:space="preserve">, in some cases to be </w:t>
      </w:r>
      <w:r w:rsidR="003A512E">
        <w:rPr>
          <w:sz w:val="22"/>
          <w:szCs w:val="22"/>
        </w:rPr>
        <w:t>re-</w:t>
      </w:r>
      <w:r w:rsidR="009C2C96">
        <w:rPr>
          <w:sz w:val="22"/>
          <w:szCs w:val="22"/>
        </w:rPr>
        <w:t>used again soon thereafter for the same purpose.</w:t>
      </w:r>
      <w:r>
        <w:rPr>
          <w:rStyle w:val="FootnoteReference"/>
          <w:sz w:val="22"/>
          <w:szCs w:val="22"/>
        </w:rPr>
        <w:footnoteReference w:id="41"/>
      </w:r>
      <w:r w:rsidR="009C2C96">
        <w:rPr>
          <w:sz w:val="22"/>
          <w:szCs w:val="22"/>
        </w:rPr>
        <w:t xml:space="preserve">  T</w:t>
      </w:r>
      <w:r w:rsidRPr="00DA28AF" w:rsidR="002C779B">
        <w:rPr>
          <w:sz w:val="22"/>
          <w:szCs w:val="22"/>
        </w:rPr>
        <w:t xml:space="preserve">he Commission </w:t>
      </w:r>
      <w:r w:rsidR="00A07363">
        <w:rPr>
          <w:sz w:val="22"/>
          <w:szCs w:val="22"/>
        </w:rPr>
        <w:t xml:space="preserve">held that </w:t>
      </w:r>
      <w:r w:rsidR="009C2C96">
        <w:rPr>
          <w:sz w:val="22"/>
          <w:szCs w:val="22"/>
        </w:rPr>
        <w:t>i</w:t>
      </w:r>
      <w:r w:rsidRPr="00A07363" w:rsidR="009C2C96">
        <w:rPr>
          <w:sz w:val="22"/>
          <w:szCs w:val="22"/>
        </w:rPr>
        <w:t xml:space="preserve">mplicit in the </w:t>
      </w:r>
      <w:r w:rsidRPr="00A07363" w:rsidR="009C2C96">
        <w:rPr>
          <w:sz w:val="22"/>
          <w:szCs w:val="22"/>
        </w:rPr>
        <w:t xml:space="preserve">filing of any facility application is that the applicant stands </w:t>
      </w:r>
      <w:r w:rsidR="009C2C96">
        <w:rPr>
          <w:sz w:val="22"/>
          <w:szCs w:val="22"/>
        </w:rPr>
        <w:t>“</w:t>
      </w:r>
      <w:r w:rsidRPr="00A07363" w:rsidR="009C2C96">
        <w:rPr>
          <w:sz w:val="22"/>
          <w:szCs w:val="22"/>
        </w:rPr>
        <w:t>ready, willing, and able</w:t>
      </w:r>
      <w:r w:rsidR="009C2C96">
        <w:rPr>
          <w:sz w:val="22"/>
          <w:szCs w:val="22"/>
        </w:rPr>
        <w:t>”</w:t>
      </w:r>
      <w:r w:rsidRPr="00A07363" w:rsidR="009C2C96">
        <w:rPr>
          <w:sz w:val="22"/>
          <w:szCs w:val="22"/>
        </w:rPr>
        <w:t xml:space="preserve"> to construct and operate as proposed</w:t>
      </w:r>
      <w:r w:rsidR="009C2C96">
        <w:rPr>
          <w:sz w:val="22"/>
          <w:szCs w:val="22"/>
        </w:rPr>
        <w:t>.</w:t>
      </w:r>
      <w:r>
        <w:rPr>
          <w:rStyle w:val="FootnoteReference"/>
          <w:sz w:val="22"/>
          <w:szCs w:val="22"/>
        </w:rPr>
        <w:footnoteReference w:id="42"/>
      </w:r>
      <w:r w:rsidRPr="00A07363" w:rsidR="009C2C96">
        <w:rPr>
          <w:sz w:val="22"/>
          <w:szCs w:val="22"/>
        </w:rPr>
        <w:t xml:space="preserve"> </w:t>
      </w:r>
      <w:r w:rsidR="00A203D1">
        <w:rPr>
          <w:sz w:val="22"/>
          <w:szCs w:val="22"/>
        </w:rPr>
        <w:t xml:space="preserve"> Therefore, a</w:t>
      </w:r>
      <w:r w:rsidR="00A07363">
        <w:rPr>
          <w:sz w:val="22"/>
          <w:szCs w:val="22"/>
        </w:rPr>
        <w:t xml:space="preserve"> </w:t>
      </w:r>
      <w:r w:rsidR="00A203D1">
        <w:rPr>
          <w:sz w:val="22"/>
          <w:szCs w:val="22"/>
        </w:rPr>
        <w:t xml:space="preserve">license </w:t>
      </w:r>
      <w:r w:rsidR="00A07363">
        <w:rPr>
          <w:sz w:val="22"/>
          <w:szCs w:val="22"/>
        </w:rPr>
        <w:t xml:space="preserve">applicant </w:t>
      </w:r>
      <w:r w:rsidRPr="00DA28AF" w:rsidR="002C779B">
        <w:rPr>
          <w:sz w:val="22"/>
          <w:szCs w:val="22"/>
        </w:rPr>
        <w:t xml:space="preserve">may not rely on temporarily constructed facilities to satisfy construction </w:t>
      </w:r>
      <w:r w:rsidR="00A07363">
        <w:rPr>
          <w:sz w:val="22"/>
          <w:szCs w:val="22"/>
        </w:rPr>
        <w:t xml:space="preserve">requirements; rather, the station facilities must “endure beyond the </w:t>
      </w:r>
      <w:r w:rsidR="00A07363">
        <w:rPr>
          <w:i/>
          <w:sz w:val="22"/>
          <w:szCs w:val="22"/>
        </w:rPr>
        <w:t xml:space="preserve">de minimis </w:t>
      </w:r>
      <w:r w:rsidR="00A07363">
        <w:rPr>
          <w:sz w:val="22"/>
          <w:szCs w:val="22"/>
        </w:rPr>
        <w:t>period necessary for it to file a license application.</w:t>
      </w:r>
      <w:r>
        <w:rPr>
          <w:rStyle w:val="FootnoteReference"/>
          <w:sz w:val="22"/>
          <w:szCs w:val="22"/>
        </w:rPr>
        <w:footnoteReference w:id="43"/>
      </w:r>
      <w:r w:rsidR="00A07363">
        <w:rPr>
          <w:sz w:val="22"/>
          <w:szCs w:val="22"/>
        </w:rPr>
        <w:t xml:space="preserve">  </w:t>
      </w:r>
    </w:p>
    <w:p w:rsidR="00D03F8B" w:rsidP="00CD1C35">
      <w:pPr>
        <w:spacing w:before="240"/>
        <w:ind w:firstLine="720"/>
        <w:rPr>
          <w:sz w:val="22"/>
          <w:szCs w:val="22"/>
        </w:rPr>
      </w:pPr>
      <w:r>
        <w:rPr>
          <w:sz w:val="22"/>
          <w:szCs w:val="22"/>
        </w:rPr>
        <w:t xml:space="preserve">In this case, </w:t>
      </w:r>
      <w:r w:rsidR="009C2C96">
        <w:rPr>
          <w:sz w:val="22"/>
          <w:szCs w:val="22"/>
        </w:rPr>
        <w:t xml:space="preserve">after </w:t>
      </w:r>
      <w:r w:rsidR="00A203D1">
        <w:rPr>
          <w:sz w:val="22"/>
          <w:szCs w:val="22"/>
        </w:rPr>
        <w:t xml:space="preserve">delays due to various </w:t>
      </w:r>
      <w:r w:rsidR="00293FD8">
        <w:rPr>
          <w:sz w:val="22"/>
          <w:szCs w:val="22"/>
        </w:rPr>
        <w:t xml:space="preserve">leasing, </w:t>
      </w:r>
      <w:r w:rsidR="009C2C96">
        <w:rPr>
          <w:sz w:val="22"/>
          <w:szCs w:val="22"/>
        </w:rPr>
        <w:t xml:space="preserve">environmental review, tower registration, </w:t>
      </w:r>
      <w:r w:rsidR="00900E70">
        <w:rPr>
          <w:sz w:val="22"/>
          <w:szCs w:val="22"/>
        </w:rPr>
        <w:t xml:space="preserve">and </w:t>
      </w:r>
      <w:r w:rsidR="009C2C96">
        <w:rPr>
          <w:sz w:val="22"/>
          <w:szCs w:val="22"/>
        </w:rPr>
        <w:t xml:space="preserve">FAA compliance </w:t>
      </w:r>
      <w:r w:rsidR="00900E70">
        <w:rPr>
          <w:sz w:val="22"/>
          <w:szCs w:val="22"/>
        </w:rPr>
        <w:t>issues</w:t>
      </w:r>
      <w:r w:rsidR="009C2C96">
        <w:rPr>
          <w:sz w:val="22"/>
          <w:szCs w:val="22"/>
        </w:rPr>
        <w:t xml:space="preserve">, </w:t>
      </w:r>
      <w:r w:rsidR="00A44007">
        <w:rPr>
          <w:sz w:val="22"/>
          <w:szCs w:val="22"/>
        </w:rPr>
        <w:t xml:space="preserve">Matinee </w:t>
      </w:r>
      <w:r w:rsidR="00353DF7">
        <w:rPr>
          <w:sz w:val="22"/>
          <w:szCs w:val="22"/>
        </w:rPr>
        <w:t xml:space="preserve">encountered local zoning issues that </w:t>
      </w:r>
      <w:r w:rsidR="00A203D1">
        <w:rPr>
          <w:sz w:val="22"/>
          <w:szCs w:val="22"/>
        </w:rPr>
        <w:t xml:space="preserve">it concluded could not be resolved in time to </w:t>
      </w:r>
      <w:r w:rsidR="00A44007">
        <w:rPr>
          <w:sz w:val="22"/>
          <w:szCs w:val="22"/>
        </w:rPr>
        <w:t>construct the facilities that it had originally requested in</w:t>
      </w:r>
      <w:r w:rsidR="005E716E">
        <w:rPr>
          <w:sz w:val="22"/>
          <w:szCs w:val="22"/>
        </w:rPr>
        <w:t xml:space="preserve"> 2015</w:t>
      </w:r>
      <w:r w:rsidR="00A44007">
        <w:rPr>
          <w:sz w:val="22"/>
          <w:szCs w:val="22"/>
        </w:rPr>
        <w:t xml:space="preserve">.  </w:t>
      </w:r>
      <w:r w:rsidR="00A203D1">
        <w:rPr>
          <w:sz w:val="22"/>
          <w:szCs w:val="22"/>
        </w:rPr>
        <w:t>Therefore</w:t>
      </w:r>
      <w:r w:rsidR="00A44007">
        <w:rPr>
          <w:sz w:val="22"/>
          <w:szCs w:val="22"/>
        </w:rPr>
        <w:t xml:space="preserve">, </w:t>
      </w:r>
      <w:r w:rsidR="00D64A8B">
        <w:rPr>
          <w:sz w:val="22"/>
          <w:szCs w:val="22"/>
        </w:rPr>
        <w:t>Matinee</w:t>
      </w:r>
      <w:r w:rsidR="00A203D1">
        <w:rPr>
          <w:sz w:val="22"/>
          <w:szCs w:val="22"/>
        </w:rPr>
        <w:t xml:space="preserve"> amended the KAZV Modification Application, </w:t>
      </w:r>
      <w:r w:rsidR="00D64A8B">
        <w:rPr>
          <w:sz w:val="22"/>
          <w:szCs w:val="22"/>
        </w:rPr>
        <w:t>r</w:t>
      </w:r>
      <w:r w:rsidR="0029160A">
        <w:rPr>
          <w:sz w:val="22"/>
          <w:szCs w:val="22"/>
        </w:rPr>
        <w:t>equest</w:t>
      </w:r>
      <w:r w:rsidR="00D64A8B">
        <w:rPr>
          <w:sz w:val="22"/>
          <w:szCs w:val="22"/>
        </w:rPr>
        <w:t>ing</w:t>
      </w:r>
      <w:r w:rsidR="00A44007">
        <w:rPr>
          <w:sz w:val="22"/>
          <w:szCs w:val="22"/>
        </w:rPr>
        <w:t xml:space="preserve"> </w:t>
      </w:r>
      <w:r w:rsidR="00CD1C35">
        <w:rPr>
          <w:sz w:val="22"/>
          <w:szCs w:val="22"/>
        </w:rPr>
        <w:t xml:space="preserve">and </w:t>
      </w:r>
      <w:r w:rsidR="009C2C96">
        <w:rPr>
          <w:sz w:val="22"/>
          <w:szCs w:val="22"/>
        </w:rPr>
        <w:t>receiv</w:t>
      </w:r>
      <w:r w:rsidR="00D64A8B">
        <w:rPr>
          <w:sz w:val="22"/>
          <w:szCs w:val="22"/>
        </w:rPr>
        <w:t>ing</w:t>
      </w:r>
      <w:r w:rsidR="009C2C96">
        <w:rPr>
          <w:sz w:val="22"/>
          <w:szCs w:val="22"/>
        </w:rPr>
        <w:t xml:space="preserve"> </w:t>
      </w:r>
      <w:r w:rsidR="00CD1C35">
        <w:rPr>
          <w:sz w:val="22"/>
          <w:szCs w:val="22"/>
        </w:rPr>
        <w:t>authoriz</w:t>
      </w:r>
      <w:r w:rsidR="009C2C96">
        <w:rPr>
          <w:sz w:val="22"/>
          <w:szCs w:val="22"/>
        </w:rPr>
        <w:t>ation</w:t>
      </w:r>
      <w:r w:rsidR="00CD1C35">
        <w:rPr>
          <w:sz w:val="22"/>
          <w:szCs w:val="22"/>
        </w:rPr>
        <w:t xml:space="preserve"> to construct </w:t>
      </w:r>
      <w:r w:rsidR="00A203D1">
        <w:rPr>
          <w:sz w:val="22"/>
          <w:szCs w:val="22"/>
        </w:rPr>
        <w:t>alternative facilities</w:t>
      </w:r>
      <w:r w:rsidR="00A44007">
        <w:rPr>
          <w:sz w:val="22"/>
          <w:szCs w:val="22"/>
        </w:rPr>
        <w:t xml:space="preserve">.  </w:t>
      </w:r>
      <w:r w:rsidR="009C1BBD">
        <w:rPr>
          <w:sz w:val="22"/>
          <w:szCs w:val="22"/>
        </w:rPr>
        <w:t xml:space="preserve">Matinee </w:t>
      </w:r>
      <w:r>
        <w:rPr>
          <w:sz w:val="22"/>
          <w:szCs w:val="22"/>
        </w:rPr>
        <w:t>built</w:t>
      </w:r>
      <w:r w:rsidR="009C1BBD">
        <w:rPr>
          <w:sz w:val="22"/>
          <w:szCs w:val="22"/>
        </w:rPr>
        <w:t xml:space="preserve"> </w:t>
      </w:r>
      <w:r w:rsidR="00081ACE">
        <w:rPr>
          <w:sz w:val="22"/>
          <w:szCs w:val="22"/>
        </w:rPr>
        <w:t>these</w:t>
      </w:r>
      <w:r w:rsidR="00D64A8B">
        <w:rPr>
          <w:sz w:val="22"/>
          <w:szCs w:val="22"/>
        </w:rPr>
        <w:t xml:space="preserve"> </w:t>
      </w:r>
      <w:r w:rsidR="009C1BBD">
        <w:rPr>
          <w:sz w:val="22"/>
          <w:szCs w:val="22"/>
        </w:rPr>
        <w:t xml:space="preserve">facilities </w:t>
      </w:r>
      <w:r w:rsidR="00081ACE">
        <w:rPr>
          <w:sz w:val="22"/>
          <w:szCs w:val="22"/>
        </w:rPr>
        <w:t xml:space="preserve">in accordance with the terms of its authorization </w:t>
      </w:r>
      <w:r w:rsidR="009C1BBD">
        <w:rPr>
          <w:sz w:val="22"/>
          <w:szCs w:val="22"/>
        </w:rPr>
        <w:t xml:space="preserve">and </w:t>
      </w:r>
      <w:r w:rsidR="00A203D1">
        <w:rPr>
          <w:sz w:val="22"/>
          <w:szCs w:val="22"/>
        </w:rPr>
        <w:t xml:space="preserve">states </w:t>
      </w:r>
      <w:r w:rsidR="009C1BBD">
        <w:rPr>
          <w:sz w:val="22"/>
          <w:szCs w:val="22"/>
        </w:rPr>
        <w:t>that</w:t>
      </w:r>
      <w:r w:rsidR="00353DF7">
        <w:rPr>
          <w:sz w:val="22"/>
          <w:szCs w:val="22"/>
        </w:rPr>
        <w:t xml:space="preserve"> it</w:t>
      </w:r>
      <w:r w:rsidR="009C1BBD">
        <w:rPr>
          <w:sz w:val="22"/>
          <w:szCs w:val="22"/>
        </w:rPr>
        <w:t xml:space="preserve"> </w:t>
      </w:r>
      <w:r w:rsidR="00F3749F">
        <w:rPr>
          <w:sz w:val="22"/>
          <w:szCs w:val="22"/>
        </w:rPr>
        <w:t>remains</w:t>
      </w:r>
      <w:r w:rsidR="00293FD8">
        <w:rPr>
          <w:sz w:val="22"/>
          <w:szCs w:val="22"/>
        </w:rPr>
        <w:t xml:space="preserve"> </w:t>
      </w:r>
      <w:r w:rsidR="00A44007">
        <w:rPr>
          <w:sz w:val="22"/>
          <w:szCs w:val="22"/>
        </w:rPr>
        <w:t xml:space="preserve">ready to </w:t>
      </w:r>
      <w:r w:rsidR="00353DF7">
        <w:rPr>
          <w:sz w:val="22"/>
          <w:szCs w:val="22"/>
        </w:rPr>
        <w:t xml:space="preserve">operate </w:t>
      </w:r>
      <w:r w:rsidR="00601E1B">
        <w:rPr>
          <w:sz w:val="22"/>
          <w:szCs w:val="22"/>
        </w:rPr>
        <w:t xml:space="preserve">upon grant of the </w:t>
      </w:r>
      <w:r w:rsidR="00AA7C83">
        <w:rPr>
          <w:sz w:val="22"/>
          <w:szCs w:val="22"/>
        </w:rPr>
        <w:t>KAZV License Application</w:t>
      </w:r>
      <w:r w:rsidR="00601E1B">
        <w:rPr>
          <w:sz w:val="22"/>
          <w:szCs w:val="22"/>
        </w:rPr>
        <w:t xml:space="preserve"> </w:t>
      </w:r>
      <w:r>
        <w:rPr>
          <w:sz w:val="22"/>
          <w:szCs w:val="22"/>
        </w:rPr>
        <w:t>(</w:t>
      </w:r>
      <w:r w:rsidR="00601E1B">
        <w:rPr>
          <w:sz w:val="22"/>
          <w:szCs w:val="22"/>
        </w:rPr>
        <w:t>or PTA</w:t>
      </w:r>
      <w:r>
        <w:rPr>
          <w:sz w:val="22"/>
          <w:szCs w:val="22"/>
        </w:rPr>
        <w:t>)</w:t>
      </w:r>
      <w:r w:rsidR="00A44007">
        <w:rPr>
          <w:sz w:val="22"/>
          <w:szCs w:val="22"/>
        </w:rPr>
        <w:t xml:space="preserve">. </w:t>
      </w:r>
      <w:r w:rsidR="00BB2778">
        <w:rPr>
          <w:sz w:val="22"/>
          <w:szCs w:val="22"/>
        </w:rPr>
        <w:t xml:space="preserve"> </w:t>
      </w:r>
      <w:r w:rsidR="009C1BBD">
        <w:rPr>
          <w:sz w:val="22"/>
          <w:szCs w:val="22"/>
        </w:rPr>
        <w:t>Matinee</w:t>
      </w:r>
      <w:r w:rsidR="00A203D1">
        <w:rPr>
          <w:sz w:val="22"/>
          <w:szCs w:val="22"/>
        </w:rPr>
        <w:t xml:space="preserve"> has</w:t>
      </w:r>
      <w:r w:rsidR="00353DF7">
        <w:rPr>
          <w:sz w:val="22"/>
          <w:szCs w:val="22"/>
        </w:rPr>
        <w:t xml:space="preserve"> disclose</w:t>
      </w:r>
      <w:r w:rsidR="00A203D1">
        <w:rPr>
          <w:sz w:val="22"/>
          <w:szCs w:val="22"/>
        </w:rPr>
        <w:t>d</w:t>
      </w:r>
      <w:r w:rsidR="00353DF7">
        <w:rPr>
          <w:sz w:val="22"/>
          <w:szCs w:val="22"/>
        </w:rPr>
        <w:t xml:space="preserve"> </w:t>
      </w:r>
      <w:r w:rsidR="00F3749F">
        <w:rPr>
          <w:sz w:val="22"/>
          <w:szCs w:val="22"/>
        </w:rPr>
        <w:t xml:space="preserve">that it </w:t>
      </w:r>
      <w:r w:rsidR="00CD1C35">
        <w:rPr>
          <w:sz w:val="22"/>
          <w:szCs w:val="22"/>
        </w:rPr>
        <w:t>intends</w:t>
      </w:r>
      <w:r w:rsidR="009C1BBD">
        <w:rPr>
          <w:sz w:val="22"/>
          <w:szCs w:val="22"/>
        </w:rPr>
        <w:t xml:space="preserve"> to increase its tower height through an addi</w:t>
      </w:r>
      <w:r w:rsidR="00CD1C35">
        <w:rPr>
          <w:sz w:val="22"/>
          <w:szCs w:val="22"/>
        </w:rPr>
        <w:t>tional modification application in the future</w:t>
      </w:r>
      <w:r w:rsidR="00BB2778">
        <w:rPr>
          <w:sz w:val="22"/>
          <w:szCs w:val="22"/>
        </w:rPr>
        <w:t>, should circumstances permit it to do so.</w:t>
      </w:r>
      <w:r w:rsidR="00A44007">
        <w:rPr>
          <w:sz w:val="22"/>
          <w:szCs w:val="22"/>
        </w:rPr>
        <w:t xml:space="preserve">  </w:t>
      </w:r>
    </w:p>
    <w:p w:rsidR="00A203D1" w:rsidP="00CD1C35">
      <w:pPr>
        <w:spacing w:before="240"/>
        <w:ind w:firstLine="720"/>
        <w:rPr>
          <w:sz w:val="22"/>
          <w:szCs w:val="22"/>
        </w:rPr>
      </w:pPr>
      <w:r>
        <w:rPr>
          <w:sz w:val="22"/>
          <w:szCs w:val="22"/>
        </w:rPr>
        <w:t>In</w:t>
      </w:r>
      <w:r w:rsidR="00CD1C35">
        <w:rPr>
          <w:sz w:val="22"/>
          <w:szCs w:val="22"/>
        </w:rPr>
        <w:t xml:space="preserve"> </w:t>
      </w:r>
      <w:r w:rsidR="00CD1C35">
        <w:rPr>
          <w:i/>
          <w:sz w:val="22"/>
          <w:szCs w:val="22"/>
        </w:rPr>
        <w:t xml:space="preserve">Tango </w:t>
      </w:r>
      <w:r w:rsidR="00CD1C35">
        <w:rPr>
          <w:sz w:val="22"/>
          <w:szCs w:val="22"/>
        </w:rPr>
        <w:t xml:space="preserve">and related cases, the facilities in question </w:t>
      </w:r>
      <w:r>
        <w:rPr>
          <w:sz w:val="22"/>
          <w:szCs w:val="22"/>
        </w:rPr>
        <w:t xml:space="preserve">did not—and in fact </w:t>
      </w:r>
      <w:r w:rsidR="00CD1C35">
        <w:rPr>
          <w:sz w:val="22"/>
          <w:szCs w:val="22"/>
        </w:rPr>
        <w:t>could not</w:t>
      </w:r>
      <w:r w:rsidR="00343D56">
        <w:rPr>
          <w:sz w:val="22"/>
          <w:szCs w:val="22"/>
        </w:rPr>
        <w:t xml:space="preserve"> have</w:t>
      </w:r>
      <w:r w:rsidR="00CD1C35">
        <w:rPr>
          <w:sz w:val="22"/>
          <w:szCs w:val="22"/>
        </w:rPr>
        <w:t>—</w:t>
      </w:r>
      <w:r>
        <w:rPr>
          <w:sz w:val="22"/>
          <w:szCs w:val="22"/>
        </w:rPr>
        <w:t>rem</w:t>
      </w:r>
      <w:r w:rsidR="00CD1C35">
        <w:rPr>
          <w:sz w:val="22"/>
          <w:szCs w:val="22"/>
        </w:rPr>
        <w:t>ain</w:t>
      </w:r>
      <w:r w:rsidR="00343D56">
        <w:rPr>
          <w:sz w:val="22"/>
          <w:szCs w:val="22"/>
        </w:rPr>
        <w:t>ed</w:t>
      </w:r>
      <w:r w:rsidR="00CD1C35">
        <w:rPr>
          <w:sz w:val="22"/>
          <w:szCs w:val="22"/>
        </w:rPr>
        <w:t xml:space="preserve"> in operation</w:t>
      </w:r>
      <w:r w:rsidR="003278FE">
        <w:rPr>
          <w:sz w:val="22"/>
          <w:szCs w:val="22"/>
        </w:rPr>
        <w:t xml:space="preserve"> for more than “long enough to file a license application</w:t>
      </w:r>
      <w:r w:rsidR="00343D56">
        <w:rPr>
          <w:sz w:val="22"/>
          <w:szCs w:val="22"/>
        </w:rPr>
        <w:t>.</w:t>
      </w:r>
      <w:r w:rsidR="003278FE">
        <w:rPr>
          <w:sz w:val="22"/>
          <w:szCs w:val="22"/>
        </w:rPr>
        <w:t>”</w:t>
      </w:r>
      <w:r>
        <w:rPr>
          <w:rStyle w:val="FootnoteReference"/>
          <w:sz w:val="22"/>
          <w:szCs w:val="22"/>
        </w:rPr>
        <w:footnoteReference w:id="44"/>
      </w:r>
      <w:r w:rsidR="00CD1C35">
        <w:rPr>
          <w:sz w:val="22"/>
          <w:szCs w:val="22"/>
        </w:rPr>
        <w:t xml:space="preserve"> </w:t>
      </w:r>
      <w:r w:rsidR="00343D56">
        <w:rPr>
          <w:sz w:val="22"/>
          <w:szCs w:val="22"/>
        </w:rPr>
        <w:t xml:space="preserve"> </w:t>
      </w:r>
      <w:r w:rsidR="00D64A8B">
        <w:rPr>
          <w:sz w:val="22"/>
          <w:szCs w:val="22"/>
        </w:rPr>
        <w:t>Each case relied on</w:t>
      </w:r>
      <w:r>
        <w:rPr>
          <w:sz w:val="22"/>
          <w:szCs w:val="22"/>
        </w:rPr>
        <w:t xml:space="preserve"> </w:t>
      </w:r>
      <w:r w:rsidR="00343D56">
        <w:rPr>
          <w:sz w:val="22"/>
          <w:szCs w:val="22"/>
        </w:rPr>
        <w:t>facts</w:t>
      </w:r>
      <w:r>
        <w:rPr>
          <w:sz w:val="22"/>
          <w:szCs w:val="22"/>
        </w:rPr>
        <w:t xml:space="preserve"> indicating</w:t>
      </w:r>
      <w:r w:rsidR="00F3749F">
        <w:rPr>
          <w:sz w:val="22"/>
          <w:szCs w:val="22"/>
        </w:rPr>
        <w:t xml:space="preserve"> that long-term operation using the constructed facility </w:t>
      </w:r>
      <w:r w:rsidR="00353DF7">
        <w:rPr>
          <w:sz w:val="22"/>
          <w:szCs w:val="22"/>
        </w:rPr>
        <w:t xml:space="preserve">would be </w:t>
      </w:r>
      <w:r w:rsidR="00F3749F">
        <w:rPr>
          <w:sz w:val="22"/>
          <w:szCs w:val="22"/>
        </w:rPr>
        <w:t>impossible or very unlikely</w:t>
      </w:r>
      <w:r w:rsidR="00343D56">
        <w:rPr>
          <w:sz w:val="22"/>
          <w:szCs w:val="22"/>
        </w:rPr>
        <w:t xml:space="preserve">, </w:t>
      </w:r>
      <w:r>
        <w:rPr>
          <w:sz w:val="22"/>
          <w:szCs w:val="22"/>
        </w:rPr>
        <w:t>such as</w:t>
      </w:r>
      <w:r w:rsidR="00343D56">
        <w:rPr>
          <w:sz w:val="22"/>
          <w:szCs w:val="22"/>
        </w:rPr>
        <w:t xml:space="preserve"> </w:t>
      </w:r>
      <w:r w:rsidR="00CD1C35">
        <w:rPr>
          <w:sz w:val="22"/>
          <w:szCs w:val="22"/>
        </w:rPr>
        <w:t>physical limitations</w:t>
      </w:r>
      <w:r w:rsidR="00D03F8B">
        <w:rPr>
          <w:sz w:val="22"/>
          <w:szCs w:val="22"/>
        </w:rPr>
        <w:t xml:space="preserve"> on the durability of the equipment</w:t>
      </w:r>
      <w:r w:rsidR="00CD1C35">
        <w:rPr>
          <w:sz w:val="22"/>
          <w:szCs w:val="22"/>
        </w:rPr>
        <w:t xml:space="preserve"> (</w:t>
      </w:r>
      <w:r w:rsidR="00353DF7">
        <w:rPr>
          <w:sz w:val="22"/>
          <w:szCs w:val="22"/>
        </w:rPr>
        <w:t>e.g.</w:t>
      </w:r>
      <w:r w:rsidR="00CD1C35">
        <w:rPr>
          <w:sz w:val="22"/>
          <w:szCs w:val="22"/>
        </w:rPr>
        <w:t xml:space="preserve">, </w:t>
      </w:r>
      <w:r w:rsidR="003278FE">
        <w:rPr>
          <w:sz w:val="22"/>
          <w:szCs w:val="22"/>
        </w:rPr>
        <w:t>a</w:t>
      </w:r>
      <w:r w:rsidR="00F3749F">
        <w:rPr>
          <w:sz w:val="22"/>
          <w:szCs w:val="22"/>
        </w:rPr>
        <w:t>n</w:t>
      </w:r>
      <w:r w:rsidR="00D03F8B">
        <w:rPr>
          <w:sz w:val="22"/>
          <w:szCs w:val="22"/>
        </w:rPr>
        <w:t xml:space="preserve"> antenna mounted on a vehicle</w:t>
      </w:r>
      <w:r w:rsidR="00CD1C35">
        <w:rPr>
          <w:sz w:val="22"/>
          <w:szCs w:val="22"/>
        </w:rPr>
        <w:t>)</w:t>
      </w:r>
      <w:r w:rsidR="00343D56">
        <w:rPr>
          <w:sz w:val="22"/>
          <w:szCs w:val="22"/>
        </w:rPr>
        <w:t xml:space="preserve"> and/or</w:t>
      </w:r>
      <w:r w:rsidR="00CD1C35">
        <w:rPr>
          <w:sz w:val="22"/>
          <w:szCs w:val="22"/>
        </w:rPr>
        <w:t xml:space="preserve"> legal </w:t>
      </w:r>
      <w:r w:rsidR="00353DF7">
        <w:rPr>
          <w:sz w:val="22"/>
          <w:szCs w:val="22"/>
        </w:rPr>
        <w:t>limitations on operating a broadcast facility at the relevant site (e.g.</w:t>
      </w:r>
      <w:r w:rsidR="00CD1C35">
        <w:rPr>
          <w:sz w:val="22"/>
          <w:szCs w:val="22"/>
        </w:rPr>
        <w:t xml:space="preserve">, </w:t>
      </w:r>
      <w:r w:rsidR="00D03F8B">
        <w:rPr>
          <w:sz w:val="22"/>
          <w:szCs w:val="22"/>
        </w:rPr>
        <w:t>failure to obtain</w:t>
      </w:r>
      <w:r w:rsidR="00CD1C35">
        <w:rPr>
          <w:sz w:val="22"/>
          <w:szCs w:val="22"/>
        </w:rPr>
        <w:t xml:space="preserve"> </w:t>
      </w:r>
      <w:r w:rsidR="003278FE">
        <w:rPr>
          <w:sz w:val="22"/>
          <w:szCs w:val="22"/>
        </w:rPr>
        <w:t>permission</w:t>
      </w:r>
      <w:r w:rsidR="00D03F8B">
        <w:rPr>
          <w:sz w:val="22"/>
          <w:szCs w:val="22"/>
        </w:rPr>
        <w:t xml:space="preserve"> from the landowner</w:t>
      </w:r>
      <w:r w:rsidR="00CD1C35">
        <w:rPr>
          <w:sz w:val="22"/>
          <w:szCs w:val="22"/>
        </w:rPr>
        <w:t>)</w:t>
      </w:r>
      <w:r w:rsidR="00F3749F">
        <w:rPr>
          <w:sz w:val="22"/>
          <w:szCs w:val="22"/>
        </w:rPr>
        <w:t xml:space="preserve">.  </w:t>
      </w:r>
      <w:r w:rsidR="00D64A8B">
        <w:rPr>
          <w:sz w:val="22"/>
          <w:szCs w:val="22"/>
        </w:rPr>
        <w:t>Just as significantly</w:t>
      </w:r>
      <w:r>
        <w:rPr>
          <w:sz w:val="22"/>
          <w:szCs w:val="22"/>
        </w:rPr>
        <w:t>, i</w:t>
      </w:r>
      <w:r w:rsidR="00F3749F">
        <w:rPr>
          <w:sz w:val="22"/>
          <w:szCs w:val="22"/>
        </w:rPr>
        <w:t>n each case</w:t>
      </w:r>
      <w:r w:rsidR="00343D56">
        <w:rPr>
          <w:sz w:val="22"/>
          <w:szCs w:val="22"/>
        </w:rPr>
        <w:t xml:space="preserve">, the temporary facilities were dismantled soon after construction.  </w:t>
      </w:r>
      <w:r w:rsidR="00D64A8B">
        <w:rPr>
          <w:sz w:val="22"/>
          <w:szCs w:val="22"/>
        </w:rPr>
        <w:t xml:space="preserve">In this case, by contrast, </w:t>
      </w:r>
      <w:r w:rsidR="00CD1C35">
        <w:rPr>
          <w:sz w:val="22"/>
          <w:szCs w:val="22"/>
        </w:rPr>
        <w:t xml:space="preserve">Matinee </w:t>
      </w:r>
      <w:r w:rsidR="001867ED">
        <w:rPr>
          <w:sz w:val="22"/>
          <w:szCs w:val="22"/>
        </w:rPr>
        <w:t xml:space="preserve">obtained </w:t>
      </w:r>
      <w:r w:rsidR="00F3749F">
        <w:rPr>
          <w:sz w:val="22"/>
          <w:szCs w:val="22"/>
        </w:rPr>
        <w:t xml:space="preserve">the </w:t>
      </w:r>
      <w:r w:rsidR="001867ED">
        <w:rPr>
          <w:sz w:val="22"/>
          <w:szCs w:val="22"/>
        </w:rPr>
        <w:t>landowner</w:t>
      </w:r>
      <w:r w:rsidR="00F3749F">
        <w:rPr>
          <w:sz w:val="22"/>
          <w:szCs w:val="22"/>
        </w:rPr>
        <w:t>’</w:t>
      </w:r>
      <w:r w:rsidR="001867ED">
        <w:rPr>
          <w:sz w:val="22"/>
          <w:szCs w:val="22"/>
        </w:rPr>
        <w:t>s permission</w:t>
      </w:r>
      <w:r>
        <w:rPr>
          <w:sz w:val="22"/>
          <w:szCs w:val="22"/>
        </w:rPr>
        <w:t>,</w:t>
      </w:r>
      <w:r w:rsidR="001867ED">
        <w:rPr>
          <w:sz w:val="22"/>
          <w:szCs w:val="22"/>
        </w:rPr>
        <w:t xml:space="preserve"> </w:t>
      </w:r>
      <w:r w:rsidR="003278FE">
        <w:rPr>
          <w:sz w:val="22"/>
          <w:szCs w:val="22"/>
        </w:rPr>
        <w:t>built a durable</w:t>
      </w:r>
      <w:r w:rsidR="00AC0E85">
        <w:rPr>
          <w:sz w:val="22"/>
          <w:szCs w:val="22"/>
        </w:rPr>
        <w:t>, guyed</w:t>
      </w:r>
      <w:r w:rsidR="003278FE">
        <w:rPr>
          <w:sz w:val="22"/>
          <w:szCs w:val="22"/>
        </w:rPr>
        <w:t xml:space="preserve"> antenna structure </w:t>
      </w:r>
      <w:r w:rsidR="00293FD8">
        <w:rPr>
          <w:sz w:val="22"/>
          <w:szCs w:val="22"/>
        </w:rPr>
        <w:t xml:space="preserve">conforming </w:t>
      </w:r>
      <w:r w:rsidR="00D03F8B">
        <w:rPr>
          <w:sz w:val="22"/>
          <w:szCs w:val="22"/>
        </w:rPr>
        <w:t>to the terms of its construction permit</w:t>
      </w:r>
      <w:r>
        <w:rPr>
          <w:sz w:val="22"/>
          <w:szCs w:val="22"/>
        </w:rPr>
        <w:t xml:space="preserve">, and </w:t>
      </w:r>
      <w:r w:rsidR="00D64A8B">
        <w:rPr>
          <w:sz w:val="22"/>
          <w:szCs w:val="22"/>
        </w:rPr>
        <w:t>maintained</w:t>
      </w:r>
      <w:r>
        <w:rPr>
          <w:sz w:val="22"/>
          <w:szCs w:val="22"/>
        </w:rPr>
        <w:t xml:space="preserve"> the facilities intact and operable after construction</w:t>
      </w:r>
      <w:r w:rsidR="003278FE">
        <w:rPr>
          <w:sz w:val="22"/>
          <w:szCs w:val="22"/>
        </w:rPr>
        <w:t>.</w:t>
      </w:r>
      <w:r w:rsidR="001867ED">
        <w:rPr>
          <w:sz w:val="22"/>
          <w:szCs w:val="22"/>
        </w:rPr>
        <w:t xml:space="preserve">  </w:t>
      </w:r>
    </w:p>
    <w:p w:rsidR="00452F41" w:rsidP="00CD1C35">
      <w:pPr>
        <w:spacing w:before="240"/>
        <w:ind w:firstLine="720"/>
        <w:rPr>
          <w:sz w:val="22"/>
          <w:szCs w:val="22"/>
        </w:rPr>
      </w:pPr>
      <w:r>
        <w:rPr>
          <w:sz w:val="22"/>
          <w:szCs w:val="22"/>
        </w:rPr>
        <w:t xml:space="preserve">We find that </w:t>
      </w:r>
      <w:r w:rsidR="00D64A8B">
        <w:rPr>
          <w:sz w:val="22"/>
          <w:szCs w:val="22"/>
        </w:rPr>
        <w:t xml:space="preserve">Matinee’s </w:t>
      </w:r>
      <w:r>
        <w:rPr>
          <w:sz w:val="22"/>
          <w:szCs w:val="22"/>
        </w:rPr>
        <w:t>construction pursuant to a</w:t>
      </w:r>
      <w:r w:rsidR="00F3749F">
        <w:rPr>
          <w:sz w:val="22"/>
          <w:szCs w:val="22"/>
        </w:rPr>
        <w:t xml:space="preserve"> short-term local </w:t>
      </w:r>
      <w:r>
        <w:rPr>
          <w:sz w:val="22"/>
          <w:szCs w:val="22"/>
        </w:rPr>
        <w:t xml:space="preserve">zoning </w:t>
      </w:r>
      <w:r w:rsidR="00F3749F">
        <w:rPr>
          <w:sz w:val="22"/>
          <w:szCs w:val="22"/>
        </w:rPr>
        <w:t>permission</w:t>
      </w:r>
      <w:r w:rsidR="00EF3B67">
        <w:rPr>
          <w:sz w:val="22"/>
          <w:szCs w:val="22"/>
        </w:rPr>
        <w:t xml:space="preserve"> </w:t>
      </w:r>
      <w:r w:rsidR="00F3749F">
        <w:rPr>
          <w:sz w:val="22"/>
          <w:szCs w:val="22"/>
        </w:rPr>
        <w:t xml:space="preserve">does not implicate our prohibition on temporary construction.  </w:t>
      </w:r>
      <w:r w:rsidR="00D64A8B">
        <w:rPr>
          <w:sz w:val="22"/>
          <w:szCs w:val="22"/>
        </w:rPr>
        <w:t>Although the</w:t>
      </w:r>
      <w:r w:rsidR="00A203D1">
        <w:rPr>
          <w:sz w:val="22"/>
          <w:szCs w:val="22"/>
        </w:rPr>
        <w:t xml:space="preserve"> Temporary Use Permit granted County zoning permission for only nine months (with a possible extension), both the County and Matinee anticipated that the Special Use Permit would be processed within that time so that no interruption in service would be necessary.  W</w:t>
      </w:r>
      <w:r>
        <w:rPr>
          <w:sz w:val="22"/>
          <w:szCs w:val="22"/>
        </w:rPr>
        <w:t xml:space="preserve">e note that while one type of </w:t>
      </w:r>
      <w:r w:rsidR="00D64A8B">
        <w:rPr>
          <w:sz w:val="22"/>
          <w:szCs w:val="22"/>
        </w:rPr>
        <w:t xml:space="preserve">zoning </w:t>
      </w:r>
      <w:r>
        <w:rPr>
          <w:sz w:val="22"/>
          <w:szCs w:val="22"/>
        </w:rPr>
        <w:t xml:space="preserve">permit is called “temporary use” </w:t>
      </w:r>
      <w:r w:rsidR="007C3735">
        <w:rPr>
          <w:sz w:val="22"/>
          <w:szCs w:val="22"/>
        </w:rPr>
        <w:t xml:space="preserve">and </w:t>
      </w:r>
      <w:r>
        <w:rPr>
          <w:sz w:val="22"/>
          <w:szCs w:val="22"/>
        </w:rPr>
        <w:t xml:space="preserve">the other is </w:t>
      </w:r>
      <w:r w:rsidR="00F81BA3">
        <w:rPr>
          <w:sz w:val="22"/>
          <w:szCs w:val="22"/>
        </w:rPr>
        <w:t>entitled</w:t>
      </w:r>
      <w:r>
        <w:rPr>
          <w:sz w:val="22"/>
          <w:szCs w:val="22"/>
        </w:rPr>
        <w:t xml:space="preserve"> “special use,” neither provides for an indefinite term of operation.</w:t>
      </w:r>
      <w:r>
        <w:rPr>
          <w:rStyle w:val="FootnoteReference"/>
          <w:sz w:val="22"/>
          <w:szCs w:val="22"/>
        </w:rPr>
        <w:footnoteReference w:id="45"/>
      </w:r>
      <w:r>
        <w:rPr>
          <w:sz w:val="22"/>
          <w:szCs w:val="22"/>
        </w:rPr>
        <w:t xml:space="preserve">  </w:t>
      </w:r>
      <w:r w:rsidR="009F0826">
        <w:rPr>
          <w:sz w:val="22"/>
          <w:szCs w:val="22"/>
        </w:rPr>
        <w:t xml:space="preserve">We conclude that a local zoning or other </w:t>
      </w:r>
      <w:r w:rsidR="005F635B">
        <w:rPr>
          <w:sz w:val="22"/>
          <w:szCs w:val="22"/>
        </w:rPr>
        <w:t>permit</w:t>
      </w:r>
      <w:r w:rsidR="00585394">
        <w:rPr>
          <w:sz w:val="22"/>
          <w:szCs w:val="22"/>
        </w:rPr>
        <w:t xml:space="preserve"> </w:t>
      </w:r>
      <w:r w:rsidR="005F635B">
        <w:rPr>
          <w:sz w:val="22"/>
          <w:szCs w:val="22"/>
        </w:rPr>
        <w:t>need not be</w:t>
      </w:r>
      <w:r w:rsidR="00585394">
        <w:rPr>
          <w:sz w:val="22"/>
          <w:szCs w:val="22"/>
        </w:rPr>
        <w:t xml:space="preserve"> “permanent” or</w:t>
      </w:r>
      <w:r w:rsidR="005F635B">
        <w:rPr>
          <w:sz w:val="22"/>
          <w:szCs w:val="22"/>
        </w:rPr>
        <w:t xml:space="preserve"> of</w:t>
      </w:r>
      <w:r w:rsidR="009F0826">
        <w:rPr>
          <w:sz w:val="22"/>
          <w:szCs w:val="22"/>
        </w:rPr>
        <w:t xml:space="preserve"> indefinite duration to satisfy our licensing requirements.  </w:t>
      </w:r>
      <w:r w:rsidR="00293FD8">
        <w:rPr>
          <w:sz w:val="22"/>
          <w:szCs w:val="22"/>
        </w:rPr>
        <w:t>Similarly, a licensee’s</w:t>
      </w:r>
      <w:r w:rsidR="00EC7D93">
        <w:rPr>
          <w:sz w:val="22"/>
          <w:szCs w:val="22"/>
        </w:rPr>
        <w:t xml:space="preserve"> stated</w:t>
      </w:r>
      <w:r w:rsidR="00293FD8">
        <w:rPr>
          <w:sz w:val="22"/>
          <w:szCs w:val="22"/>
        </w:rPr>
        <w:t xml:space="preserve"> intention to upgrade its facili</w:t>
      </w:r>
      <w:r w:rsidR="001867ED">
        <w:rPr>
          <w:sz w:val="22"/>
          <w:szCs w:val="22"/>
        </w:rPr>
        <w:t>ties in the future</w:t>
      </w:r>
      <w:r w:rsidR="00293FD8">
        <w:rPr>
          <w:sz w:val="22"/>
          <w:szCs w:val="22"/>
        </w:rPr>
        <w:t xml:space="preserve"> </w:t>
      </w:r>
      <w:r w:rsidR="001867ED">
        <w:rPr>
          <w:sz w:val="22"/>
          <w:szCs w:val="22"/>
        </w:rPr>
        <w:t>does not establish</w:t>
      </w:r>
      <w:r w:rsidR="00293FD8">
        <w:rPr>
          <w:sz w:val="22"/>
          <w:szCs w:val="22"/>
        </w:rPr>
        <w:t xml:space="preserve"> that its existing facilities are inadequate or impermissibly temporary.  </w:t>
      </w:r>
      <w:r w:rsidR="00B91B43">
        <w:rPr>
          <w:sz w:val="22"/>
          <w:szCs w:val="22"/>
        </w:rPr>
        <w:t>In fact, we consider that</w:t>
      </w:r>
      <w:r w:rsidR="00293FD8">
        <w:rPr>
          <w:sz w:val="22"/>
          <w:szCs w:val="22"/>
        </w:rPr>
        <w:t xml:space="preserve"> Matinee’s plans for future improvements at its licensed site tend to prove, rather than disprove, its long-term commitment to serve its community of license.  </w:t>
      </w:r>
      <w:r w:rsidR="00B91B43">
        <w:rPr>
          <w:sz w:val="22"/>
          <w:szCs w:val="22"/>
        </w:rPr>
        <w:t xml:space="preserve">Nothing in the Commission’s </w:t>
      </w:r>
      <w:r>
        <w:rPr>
          <w:sz w:val="22"/>
          <w:szCs w:val="22"/>
        </w:rPr>
        <w:t>decisions</w:t>
      </w:r>
      <w:r w:rsidR="00B91B43">
        <w:rPr>
          <w:sz w:val="22"/>
          <w:szCs w:val="22"/>
        </w:rPr>
        <w:t xml:space="preserve"> in </w:t>
      </w:r>
      <w:r w:rsidR="00B91B43">
        <w:rPr>
          <w:i/>
          <w:sz w:val="22"/>
          <w:szCs w:val="22"/>
        </w:rPr>
        <w:t xml:space="preserve">Tango </w:t>
      </w:r>
      <w:r w:rsidR="00B91B43">
        <w:rPr>
          <w:sz w:val="22"/>
          <w:szCs w:val="22"/>
        </w:rPr>
        <w:t xml:space="preserve">and related cases suggests that the Commission intended to disrupt legitimate and reasonable business plans to modify </w:t>
      </w:r>
      <w:r w:rsidR="00A203D1">
        <w:rPr>
          <w:sz w:val="22"/>
          <w:szCs w:val="22"/>
        </w:rPr>
        <w:t xml:space="preserve">or upgrade </w:t>
      </w:r>
      <w:r w:rsidR="00B91B43">
        <w:rPr>
          <w:sz w:val="22"/>
          <w:szCs w:val="22"/>
        </w:rPr>
        <w:t>a</w:t>
      </w:r>
      <w:r w:rsidR="00A203D1">
        <w:rPr>
          <w:sz w:val="22"/>
          <w:szCs w:val="22"/>
        </w:rPr>
        <w:t>n existing</w:t>
      </w:r>
      <w:r w:rsidR="00D64A8B">
        <w:rPr>
          <w:sz w:val="22"/>
          <w:szCs w:val="22"/>
        </w:rPr>
        <w:t xml:space="preserve"> and operational</w:t>
      </w:r>
      <w:r w:rsidR="00A203D1">
        <w:rPr>
          <w:sz w:val="22"/>
          <w:szCs w:val="22"/>
        </w:rPr>
        <w:t xml:space="preserve"> facility</w:t>
      </w:r>
      <w:r w:rsidR="00B91B43">
        <w:rPr>
          <w:sz w:val="22"/>
          <w:szCs w:val="22"/>
        </w:rPr>
        <w:t xml:space="preserve">.  </w:t>
      </w:r>
      <w:r w:rsidR="00A203D1">
        <w:rPr>
          <w:sz w:val="22"/>
          <w:szCs w:val="22"/>
        </w:rPr>
        <w:t xml:space="preserve">Finally, Entravision provides no evidence that Matinee’s alleged failure to timely obtain a County building permit would have necessitated that the KAZV tower be dismantled immediately after construction, and in fact the facilities remained in place </w:t>
      </w:r>
      <w:r w:rsidR="00A203D1">
        <w:rPr>
          <w:sz w:val="22"/>
          <w:szCs w:val="22"/>
        </w:rPr>
        <w:t xml:space="preserve">while Matinee applied for and received the building permit.  </w:t>
      </w:r>
      <w:r w:rsidR="00A05CF2">
        <w:rPr>
          <w:sz w:val="22"/>
          <w:szCs w:val="22"/>
        </w:rPr>
        <w:t xml:space="preserve">For these reasons, we conclude that the </w:t>
      </w:r>
      <w:r w:rsidR="00800E05">
        <w:rPr>
          <w:sz w:val="22"/>
          <w:szCs w:val="22"/>
        </w:rPr>
        <w:t xml:space="preserve">Entravision has not demonstrated that the </w:t>
      </w:r>
      <w:r w:rsidR="00A05CF2">
        <w:rPr>
          <w:sz w:val="22"/>
          <w:szCs w:val="22"/>
        </w:rPr>
        <w:t>KAZV facilities are</w:t>
      </w:r>
      <w:r w:rsidR="00A315FD">
        <w:rPr>
          <w:sz w:val="22"/>
          <w:szCs w:val="22"/>
        </w:rPr>
        <w:t xml:space="preserve"> or were</w:t>
      </w:r>
      <w:r w:rsidR="00A05CF2">
        <w:rPr>
          <w:sz w:val="22"/>
          <w:szCs w:val="22"/>
        </w:rPr>
        <w:t xml:space="preserve"> impermissibly temporary</w:t>
      </w:r>
      <w:r w:rsidR="00800E05">
        <w:rPr>
          <w:sz w:val="22"/>
          <w:szCs w:val="22"/>
        </w:rPr>
        <w:t>.</w:t>
      </w:r>
    </w:p>
    <w:p w:rsidR="000D4664" w:rsidRPr="000D4664" w:rsidP="00CD1C35">
      <w:pPr>
        <w:spacing w:before="240"/>
        <w:ind w:firstLine="720"/>
        <w:rPr>
          <w:sz w:val="22"/>
          <w:szCs w:val="22"/>
        </w:rPr>
      </w:pPr>
      <w:r>
        <w:rPr>
          <w:i/>
          <w:sz w:val="22"/>
          <w:szCs w:val="22"/>
        </w:rPr>
        <w:t>Local ordinances</w:t>
      </w:r>
      <w:r>
        <w:rPr>
          <w:sz w:val="22"/>
          <w:szCs w:val="22"/>
        </w:rPr>
        <w:t xml:space="preserve">.  The Commission has long declined to consider issues that are more appropriately resolved by a </w:t>
      </w:r>
      <w:r w:rsidR="00C311E2">
        <w:rPr>
          <w:sz w:val="22"/>
          <w:szCs w:val="22"/>
        </w:rPr>
        <w:t xml:space="preserve">local </w:t>
      </w:r>
      <w:r>
        <w:rPr>
          <w:sz w:val="22"/>
          <w:szCs w:val="22"/>
        </w:rPr>
        <w:t xml:space="preserve">court </w:t>
      </w:r>
      <w:r w:rsidR="00C311E2">
        <w:rPr>
          <w:sz w:val="22"/>
          <w:szCs w:val="22"/>
        </w:rPr>
        <w:t>o</w:t>
      </w:r>
      <w:r>
        <w:rPr>
          <w:sz w:val="22"/>
          <w:szCs w:val="22"/>
        </w:rPr>
        <w:t xml:space="preserve">f appropriate </w:t>
      </w:r>
      <w:r w:rsidR="00C311E2">
        <w:rPr>
          <w:sz w:val="22"/>
          <w:szCs w:val="22"/>
        </w:rPr>
        <w:t>jurisdiction</w:t>
      </w:r>
      <w:r>
        <w:rPr>
          <w:sz w:val="22"/>
          <w:szCs w:val="22"/>
        </w:rPr>
        <w:t>.</w:t>
      </w:r>
      <w:r>
        <w:rPr>
          <w:rStyle w:val="FootnoteReference"/>
          <w:sz w:val="22"/>
          <w:szCs w:val="22"/>
        </w:rPr>
        <w:footnoteReference w:id="46"/>
      </w:r>
      <w:r w:rsidR="00C311E2">
        <w:rPr>
          <w:sz w:val="22"/>
          <w:szCs w:val="22"/>
        </w:rPr>
        <w:t xml:space="preserve">  </w:t>
      </w:r>
      <w:r w:rsidR="00A315FD">
        <w:rPr>
          <w:sz w:val="22"/>
          <w:szCs w:val="22"/>
        </w:rPr>
        <w:t>Similarly, we have left compliance and enforcement issues regarding zoning matters to local land use authorities.</w:t>
      </w:r>
      <w:r>
        <w:rPr>
          <w:rStyle w:val="FootnoteReference"/>
          <w:sz w:val="22"/>
          <w:szCs w:val="22"/>
        </w:rPr>
        <w:footnoteReference w:id="47"/>
      </w:r>
      <w:r w:rsidR="00A315FD">
        <w:rPr>
          <w:sz w:val="22"/>
          <w:szCs w:val="22"/>
        </w:rPr>
        <w:t xml:space="preserve">  </w:t>
      </w:r>
      <w:r w:rsidR="00353DF7">
        <w:rPr>
          <w:sz w:val="22"/>
          <w:szCs w:val="22"/>
        </w:rPr>
        <w:t xml:space="preserve">Therefore, in </w:t>
      </w:r>
      <w:r w:rsidR="00C311E2">
        <w:rPr>
          <w:sz w:val="22"/>
          <w:szCs w:val="22"/>
        </w:rPr>
        <w:t>this case</w:t>
      </w:r>
      <w:r w:rsidR="00353DF7">
        <w:rPr>
          <w:sz w:val="22"/>
          <w:szCs w:val="22"/>
        </w:rPr>
        <w:t xml:space="preserve">, we </w:t>
      </w:r>
      <w:r w:rsidR="00A203D1">
        <w:rPr>
          <w:sz w:val="22"/>
          <w:szCs w:val="22"/>
        </w:rPr>
        <w:t xml:space="preserve">reject Entravision’s </w:t>
      </w:r>
      <w:r w:rsidR="00A315FD">
        <w:rPr>
          <w:sz w:val="22"/>
          <w:szCs w:val="22"/>
        </w:rPr>
        <w:t xml:space="preserve">invitation to </w:t>
      </w:r>
      <w:r w:rsidR="00353DF7">
        <w:rPr>
          <w:sz w:val="22"/>
          <w:szCs w:val="22"/>
        </w:rPr>
        <w:t>ma</w:t>
      </w:r>
      <w:r w:rsidR="00C311E2">
        <w:rPr>
          <w:sz w:val="22"/>
          <w:szCs w:val="22"/>
        </w:rPr>
        <w:t>ke a determination regarding Matinee’s compliance with Maricopa County ordinances or the terms of the Temporary Construction</w:t>
      </w:r>
      <w:r w:rsidR="00353DF7">
        <w:rPr>
          <w:sz w:val="22"/>
          <w:szCs w:val="22"/>
        </w:rPr>
        <w:t xml:space="preserve"> Permit.  Rather, we leave </w:t>
      </w:r>
      <w:r w:rsidR="00C311E2">
        <w:rPr>
          <w:sz w:val="22"/>
          <w:szCs w:val="22"/>
        </w:rPr>
        <w:t>enforcement actions</w:t>
      </w:r>
      <w:r w:rsidR="00A75BAF">
        <w:rPr>
          <w:sz w:val="22"/>
          <w:szCs w:val="22"/>
        </w:rPr>
        <w:t xml:space="preserve"> concerning</w:t>
      </w:r>
      <w:r w:rsidR="007C3D8D">
        <w:rPr>
          <w:sz w:val="22"/>
          <w:szCs w:val="22"/>
        </w:rPr>
        <w:t xml:space="preserve"> any</w:t>
      </w:r>
      <w:r w:rsidR="00353DF7">
        <w:rPr>
          <w:sz w:val="22"/>
          <w:szCs w:val="22"/>
        </w:rPr>
        <w:t xml:space="preserve"> alleged violations</w:t>
      </w:r>
      <w:r w:rsidR="00C311E2">
        <w:rPr>
          <w:sz w:val="22"/>
          <w:szCs w:val="22"/>
        </w:rPr>
        <w:t xml:space="preserve"> </w:t>
      </w:r>
      <w:r w:rsidR="007C3D8D">
        <w:rPr>
          <w:sz w:val="22"/>
          <w:szCs w:val="22"/>
        </w:rPr>
        <w:t xml:space="preserve">of this nature </w:t>
      </w:r>
      <w:r w:rsidR="00C311E2">
        <w:rPr>
          <w:sz w:val="22"/>
          <w:szCs w:val="22"/>
        </w:rPr>
        <w:t xml:space="preserve">to the appropriate local authorities. </w:t>
      </w:r>
    </w:p>
    <w:p w:rsidR="0073500F" w:rsidRPr="00890E7B" w:rsidP="00DA28AF">
      <w:pPr>
        <w:suppressAutoHyphens/>
        <w:spacing w:before="240"/>
        <w:ind w:firstLine="720"/>
        <w:rPr>
          <w:sz w:val="22"/>
          <w:szCs w:val="22"/>
        </w:rPr>
      </w:pPr>
      <w:r>
        <w:rPr>
          <w:i/>
          <w:sz w:val="22"/>
          <w:szCs w:val="22"/>
        </w:rPr>
        <w:t>Ownership reporting</w:t>
      </w:r>
      <w:r>
        <w:rPr>
          <w:sz w:val="22"/>
          <w:szCs w:val="22"/>
        </w:rPr>
        <w:t>.  Under Section 73.3615(b)(2) of the Rules, a permittee must file an ownership report on the date that the permittee applies for a station license, unless it has a current and unamended ownership report already on file and certifies that it has reviewed such ownership report and that it is accurate.</w:t>
      </w:r>
      <w:r>
        <w:rPr>
          <w:rStyle w:val="FootnoteReference"/>
          <w:sz w:val="22"/>
          <w:szCs w:val="22"/>
        </w:rPr>
        <w:footnoteReference w:id="48"/>
      </w:r>
      <w:r>
        <w:rPr>
          <w:sz w:val="22"/>
          <w:szCs w:val="22"/>
        </w:rPr>
        <w:t xml:space="preserve">  In this case, </w:t>
      </w:r>
      <w:r w:rsidR="00A203D1">
        <w:rPr>
          <w:sz w:val="22"/>
          <w:szCs w:val="22"/>
        </w:rPr>
        <w:t xml:space="preserve">although it did not </w:t>
      </w:r>
      <w:r w:rsidR="007C3735">
        <w:rPr>
          <w:sz w:val="22"/>
          <w:szCs w:val="22"/>
        </w:rPr>
        <w:t>submit the required certification</w:t>
      </w:r>
      <w:r w:rsidR="00A203D1">
        <w:rPr>
          <w:sz w:val="22"/>
          <w:szCs w:val="22"/>
        </w:rPr>
        <w:t xml:space="preserve"> at the time it filed the KAZV License Application, </w:t>
      </w:r>
      <w:r w:rsidR="0055390E">
        <w:rPr>
          <w:sz w:val="22"/>
          <w:szCs w:val="22"/>
        </w:rPr>
        <w:t>Matinee</w:t>
      </w:r>
      <w:r w:rsidR="00A203D1">
        <w:rPr>
          <w:sz w:val="22"/>
          <w:szCs w:val="22"/>
        </w:rPr>
        <w:t xml:space="preserve"> states</w:t>
      </w:r>
      <w:r w:rsidR="0055390E">
        <w:rPr>
          <w:sz w:val="22"/>
          <w:szCs w:val="22"/>
        </w:rPr>
        <w:t xml:space="preserve"> that</w:t>
      </w:r>
      <w:r>
        <w:rPr>
          <w:sz w:val="22"/>
          <w:szCs w:val="22"/>
        </w:rPr>
        <w:t xml:space="preserve"> the owners</w:t>
      </w:r>
      <w:r w:rsidR="0055390E">
        <w:rPr>
          <w:sz w:val="22"/>
          <w:szCs w:val="22"/>
        </w:rPr>
        <w:t xml:space="preserve">hip information </w:t>
      </w:r>
      <w:r w:rsidR="00A203D1">
        <w:rPr>
          <w:sz w:val="22"/>
          <w:szCs w:val="22"/>
        </w:rPr>
        <w:t>that was already on file in connection with</w:t>
      </w:r>
      <w:r w:rsidR="0055390E">
        <w:rPr>
          <w:sz w:val="22"/>
          <w:szCs w:val="22"/>
        </w:rPr>
        <w:t xml:space="preserve"> </w:t>
      </w:r>
      <w:r w:rsidR="00A203D1">
        <w:rPr>
          <w:sz w:val="22"/>
          <w:szCs w:val="22"/>
        </w:rPr>
        <w:t>purchase of the KAZV Construction Permit</w:t>
      </w:r>
      <w:r w:rsidR="0055390E">
        <w:rPr>
          <w:sz w:val="22"/>
          <w:szCs w:val="22"/>
        </w:rPr>
        <w:t xml:space="preserve"> was “essentially unchanged” and, in any case, </w:t>
      </w:r>
      <w:r w:rsidR="007C3735">
        <w:rPr>
          <w:sz w:val="22"/>
          <w:szCs w:val="22"/>
        </w:rPr>
        <w:t xml:space="preserve">it </w:t>
      </w:r>
      <w:r w:rsidR="0055390E">
        <w:rPr>
          <w:sz w:val="22"/>
          <w:szCs w:val="22"/>
        </w:rPr>
        <w:t>filed a</w:t>
      </w:r>
      <w:r w:rsidR="00A203D1">
        <w:rPr>
          <w:sz w:val="22"/>
          <w:szCs w:val="22"/>
        </w:rPr>
        <w:t>nother</w:t>
      </w:r>
      <w:r w:rsidR="0055390E">
        <w:rPr>
          <w:sz w:val="22"/>
          <w:szCs w:val="22"/>
        </w:rPr>
        <w:t xml:space="preserve"> ownership report on January 5, 2018</w:t>
      </w:r>
      <w:r w:rsidR="00A203D1">
        <w:rPr>
          <w:sz w:val="22"/>
          <w:szCs w:val="22"/>
        </w:rPr>
        <w:t xml:space="preserve">, two weeks after </w:t>
      </w:r>
      <w:r w:rsidR="007C3735">
        <w:rPr>
          <w:sz w:val="22"/>
          <w:szCs w:val="22"/>
        </w:rPr>
        <w:t xml:space="preserve">it filed </w:t>
      </w:r>
      <w:r w:rsidR="00A203D1">
        <w:rPr>
          <w:sz w:val="22"/>
          <w:szCs w:val="22"/>
        </w:rPr>
        <w:t>the KAZV License Application</w:t>
      </w:r>
      <w:r w:rsidR="0055390E">
        <w:rPr>
          <w:sz w:val="22"/>
          <w:szCs w:val="22"/>
        </w:rPr>
        <w:t>.</w:t>
      </w:r>
      <w:r>
        <w:rPr>
          <w:rStyle w:val="FootnoteReference"/>
          <w:sz w:val="22"/>
          <w:szCs w:val="22"/>
        </w:rPr>
        <w:footnoteReference w:id="49"/>
      </w:r>
      <w:r w:rsidR="0055390E">
        <w:rPr>
          <w:sz w:val="22"/>
          <w:szCs w:val="22"/>
        </w:rPr>
        <w:t xml:space="preserve">  Although we caution Matinee to be more attentive to ownership reporting requirements in the future, we conclude that its </w:t>
      </w:r>
      <w:r w:rsidR="005E716E">
        <w:rPr>
          <w:sz w:val="22"/>
          <w:szCs w:val="22"/>
        </w:rPr>
        <w:t xml:space="preserve">belated </w:t>
      </w:r>
      <w:r w:rsidR="00A203D1">
        <w:rPr>
          <w:sz w:val="22"/>
          <w:szCs w:val="22"/>
        </w:rPr>
        <w:t xml:space="preserve">certification and </w:t>
      </w:r>
      <w:r w:rsidRPr="00890E7B" w:rsidR="005E716E">
        <w:rPr>
          <w:sz w:val="22"/>
          <w:szCs w:val="22"/>
        </w:rPr>
        <w:t xml:space="preserve">filing of </w:t>
      </w:r>
      <w:r w:rsidR="00A203D1">
        <w:rPr>
          <w:sz w:val="22"/>
          <w:szCs w:val="22"/>
        </w:rPr>
        <w:t>an</w:t>
      </w:r>
      <w:r w:rsidRPr="00890E7B" w:rsidR="005E716E">
        <w:rPr>
          <w:sz w:val="22"/>
          <w:szCs w:val="22"/>
        </w:rPr>
        <w:t xml:space="preserve"> ownership report</w:t>
      </w:r>
      <w:r w:rsidRPr="00890E7B" w:rsidR="0055390E">
        <w:rPr>
          <w:sz w:val="22"/>
          <w:szCs w:val="22"/>
        </w:rPr>
        <w:t xml:space="preserve"> do not rise to the level </w:t>
      </w:r>
      <w:r w:rsidR="00EC2765">
        <w:rPr>
          <w:sz w:val="22"/>
          <w:szCs w:val="22"/>
        </w:rPr>
        <w:t>that would warrant</w:t>
      </w:r>
      <w:r w:rsidRPr="00890E7B" w:rsidR="005E716E">
        <w:rPr>
          <w:sz w:val="22"/>
          <w:szCs w:val="22"/>
        </w:rPr>
        <w:t xml:space="preserve"> enforcement action</w:t>
      </w:r>
      <w:r w:rsidR="00A203D1">
        <w:rPr>
          <w:sz w:val="22"/>
          <w:szCs w:val="22"/>
        </w:rPr>
        <w:t xml:space="preserve"> </w:t>
      </w:r>
      <w:r w:rsidR="000D1D4D">
        <w:rPr>
          <w:sz w:val="22"/>
          <w:szCs w:val="22"/>
        </w:rPr>
        <w:t>or delay or adverse action on the License Application</w:t>
      </w:r>
      <w:r w:rsidRPr="00890E7B" w:rsidR="0055390E">
        <w:rPr>
          <w:sz w:val="22"/>
          <w:szCs w:val="22"/>
        </w:rPr>
        <w:t>.</w:t>
      </w:r>
    </w:p>
    <w:p w:rsidR="003C2CCF" w:rsidP="00A82E1F">
      <w:pPr>
        <w:suppressAutoHyphens/>
        <w:spacing w:before="240"/>
        <w:ind w:firstLine="720"/>
        <w:rPr>
          <w:sz w:val="22"/>
          <w:szCs w:val="22"/>
        </w:rPr>
      </w:pPr>
      <w:r w:rsidRPr="00890E7B">
        <w:rPr>
          <w:i/>
          <w:sz w:val="22"/>
          <w:szCs w:val="22"/>
        </w:rPr>
        <w:t>Main studio</w:t>
      </w:r>
      <w:r w:rsidR="00F81BA3">
        <w:rPr>
          <w:i/>
          <w:sz w:val="22"/>
          <w:szCs w:val="22"/>
        </w:rPr>
        <w:t xml:space="preserve"> waiver</w:t>
      </w:r>
      <w:r w:rsidRPr="00890E7B">
        <w:rPr>
          <w:sz w:val="22"/>
          <w:szCs w:val="22"/>
        </w:rPr>
        <w:t xml:space="preserve">.  </w:t>
      </w:r>
      <w:r w:rsidR="00F81BA3">
        <w:rPr>
          <w:sz w:val="22"/>
          <w:szCs w:val="22"/>
        </w:rPr>
        <w:t>Although the main studio rule was still in effect when the KAZV License Application was filed on December 26, 2017, t</w:t>
      </w:r>
      <w:r w:rsidRPr="00890E7B">
        <w:rPr>
          <w:sz w:val="22"/>
          <w:szCs w:val="22"/>
        </w:rPr>
        <w:t xml:space="preserve">he Commission </w:t>
      </w:r>
      <w:r w:rsidR="00F81BA3">
        <w:rPr>
          <w:sz w:val="22"/>
          <w:szCs w:val="22"/>
        </w:rPr>
        <w:t xml:space="preserve">had </w:t>
      </w:r>
      <w:r w:rsidR="00EC2765">
        <w:rPr>
          <w:sz w:val="22"/>
          <w:szCs w:val="22"/>
        </w:rPr>
        <w:t xml:space="preserve">already </w:t>
      </w:r>
      <w:r w:rsidR="00F81BA3">
        <w:rPr>
          <w:sz w:val="22"/>
          <w:szCs w:val="22"/>
        </w:rPr>
        <w:t>adopted an order eliminating</w:t>
      </w:r>
      <w:r w:rsidRPr="00890E7B">
        <w:rPr>
          <w:sz w:val="22"/>
          <w:szCs w:val="22"/>
        </w:rPr>
        <w:t xml:space="preserve"> the main studio rule</w:t>
      </w:r>
      <w:r w:rsidR="00A203D1">
        <w:rPr>
          <w:sz w:val="22"/>
          <w:szCs w:val="22"/>
        </w:rPr>
        <w:t xml:space="preserve">, which </w:t>
      </w:r>
      <w:r w:rsidR="00EC2765">
        <w:rPr>
          <w:sz w:val="22"/>
          <w:szCs w:val="22"/>
        </w:rPr>
        <w:t>became</w:t>
      </w:r>
      <w:r w:rsidRPr="00890E7B">
        <w:rPr>
          <w:sz w:val="22"/>
          <w:szCs w:val="22"/>
        </w:rPr>
        <w:t xml:space="preserve"> effective </w:t>
      </w:r>
      <w:r w:rsidR="00F81BA3">
        <w:rPr>
          <w:sz w:val="22"/>
          <w:szCs w:val="22"/>
        </w:rPr>
        <w:t xml:space="preserve">on </w:t>
      </w:r>
      <w:r w:rsidRPr="00890E7B">
        <w:rPr>
          <w:sz w:val="22"/>
          <w:szCs w:val="22"/>
        </w:rPr>
        <w:t>January 8, 2018.</w:t>
      </w:r>
      <w:r>
        <w:rPr>
          <w:vertAlign w:val="superscript"/>
        </w:rPr>
        <w:footnoteReference w:id="50"/>
      </w:r>
      <w:r w:rsidRPr="00890E7B" w:rsidR="00A82E1F">
        <w:rPr>
          <w:sz w:val="22"/>
          <w:szCs w:val="22"/>
        </w:rPr>
        <w:t xml:space="preserve">  </w:t>
      </w:r>
      <w:r w:rsidR="00F81BA3">
        <w:rPr>
          <w:sz w:val="22"/>
          <w:szCs w:val="22"/>
        </w:rPr>
        <w:t xml:space="preserve">Therefore, Matinee’s main studio waiver request became moot before the Bureau acted on the KAZV License Application.  In these circumstances, we decline to analyze the waiver request merely for the purpose of determining whether or not it would have been granted had it not become moot by virtue of elimination of the main studio rule.  </w:t>
      </w:r>
      <w:r w:rsidR="00A203D1">
        <w:rPr>
          <w:sz w:val="22"/>
          <w:szCs w:val="22"/>
        </w:rPr>
        <w:t>Therefore, in</w:t>
      </w:r>
      <w:r w:rsidR="00F81BA3">
        <w:rPr>
          <w:sz w:val="22"/>
          <w:szCs w:val="22"/>
        </w:rPr>
        <w:t xml:space="preserve"> keeping with the general principle that an application must be grantable at the time of processing</w:t>
      </w:r>
      <w:r w:rsidR="00A203D1">
        <w:rPr>
          <w:sz w:val="22"/>
          <w:szCs w:val="22"/>
        </w:rPr>
        <w:t xml:space="preserve"> rather than filing</w:t>
      </w:r>
      <w:r w:rsidR="00F81BA3">
        <w:rPr>
          <w:sz w:val="22"/>
          <w:szCs w:val="22"/>
        </w:rPr>
        <w:t xml:space="preserve">, we conclude that the KAZV License Application is grantable without </w:t>
      </w:r>
      <w:r w:rsidR="000D1D4D">
        <w:rPr>
          <w:sz w:val="22"/>
          <w:szCs w:val="22"/>
        </w:rPr>
        <w:t>considering the</w:t>
      </w:r>
      <w:r w:rsidR="00F81BA3">
        <w:rPr>
          <w:sz w:val="22"/>
          <w:szCs w:val="22"/>
        </w:rPr>
        <w:t xml:space="preserve"> main studio </w:t>
      </w:r>
      <w:r w:rsidR="000D1D4D">
        <w:rPr>
          <w:sz w:val="22"/>
          <w:szCs w:val="22"/>
        </w:rPr>
        <w:t>rule argument</w:t>
      </w:r>
      <w:r w:rsidR="00F81BA3">
        <w:rPr>
          <w:sz w:val="22"/>
          <w:szCs w:val="22"/>
        </w:rPr>
        <w:t>.</w:t>
      </w:r>
      <w:r>
        <w:rPr>
          <w:rStyle w:val="FootnoteReference"/>
          <w:sz w:val="22"/>
          <w:szCs w:val="22"/>
        </w:rPr>
        <w:footnoteReference w:id="51"/>
      </w:r>
    </w:p>
    <w:p w:rsidR="00A82E1F" w:rsidRPr="00890E7B" w:rsidP="00A82E1F">
      <w:pPr>
        <w:suppressAutoHyphens/>
        <w:spacing w:before="240"/>
        <w:ind w:firstLine="720"/>
        <w:rPr>
          <w:sz w:val="22"/>
          <w:szCs w:val="22"/>
        </w:rPr>
      </w:pPr>
      <w:r>
        <w:rPr>
          <w:i/>
          <w:sz w:val="22"/>
          <w:szCs w:val="22"/>
        </w:rPr>
        <w:t xml:space="preserve">RF compliance.  </w:t>
      </w:r>
      <w:r w:rsidRPr="00154515" w:rsidR="00515DBE">
        <w:rPr>
          <w:sz w:val="22"/>
          <w:szCs w:val="22"/>
        </w:rPr>
        <w:t xml:space="preserve">Special Operating Conditions #3-5 establish that automatic PTA does not apply in this case and that PTA must be formally requested.  Such a request must include documentation of </w:t>
      </w:r>
      <w:r w:rsidRPr="00154515" w:rsidR="00515DBE">
        <w:rPr>
          <w:sz w:val="22"/>
          <w:szCs w:val="22"/>
        </w:rPr>
        <w:t xml:space="preserve">compliance with the Commission’s RF guidelines and </w:t>
      </w:r>
      <w:r w:rsidR="00EC2765">
        <w:rPr>
          <w:sz w:val="22"/>
          <w:szCs w:val="22"/>
        </w:rPr>
        <w:t xml:space="preserve">be </w:t>
      </w:r>
      <w:r w:rsidRPr="00154515" w:rsidR="00515DBE">
        <w:rPr>
          <w:sz w:val="22"/>
          <w:szCs w:val="22"/>
        </w:rPr>
        <w:t>submitted at the time of filing the license application.  Failure to submit the required documentation at the time of filing the license application precludes grant of PTA but does not constitute a fatal acceptability defect in the initial license application—curative amendments of this type are routinely accepted by processing staff prior to action on the license application.  In</w:t>
      </w:r>
      <w:r w:rsidR="00515DBE">
        <w:rPr>
          <w:sz w:val="22"/>
          <w:szCs w:val="22"/>
        </w:rPr>
        <w:t xml:space="preserve"> this case, </w:t>
      </w:r>
      <w:r w:rsidR="00FD6476">
        <w:rPr>
          <w:sz w:val="22"/>
          <w:szCs w:val="22"/>
        </w:rPr>
        <w:t xml:space="preserve">Matinee submitted RF field strength measurements taken on December 25, 2017, </w:t>
      </w:r>
      <w:r w:rsidR="00B97132">
        <w:rPr>
          <w:sz w:val="22"/>
          <w:szCs w:val="22"/>
        </w:rPr>
        <w:t>at the same time</w:t>
      </w:r>
      <w:r w:rsidR="00FD6476">
        <w:rPr>
          <w:sz w:val="22"/>
          <w:szCs w:val="22"/>
        </w:rPr>
        <w:t xml:space="preserve"> it filed the License Application.  In that RF showing,</w:t>
      </w:r>
      <w:r w:rsidR="00B97132">
        <w:rPr>
          <w:sz w:val="22"/>
          <w:szCs w:val="22"/>
        </w:rPr>
        <w:t xml:space="preserve"> however,</w:t>
      </w:r>
      <w:r w:rsidR="00FD6476">
        <w:rPr>
          <w:sz w:val="22"/>
          <w:szCs w:val="22"/>
        </w:rPr>
        <w:t xml:space="preserve"> it stated that it was required to provide fencing to create a controlled environment.  In a subsequent amendment </w:t>
      </w:r>
      <w:r w:rsidR="00B97132">
        <w:rPr>
          <w:sz w:val="22"/>
          <w:szCs w:val="22"/>
        </w:rPr>
        <w:t xml:space="preserve">to the KAZV License Application </w:t>
      </w:r>
      <w:r w:rsidR="00FD6476">
        <w:rPr>
          <w:sz w:val="22"/>
          <w:szCs w:val="22"/>
        </w:rPr>
        <w:t xml:space="preserve">filed January 26, 2018, Matinee corrected the RF showing text to state that it complied with the uncontrolled RF standard and no fencing was necessary.  Given Matinee’s submission of the correct RF measurements at the time it filed the License Application, and the subsequent curative amendment of the text, </w:t>
      </w:r>
      <w:r w:rsidR="00515DBE">
        <w:rPr>
          <w:sz w:val="22"/>
          <w:szCs w:val="22"/>
        </w:rPr>
        <w:t>w</w:t>
      </w:r>
      <w:r>
        <w:rPr>
          <w:sz w:val="22"/>
          <w:szCs w:val="22"/>
        </w:rPr>
        <w:t xml:space="preserve">e conclude that Matinee has </w:t>
      </w:r>
      <w:r w:rsidR="00033F36">
        <w:rPr>
          <w:sz w:val="22"/>
          <w:szCs w:val="22"/>
        </w:rPr>
        <w:t>satisfied</w:t>
      </w:r>
      <w:r>
        <w:rPr>
          <w:sz w:val="22"/>
          <w:szCs w:val="22"/>
        </w:rPr>
        <w:t xml:space="preserve"> Condition #3 of the KAZV Construc</w:t>
      </w:r>
      <w:r w:rsidR="00CD6E84">
        <w:rPr>
          <w:sz w:val="22"/>
          <w:szCs w:val="22"/>
        </w:rPr>
        <w:t>tion Permit and may thus commence</w:t>
      </w:r>
      <w:r>
        <w:rPr>
          <w:sz w:val="22"/>
          <w:szCs w:val="22"/>
        </w:rPr>
        <w:t xml:space="preserve"> program test authority in connection with the grant of the KAZV License Application.</w:t>
      </w:r>
    </w:p>
    <w:p w:rsidR="00CD6E84" w:rsidP="00CD6E84">
      <w:pPr>
        <w:spacing w:before="240"/>
        <w:ind w:firstLine="720"/>
        <w:rPr>
          <w:sz w:val="22"/>
          <w:szCs w:val="22"/>
        </w:rPr>
      </w:pPr>
      <w:r w:rsidRPr="00DA28AF">
        <w:rPr>
          <w:b/>
          <w:spacing w:val="-2"/>
          <w:sz w:val="22"/>
          <w:szCs w:val="22"/>
        </w:rPr>
        <w:t>Conclusion</w:t>
      </w:r>
      <w:r w:rsidRPr="00DA28AF">
        <w:rPr>
          <w:spacing w:val="-2"/>
          <w:sz w:val="22"/>
          <w:szCs w:val="22"/>
        </w:rPr>
        <w:t>/</w:t>
      </w:r>
      <w:r w:rsidRPr="00DA28AF">
        <w:rPr>
          <w:b/>
          <w:spacing w:val="-2"/>
          <w:sz w:val="22"/>
          <w:szCs w:val="22"/>
        </w:rPr>
        <w:t>Actions</w:t>
      </w:r>
      <w:r w:rsidRPr="00DA28AF" w:rsidR="00AE3E73">
        <w:rPr>
          <w:spacing w:val="-2"/>
          <w:sz w:val="22"/>
          <w:szCs w:val="22"/>
        </w:rPr>
        <w:t xml:space="preserve">.  </w:t>
      </w:r>
      <w:bookmarkStart w:id="7" w:name="_Hlk518553291"/>
      <w:r w:rsidRPr="00DA28AF">
        <w:rPr>
          <w:spacing w:val="-2"/>
          <w:sz w:val="22"/>
          <w:szCs w:val="22"/>
        </w:rPr>
        <w:t xml:space="preserve">For </w:t>
      </w:r>
      <w:r w:rsidRPr="00DA28AF" w:rsidR="002A4FF9">
        <w:rPr>
          <w:spacing w:val="-2"/>
          <w:sz w:val="22"/>
          <w:szCs w:val="22"/>
        </w:rPr>
        <w:t>the reasons stated above</w:t>
      </w:r>
      <w:r w:rsidRPr="00DA28AF">
        <w:rPr>
          <w:spacing w:val="-2"/>
          <w:sz w:val="22"/>
          <w:szCs w:val="22"/>
        </w:rPr>
        <w:t xml:space="preserve">, </w:t>
      </w:r>
      <w:r w:rsidRPr="00DA28AF" w:rsidR="00C76AC7">
        <w:rPr>
          <w:spacing w:val="-2"/>
          <w:sz w:val="22"/>
          <w:szCs w:val="22"/>
        </w:rPr>
        <w:t xml:space="preserve">IT IS ORDERED that the </w:t>
      </w:r>
      <w:r w:rsidR="007247C8">
        <w:rPr>
          <w:spacing w:val="-2"/>
          <w:sz w:val="22"/>
          <w:szCs w:val="22"/>
        </w:rPr>
        <w:t xml:space="preserve">informal objection filed by </w:t>
      </w:r>
      <w:r w:rsidR="00A203D1">
        <w:rPr>
          <w:color w:val="000000"/>
          <w:sz w:val="22"/>
          <w:szCs w:val="22"/>
        </w:rPr>
        <w:t>Entravision Holdings, LLC,</w:t>
      </w:r>
      <w:r w:rsidRPr="00DA28AF" w:rsidR="00A203D1">
        <w:rPr>
          <w:color w:val="000000"/>
          <w:sz w:val="22"/>
          <w:szCs w:val="22"/>
        </w:rPr>
        <w:t xml:space="preserve"> on </w:t>
      </w:r>
      <w:r w:rsidR="00A203D1">
        <w:rPr>
          <w:color w:val="000000"/>
          <w:sz w:val="22"/>
          <w:szCs w:val="22"/>
        </w:rPr>
        <w:t>January 3, 2018</w:t>
      </w:r>
      <w:r w:rsidR="007247C8">
        <w:rPr>
          <w:spacing w:val="-2"/>
          <w:sz w:val="22"/>
          <w:szCs w:val="22"/>
        </w:rPr>
        <w:t>, IS DENIED and the application for a license to cover</w:t>
      </w:r>
      <w:r w:rsidR="007247C8">
        <w:rPr>
          <w:sz w:val="22"/>
          <w:szCs w:val="22"/>
        </w:rPr>
        <w:t xml:space="preserve"> filed by </w:t>
      </w:r>
      <w:r w:rsidR="00A203D1">
        <w:rPr>
          <w:sz w:val="22"/>
          <w:szCs w:val="22"/>
        </w:rPr>
        <w:t>Matinee Media Corporation</w:t>
      </w:r>
      <w:r w:rsidR="007247C8">
        <w:rPr>
          <w:spacing w:val="-2"/>
          <w:sz w:val="22"/>
          <w:szCs w:val="22"/>
        </w:rPr>
        <w:t xml:space="preserve"> (</w:t>
      </w:r>
      <w:r w:rsidR="00A203D1">
        <w:rPr>
          <w:sz w:val="22"/>
          <w:szCs w:val="22"/>
        </w:rPr>
        <w:t>File No. BLH-20171226AAM</w:t>
      </w:r>
      <w:r w:rsidR="007247C8">
        <w:rPr>
          <w:sz w:val="22"/>
          <w:szCs w:val="22"/>
        </w:rPr>
        <w:t>)</w:t>
      </w:r>
      <w:r>
        <w:rPr>
          <w:sz w:val="22"/>
          <w:szCs w:val="22"/>
        </w:rPr>
        <w:t xml:space="preserve"> and accompanying request for program test authority</w:t>
      </w:r>
      <w:r w:rsidR="007247C8">
        <w:rPr>
          <w:sz w:val="22"/>
          <w:szCs w:val="22"/>
        </w:rPr>
        <w:t xml:space="preserve"> </w:t>
      </w:r>
      <w:r>
        <w:rPr>
          <w:sz w:val="22"/>
          <w:szCs w:val="22"/>
        </w:rPr>
        <w:t>ARE</w:t>
      </w:r>
      <w:r w:rsidR="007247C8">
        <w:rPr>
          <w:sz w:val="22"/>
          <w:szCs w:val="22"/>
        </w:rPr>
        <w:t xml:space="preserve"> GRANTED.</w:t>
      </w:r>
      <w:bookmarkEnd w:id="7"/>
    </w:p>
    <w:p w:rsidR="00070D2E" w:rsidP="00D329CE">
      <w:pPr>
        <w:spacing w:before="240"/>
        <w:ind w:right="-360" w:firstLine="720"/>
        <w:rPr>
          <w:color w:val="000000"/>
          <w:sz w:val="22"/>
          <w:szCs w:val="22"/>
        </w:rPr>
      </w:pPr>
      <w:r>
        <w:rPr>
          <w:sz w:val="22"/>
          <w:szCs w:val="22"/>
        </w:rPr>
        <w:t xml:space="preserve">IT IS FURTHER ORDERED that the informal objection filed by Matinee Media Corporation on </w:t>
      </w:r>
      <w:r>
        <w:rPr>
          <w:color w:val="000000"/>
          <w:sz w:val="22"/>
          <w:szCs w:val="22"/>
        </w:rPr>
        <w:t xml:space="preserve">January 19, 2018, IS GRANTED and the </w:t>
      </w:r>
      <w:r w:rsidR="005A6A70">
        <w:rPr>
          <w:color w:val="000000"/>
          <w:sz w:val="22"/>
          <w:szCs w:val="22"/>
        </w:rPr>
        <w:t xml:space="preserve">KVVA-FM </w:t>
      </w:r>
      <w:r>
        <w:rPr>
          <w:color w:val="000000"/>
          <w:sz w:val="22"/>
          <w:szCs w:val="22"/>
        </w:rPr>
        <w:t>modification application filed by Entravision Holdings, LLC (File No</w:t>
      </w:r>
      <w:r w:rsidR="005A6A70">
        <w:rPr>
          <w:color w:val="000000"/>
          <w:sz w:val="22"/>
          <w:szCs w:val="22"/>
        </w:rPr>
        <w:t xml:space="preserve">. </w:t>
      </w:r>
      <w:r>
        <w:rPr>
          <w:sz w:val="22"/>
          <w:szCs w:val="22"/>
        </w:rPr>
        <w:t>BPH</w:t>
      </w:r>
      <w:r w:rsidRPr="00F84604">
        <w:rPr>
          <w:sz w:val="22"/>
          <w:szCs w:val="22"/>
        </w:rPr>
        <w:t>-20171227AAK</w:t>
      </w:r>
      <w:r>
        <w:rPr>
          <w:sz w:val="22"/>
          <w:szCs w:val="22"/>
        </w:rPr>
        <w:t xml:space="preserve">) </w:t>
      </w:r>
      <w:r w:rsidR="005A6A70">
        <w:rPr>
          <w:sz w:val="22"/>
          <w:szCs w:val="22"/>
        </w:rPr>
        <w:t>IS</w:t>
      </w:r>
      <w:r>
        <w:rPr>
          <w:sz w:val="22"/>
          <w:szCs w:val="22"/>
        </w:rPr>
        <w:t xml:space="preserve"> DISMISSED</w:t>
      </w:r>
      <w:r w:rsidR="005A6A70">
        <w:rPr>
          <w:sz w:val="22"/>
          <w:szCs w:val="22"/>
        </w:rPr>
        <w:t xml:space="preserve"> as unacceptable for filing due to</w:t>
      </w:r>
      <w:r w:rsidR="003C2CCF">
        <w:rPr>
          <w:sz w:val="22"/>
          <w:szCs w:val="22"/>
        </w:rPr>
        <w:t xml:space="preserve"> failure to meet the minimum distance separations set out in 47 CFR </w:t>
      </w:r>
      <w:r w:rsidR="00846A15">
        <w:rPr>
          <w:color w:val="000000"/>
          <w:sz w:val="22"/>
          <w:szCs w:val="22"/>
        </w:rPr>
        <w:t xml:space="preserve">§ </w:t>
      </w:r>
      <w:r w:rsidR="003C2CCF">
        <w:rPr>
          <w:color w:val="000000"/>
          <w:sz w:val="22"/>
          <w:szCs w:val="22"/>
        </w:rPr>
        <w:t>73.207(b)(1)</w:t>
      </w:r>
      <w:r w:rsidR="005A6A70">
        <w:rPr>
          <w:color w:val="000000"/>
          <w:sz w:val="22"/>
          <w:szCs w:val="22"/>
        </w:rPr>
        <w:t>.</w:t>
      </w:r>
    </w:p>
    <w:p w:rsidR="005A6A70" w:rsidP="005A6A70">
      <w:pPr>
        <w:spacing w:before="240"/>
        <w:ind w:right="-360" w:firstLine="720"/>
        <w:rPr>
          <w:color w:val="000000"/>
          <w:sz w:val="22"/>
          <w:szCs w:val="22"/>
        </w:rPr>
      </w:pPr>
      <w:r>
        <w:rPr>
          <w:color w:val="000000"/>
          <w:sz w:val="22"/>
          <w:szCs w:val="22"/>
        </w:rPr>
        <w:t>IT IS FURTHER ORDERED that the KDVA Modification Application filed by Entravision Holdings, LLC (File No. BPH-20171227AAJ) IS DISMISSED</w:t>
      </w:r>
      <w:r w:rsidR="00243D80">
        <w:rPr>
          <w:color w:val="000000"/>
          <w:sz w:val="22"/>
          <w:szCs w:val="22"/>
        </w:rPr>
        <w:t xml:space="preserve"> pursuant to 47 CFR § 73.3517(e)</w:t>
      </w:r>
      <w:r>
        <w:rPr>
          <w:color w:val="000000"/>
          <w:sz w:val="22"/>
          <w:szCs w:val="22"/>
        </w:rPr>
        <w:t xml:space="preserve"> because it is contingent on the KVVA-FM Modification Application.</w:t>
      </w:r>
      <w:r w:rsidRPr="00DA28AF">
        <w:rPr>
          <w:color w:val="000000"/>
          <w:sz w:val="22"/>
          <w:szCs w:val="22"/>
        </w:rPr>
        <w:t xml:space="preserve">  </w:t>
      </w:r>
    </w:p>
    <w:p w:rsidR="00243D80" w:rsidRPr="00DA28AF" w:rsidP="005A6A70">
      <w:pPr>
        <w:spacing w:before="240"/>
        <w:ind w:right="-360" w:firstLine="720"/>
        <w:rPr>
          <w:color w:val="000000"/>
          <w:sz w:val="22"/>
          <w:szCs w:val="22"/>
        </w:rPr>
      </w:pPr>
    </w:p>
    <w:p w:rsidR="00D97E6E" w:rsidRPr="000C3745" w:rsidP="003777FC">
      <w:pPr>
        <w:tabs>
          <w:tab w:val="left" w:pos="270"/>
        </w:tabs>
        <w:rPr>
          <w:color w:val="000000"/>
          <w:sz w:val="22"/>
          <w:szCs w:val="22"/>
        </w:rPr>
      </w:pPr>
      <w:r w:rsidRPr="000C3745">
        <w:rPr>
          <w:color w:val="000000"/>
          <w:sz w:val="22"/>
          <w:szCs w:val="22"/>
        </w:rPr>
        <w:tab/>
      </w:r>
      <w:r w:rsidRPr="000C3745">
        <w:rPr>
          <w:color w:val="000000"/>
          <w:sz w:val="22"/>
          <w:szCs w:val="22"/>
        </w:rPr>
        <w:tab/>
      </w:r>
      <w:r w:rsidRPr="000C3745">
        <w:rPr>
          <w:color w:val="000000"/>
          <w:sz w:val="22"/>
          <w:szCs w:val="22"/>
        </w:rPr>
        <w:tab/>
      </w:r>
      <w:r w:rsidRPr="000C3745">
        <w:rPr>
          <w:color w:val="000000"/>
          <w:sz w:val="22"/>
          <w:szCs w:val="22"/>
        </w:rPr>
        <w:tab/>
      </w:r>
      <w:r w:rsidRPr="000C3745">
        <w:rPr>
          <w:color w:val="000000"/>
          <w:sz w:val="22"/>
          <w:szCs w:val="22"/>
        </w:rPr>
        <w:tab/>
      </w:r>
      <w:r w:rsidRPr="000C3745">
        <w:rPr>
          <w:color w:val="000000"/>
          <w:sz w:val="22"/>
          <w:szCs w:val="22"/>
        </w:rPr>
        <w:tab/>
      </w:r>
      <w:r w:rsidRPr="000C3745">
        <w:rPr>
          <w:color w:val="000000"/>
          <w:sz w:val="22"/>
          <w:szCs w:val="22"/>
        </w:rPr>
        <w:tab/>
      </w:r>
      <w:r w:rsidRPr="000C3745">
        <w:rPr>
          <w:color w:val="000000"/>
          <w:sz w:val="22"/>
          <w:szCs w:val="22"/>
        </w:rPr>
        <w:tab/>
        <w:t>Sincerely,</w:t>
      </w:r>
    </w:p>
    <w:p w:rsidR="00D97E6E" w:rsidRPr="000C3745" w:rsidP="003777FC">
      <w:pPr>
        <w:tabs>
          <w:tab w:val="left" w:pos="0"/>
          <w:tab w:val="left" w:pos="270"/>
        </w:tabs>
        <w:suppressAutoHyphens/>
        <w:rPr>
          <w:color w:val="000000"/>
          <w:sz w:val="22"/>
          <w:szCs w:val="22"/>
        </w:rPr>
      </w:pPr>
    </w:p>
    <w:p w:rsidR="00D97E6E" w:rsidRPr="000C3745" w:rsidP="003777FC">
      <w:pPr>
        <w:tabs>
          <w:tab w:val="left" w:pos="0"/>
          <w:tab w:val="left" w:pos="270"/>
        </w:tabs>
        <w:suppressAutoHyphens/>
        <w:rPr>
          <w:color w:val="000000"/>
          <w:sz w:val="22"/>
          <w:szCs w:val="22"/>
        </w:rPr>
      </w:pPr>
    </w:p>
    <w:p w:rsidR="00D97E6E" w:rsidRPr="000C3745" w:rsidP="003777FC">
      <w:pPr>
        <w:tabs>
          <w:tab w:val="left" w:pos="0"/>
          <w:tab w:val="left" w:pos="270"/>
        </w:tabs>
        <w:suppressAutoHyphens/>
        <w:rPr>
          <w:color w:val="000000"/>
          <w:sz w:val="22"/>
          <w:szCs w:val="22"/>
        </w:rPr>
      </w:pPr>
    </w:p>
    <w:p w:rsidR="00D97E6E" w:rsidRPr="003777FC" w:rsidP="003777FC">
      <w:pPr>
        <w:tabs>
          <w:tab w:val="left" w:pos="0"/>
          <w:tab w:val="left" w:pos="270"/>
        </w:tabs>
        <w:suppressAutoHyphens/>
        <w:rPr>
          <w:color w:val="000000"/>
          <w:sz w:val="22"/>
          <w:szCs w:val="22"/>
        </w:rPr>
      </w:pPr>
    </w:p>
    <w:p w:rsidR="00D97E6E" w:rsidRPr="003777FC" w:rsidP="003777FC">
      <w:pPr>
        <w:tabs>
          <w:tab w:val="left" w:pos="0"/>
        </w:tabs>
        <w:suppressAutoHyphens/>
        <w:outlineLvl w:val="0"/>
        <w:rPr>
          <w:color w:val="000000"/>
          <w:sz w:val="22"/>
          <w:szCs w:val="22"/>
        </w:rPr>
      </w:pP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r>
      <w:r w:rsidR="00D868F0">
        <w:rPr>
          <w:color w:val="000000"/>
          <w:sz w:val="22"/>
          <w:szCs w:val="22"/>
        </w:rPr>
        <w:t>Albert Shuldiner</w:t>
      </w:r>
    </w:p>
    <w:p w:rsidR="00D97E6E" w:rsidRPr="003777FC" w:rsidP="003777FC">
      <w:pPr>
        <w:tabs>
          <w:tab w:val="left" w:pos="0"/>
        </w:tabs>
        <w:suppressAutoHyphens/>
        <w:rPr>
          <w:color w:val="000000"/>
          <w:sz w:val="22"/>
          <w:szCs w:val="22"/>
        </w:rPr>
      </w:pP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t>Chief, Audio Division</w:t>
      </w:r>
    </w:p>
    <w:p w:rsidR="00D97E6E" w:rsidRPr="003777FC" w:rsidP="003777FC">
      <w:pPr>
        <w:tabs>
          <w:tab w:val="left" w:pos="0"/>
        </w:tabs>
        <w:suppressAutoHyphens/>
        <w:rPr>
          <w:color w:val="000000"/>
          <w:sz w:val="22"/>
          <w:szCs w:val="22"/>
        </w:rPr>
      </w:pP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t>Media Bureau</w:t>
      </w:r>
    </w:p>
    <w:p w:rsidR="00E52BA1" w:rsidRPr="003777FC" w:rsidP="003777FC">
      <w:pPr>
        <w:ind w:firstLine="720"/>
        <w:rPr>
          <w:sz w:val="22"/>
          <w:szCs w:val="22"/>
        </w:rPr>
      </w:pPr>
    </w:p>
    <w:sectPr w:rsidSect="00D035E4">
      <w:footerReference w:type="even" r:id="rId10"/>
      <w:footerReference w:type="default" r:id="rId11"/>
      <w:headerReference w:type="first" r:id="rId12"/>
      <w:pgSz w:w="12240" w:h="15840" w:code="1"/>
      <w:pgMar w:top="1440" w:right="1440"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2C94" w:rsidP="00D206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C2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2C94" w:rsidP="00D206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AC2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2C94" w:rsidRPr="005A1CB9" w:rsidP="005A1CB9">
      <w:pPr>
        <w:pStyle w:val="Footer"/>
      </w:pPr>
      <w:r>
        <w:separator/>
      </w:r>
    </w:p>
  </w:footnote>
  <w:footnote w:type="continuationSeparator" w:id="1">
    <w:p w:rsidR="00AC2C94">
      <w:r>
        <w:continuationSeparator/>
      </w:r>
    </w:p>
  </w:footnote>
  <w:footnote w:id="2">
    <w:p w:rsidR="00AC2C94" w:rsidRPr="002B585C" w:rsidP="001663EB">
      <w:pPr>
        <w:pStyle w:val="FootnoteText"/>
        <w:spacing w:after="120"/>
      </w:pPr>
      <w:r>
        <w:rPr>
          <w:rStyle w:val="FootnoteReference"/>
        </w:rPr>
        <w:footnoteRef/>
      </w:r>
      <w:r>
        <w:t xml:space="preserve"> On January 26, 2018, Matinee filed an opposition to the KAZV Informal Objection (KAZV Opposition).  On February 12, 2018, </w:t>
      </w:r>
      <w:r>
        <w:t>Entravision</w:t>
      </w:r>
      <w:r>
        <w:t xml:space="preserve"> filed a reply to the KAZV Opposition (KAZV Reply).  On March 7, 2018, </w:t>
      </w:r>
      <w:r>
        <w:t>Entravision</w:t>
      </w:r>
      <w:r>
        <w:t xml:space="preserve"> filed a supplement to the KAZV Informal Objection (KAZV Supplement).  The KAZV Informal Objection is procedurally acceptable, as it was filed before Commission action on the KAZV License Application.  </w:t>
      </w:r>
      <w:r>
        <w:rPr>
          <w:i/>
        </w:rPr>
        <w:t xml:space="preserve">See </w:t>
      </w:r>
      <w:r>
        <w:t xml:space="preserve">47 CFR § 73.3587. </w:t>
      </w:r>
    </w:p>
  </w:footnote>
  <w:footnote w:id="3">
    <w:p w:rsidR="00AC2C94" w:rsidP="001663EB">
      <w:pPr>
        <w:pStyle w:val="FootnoteText"/>
        <w:spacing w:after="120"/>
      </w:pPr>
      <w:r>
        <w:rPr>
          <w:rStyle w:val="FootnoteReference"/>
        </w:rPr>
        <w:footnoteRef/>
      </w:r>
      <w:r>
        <w:t xml:space="preserve"> On January 29, 2018, </w:t>
      </w:r>
      <w:r>
        <w:t>Entravision</w:t>
      </w:r>
      <w:r>
        <w:t xml:space="preserve"> filed an opposition to the KVVA-FM Informal Objection (KVVA-FM Opposition).  On February 13, 2018, Kona Coast Radio LLC (Kona Coast) filed comments regarding the two </w:t>
      </w:r>
      <w:r>
        <w:t>Entravision</w:t>
      </w:r>
      <w:r>
        <w:t xml:space="preserve"> Modification Applications (Kona Coast Comments).  The issues raised in the Kona Coast Comments relate primarily to other applications and were disposed of by the Bureau in </w:t>
      </w:r>
      <w:r>
        <w:rPr>
          <w:i/>
        </w:rPr>
        <w:t xml:space="preserve">John F. Garziglia, </w:t>
      </w:r>
      <w:r>
        <w:rPr>
          <w:i/>
        </w:rPr>
        <w:t>Esq</w:t>
      </w:r>
      <w:r>
        <w:t xml:space="preserve">, Letter, Ref. No. 1800B2-RB (MB Apr. 25, 2018) (granting </w:t>
      </w:r>
      <w:r w:rsidRPr="00E35CC6">
        <w:t>File Nos. BPH-20170620ABH</w:t>
      </w:r>
      <w:r>
        <w:t xml:space="preserve"> and </w:t>
      </w:r>
      <w:r w:rsidRPr="00E35CC6">
        <w:t>BLH-20170620ABG</w:t>
      </w:r>
      <w:r>
        <w:t xml:space="preserve">).  Therefore, they will not be considered further here. </w:t>
      </w:r>
    </w:p>
  </w:footnote>
  <w:footnote w:id="4">
    <w:p w:rsidR="00AC2C94" w:rsidP="001663EB">
      <w:pPr>
        <w:pStyle w:val="FootnoteText"/>
        <w:spacing w:after="120"/>
      </w:pPr>
      <w:r>
        <w:rPr>
          <w:rStyle w:val="FootnoteReference"/>
        </w:rPr>
        <w:footnoteRef/>
      </w:r>
      <w:r>
        <w:t xml:space="preserve"> 47 CFR § 73.207(b)(1) (requiring a minimum separation of 117 kilometers between the transmitter site of a proposed Class C3 station from the transmitter site of any of other Class C2 station’s facilities or allotment).</w:t>
      </w:r>
    </w:p>
  </w:footnote>
  <w:footnote w:id="5">
    <w:p w:rsidR="00AC2C94" w:rsidRPr="001663EB" w:rsidP="001663EB">
      <w:pPr>
        <w:pStyle w:val="FootnoteText"/>
        <w:spacing w:after="120"/>
      </w:pPr>
      <w:r>
        <w:rPr>
          <w:rStyle w:val="FootnoteReference"/>
        </w:rPr>
        <w:footnoteRef/>
      </w:r>
      <w:r>
        <w:t xml:space="preserve"> </w:t>
      </w:r>
      <w:r>
        <w:rPr>
          <w:i/>
        </w:rPr>
        <w:t xml:space="preserve">See </w:t>
      </w:r>
      <w:r>
        <w:t>47 CFR § 73.3517(e) (“Dismissal of any one of the related [contingent] applications as unacceptable will result in the dismissal of all the related applications.”).</w:t>
      </w:r>
    </w:p>
  </w:footnote>
  <w:footnote w:id="6">
    <w:p w:rsidR="00AC2C94" w:rsidRPr="002B585C" w:rsidP="001663EB">
      <w:pPr>
        <w:pStyle w:val="FootnoteText"/>
        <w:spacing w:after="120"/>
      </w:pPr>
      <w:r>
        <w:rPr>
          <w:rStyle w:val="FootnoteReference"/>
        </w:rPr>
        <w:footnoteRef/>
      </w:r>
      <w:r>
        <w:t xml:space="preserve"> File No. BNPH-20070403ACO (KAZV Construction Permit); </w:t>
      </w:r>
      <w:r>
        <w:rPr>
          <w:i/>
        </w:rPr>
        <w:t>Able Radio Corporation</w:t>
      </w:r>
      <w:r>
        <w:t xml:space="preserve">, Letter Decision, </w:t>
      </w:r>
      <w:r w:rsidRPr="00F81BA3">
        <w:t xml:space="preserve">26 FCC </w:t>
      </w:r>
      <w:r w:rsidRPr="00F81BA3">
        <w:t>Rcd</w:t>
      </w:r>
      <w:r w:rsidRPr="00F81BA3">
        <w:t xml:space="preserve"> 16161</w:t>
      </w:r>
      <w:r>
        <w:t xml:space="preserve"> (MB 2011) (</w:t>
      </w:r>
      <w:r w:rsidRPr="00A94C55">
        <w:rPr>
          <w:i/>
        </w:rPr>
        <w:t>2011 Able CP Grant Letter</w:t>
      </w:r>
      <w:r>
        <w:t xml:space="preserve">). </w:t>
      </w:r>
    </w:p>
  </w:footnote>
  <w:footnote w:id="7">
    <w:p w:rsidR="00AC2C94" w:rsidRPr="009E422F" w:rsidP="001663EB">
      <w:pPr>
        <w:pStyle w:val="FootnoteText"/>
        <w:spacing w:after="120"/>
      </w:pPr>
      <w:r>
        <w:rPr>
          <w:rStyle w:val="FootnoteReference"/>
        </w:rPr>
        <w:footnoteRef/>
      </w:r>
      <w:r>
        <w:t xml:space="preserve"> File Nos. </w:t>
      </w:r>
      <w:bookmarkStart w:id="2" w:name="_Hlk514685662"/>
      <w:r w:rsidRPr="009E422F">
        <w:t>BPH-20100817ABA</w:t>
      </w:r>
      <w:r>
        <w:t xml:space="preserve"> and </w:t>
      </w:r>
      <w:r w:rsidRPr="009E422F">
        <w:t>BPH-20100817AAX</w:t>
      </w:r>
      <w:bookmarkEnd w:id="2"/>
      <w:r>
        <w:t xml:space="preserve">; </w:t>
      </w:r>
      <w:r w:rsidRPr="00A94C55">
        <w:rPr>
          <w:i/>
        </w:rPr>
        <w:t>2011 Able CP Grant Letter</w:t>
      </w:r>
      <w:r>
        <w:t xml:space="preserve">, 26 FCC </w:t>
      </w:r>
      <w:r>
        <w:t>Rcd</w:t>
      </w:r>
      <w:r>
        <w:t xml:space="preserve"> at 16161. </w:t>
      </w:r>
    </w:p>
  </w:footnote>
  <w:footnote w:id="8">
    <w:p w:rsidR="00AC2C94" w:rsidRPr="009E422F" w:rsidP="001663EB">
      <w:pPr>
        <w:pStyle w:val="FootnoteText"/>
        <w:spacing w:after="120"/>
      </w:pPr>
      <w:r>
        <w:rPr>
          <w:rStyle w:val="FootnoteReference"/>
        </w:rPr>
        <w:footnoteRef/>
      </w:r>
      <w:r>
        <w:t xml:space="preserve"> </w:t>
      </w:r>
      <w:r>
        <w:rPr>
          <w:i/>
        </w:rPr>
        <w:t>See 2011 Able CP Grant Letter</w:t>
      </w:r>
      <w:r>
        <w:t xml:space="preserve">, 26 FCC </w:t>
      </w:r>
      <w:r>
        <w:t>Rcd</w:t>
      </w:r>
      <w:r>
        <w:t xml:space="preserve"> at 16161; </w:t>
      </w:r>
      <w:r>
        <w:rPr>
          <w:i/>
        </w:rPr>
        <w:t xml:space="preserve">Mark </w:t>
      </w:r>
      <w:r>
        <w:rPr>
          <w:i/>
        </w:rPr>
        <w:t>Lipp</w:t>
      </w:r>
      <w:r>
        <w:rPr>
          <w:i/>
        </w:rPr>
        <w:t>, Esq.</w:t>
      </w:r>
      <w:r>
        <w:t xml:space="preserve">, Letter Decision, 27 FCC </w:t>
      </w:r>
      <w:r>
        <w:t>Rcd</w:t>
      </w:r>
      <w:r>
        <w:t xml:space="preserve"> 15190 (MB 2012); </w:t>
      </w:r>
      <w:r>
        <w:rPr>
          <w:i/>
        </w:rPr>
        <w:t>Able Radio Corporation</w:t>
      </w:r>
      <w:r>
        <w:t xml:space="preserve">, Memorandum Opinion and Order, 29 FCC </w:t>
      </w:r>
      <w:r>
        <w:t>Rcd</w:t>
      </w:r>
      <w:r>
        <w:t xml:space="preserve"> 4363 (2014) (</w:t>
      </w:r>
      <w:r>
        <w:rPr>
          <w:i/>
        </w:rPr>
        <w:t>Able Radio MO&amp;O</w:t>
      </w:r>
      <w:r>
        <w:t xml:space="preserve">). </w:t>
      </w:r>
    </w:p>
  </w:footnote>
  <w:footnote w:id="9">
    <w:p w:rsidR="00AC2C94" w:rsidP="001663EB">
      <w:pPr>
        <w:pStyle w:val="FootnoteText"/>
        <w:spacing w:after="120"/>
      </w:pPr>
      <w:r>
        <w:rPr>
          <w:rStyle w:val="FootnoteReference"/>
        </w:rPr>
        <w:footnoteRef/>
      </w:r>
      <w:r>
        <w:t xml:space="preserve"> </w:t>
      </w:r>
      <w:r>
        <w:rPr>
          <w:i/>
        </w:rPr>
        <w:t xml:space="preserve">Able Radio </w:t>
      </w:r>
      <w:r w:rsidRPr="00E40153">
        <w:rPr>
          <w:i/>
        </w:rPr>
        <w:t>MO&amp;O.</w:t>
      </w:r>
      <w:r>
        <w:t xml:space="preserve"> </w:t>
      </w:r>
    </w:p>
  </w:footnote>
  <w:footnote w:id="10">
    <w:p w:rsidR="00AC2C94" w:rsidRPr="005A3D5A" w:rsidP="001663EB">
      <w:pPr>
        <w:pStyle w:val="FootnoteText"/>
        <w:spacing w:after="120"/>
      </w:pPr>
      <w:r>
        <w:rPr>
          <w:rStyle w:val="FootnoteReference"/>
        </w:rPr>
        <w:footnoteRef/>
      </w:r>
      <w:r>
        <w:t xml:space="preserve"> File No. </w:t>
      </w:r>
      <w:r w:rsidRPr="005A3D5A">
        <w:t>BAPH-20150508ABJ</w:t>
      </w:r>
      <w:r>
        <w:t xml:space="preserve"> (granted July 22, 2015.  </w:t>
      </w:r>
      <w:r>
        <w:rPr>
          <w:i/>
        </w:rPr>
        <w:t>Broadcast Actions</w:t>
      </w:r>
      <w:r>
        <w:t xml:space="preserve">, Public Notice, Report No. 48539 (MB July 27, 2015)). </w:t>
      </w:r>
    </w:p>
  </w:footnote>
  <w:footnote w:id="11">
    <w:p w:rsidR="00AC2C94" w:rsidP="001663EB">
      <w:pPr>
        <w:pStyle w:val="FootnoteText"/>
        <w:spacing w:after="120"/>
      </w:pPr>
      <w:r>
        <w:rPr>
          <w:rStyle w:val="FootnoteReference"/>
        </w:rPr>
        <w:footnoteRef/>
      </w:r>
      <w:r>
        <w:t xml:space="preserve"> File No. BMPH-20151022AFO; </w:t>
      </w:r>
      <w:r>
        <w:rPr>
          <w:i/>
        </w:rPr>
        <w:t xml:space="preserve">see also </w:t>
      </w:r>
      <w:r>
        <w:t xml:space="preserve">47 CFR § 73.3517(a) (allowing proposed assignees to file modification applications with permission from the licensee). </w:t>
      </w:r>
    </w:p>
  </w:footnote>
  <w:footnote w:id="12">
    <w:p w:rsidR="00AC2C94" w:rsidP="001663EB">
      <w:pPr>
        <w:pStyle w:val="FootnoteText"/>
        <w:spacing w:after="120"/>
      </w:pPr>
      <w:r>
        <w:rPr>
          <w:rStyle w:val="FootnoteReference"/>
        </w:rPr>
        <w:footnoteRef/>
      </w:r>
      <w:r>
        <w:t xml:space="preserve"> KAZV Opposition at 3. </w:t>
      </w:r>
    </w:p>
  </w:footnote>
  <w:footnote w:id="13">
    <w:p w:rsidR="00AC2C94" w:rsidP="001663EB">
      <w:pPr>
        <w:pStyle w:val="FootnoteText"/>
        <w:spacing w:after="120"/>
      </w:pPr>
      <w:r>
        <w:rPr>
          <w:rStyle w:val="FootnoteReference"/>
        </w:rPr>
        <w:footnoteRef/>
      </w:r>
      <w:r>
        <w:t xml:space="preserve"> KAZV Opposition at 3.</w:t>
      </w:r>
    </w:p>
  </w:footnote>
  <w:footnote w:id="14">
    <w:p w:rsidR="00AC2C94" w:rsidP="001663EB">
      <w:pPr>
        <w:pStyle w:val="FootnoteText"/>
        <w:spacing w:after="120"/>
      </w:pPr>
      <w:r>
        <w:rPr>
          <w:rStyle w:val="FootnoteReference"/>
        </w:rPr>
        <w:footnoteRef/>
      </w:r>
      <w:r>
        <w:t xml:space="preserve"> KAZV Informal Objection, </w:t>
      </w:r>
      <w:r>
        <w:t>Exh</w:t>
      </w:r>
      <w:r>
        <w:t>. A, Temporary Use Permit at 2.</w:t>
      </w:r>
    </w:p>
  </w:footnote>
  <w:footnote w:id="15">
    <w:p w:rsidR="00AC2C94" w:rsidP="001663EB">
      <w:pPr>
        <w:pStyle w:val="FootnoteText"/>
        <w:spacing w:after="120"/>
      </w:pPr>
      <w:r>
        <w:rPr>
          <w:rStyle w:val="FootnoteReference"/>
        </w:rPr>
        <w:footnoteRef/>
      </w:r>
      <w:r>
        <w:t xml:space="preserve"> KAZV Informal Objection, </w:t>
      </w:r>
      <w:r>
        <w:t>Exh</w:t>
      </w:r>
      <w:r>
        <w:t>. A, Temporary Use Permit, Narrative (attachment).</w:t>
      </w:r>
    </w:p>
  </w:footnote>
  <w:footnote w:id="16">
    <w:p w:rsidR="00AC2C94" w:rsidP="001663EB">
      <w:pPr>
        <w:pStyle w:val="FootnoteText"/>
        <w:spacing w:after="120"/>
      </w:pPr>
      <w:r>
        <w:rPr>
          <w:rStyle w:val="FootnoteReference"/>
        </w:rPr>
        <w:footnoteRef/>
      </w:r>
      <w:r>
        <w:t xml:space="preserve"> Email from Victoria McCauley, Attorney Advisor, Audio Division, Media Bureau, Federal Communications Commission, to Tom Gutierrez, Counsel for Matinee (MB Dec. 12, 2017).</w:t>
      </w:r>
    </w:p>
  </w:footnote>
  <w:footnote w:id="17">
    <w:p w:rsidR="00AC2C94" w:rsidP="001663EB">
      <w:pPr>
        <w:pStyle w:val="FootnoteText"/>
        <w:spacing w:after="120"/>
      </w:pPr>
      <w:r>
        <w:rPr>
          <w:rStyle w:val="FootnoteReference"/>
        </w:rPr>
        <w:footnoteRef/>
      </w:r>
      <w:r>
        <w:t xml:space="preserve"> </w:t>
      </w:r>
      <w:r>
        <w:rPr>
          <w:i/>
        </w:rPr>
        <w:t>Broadcast Actions</w:t>
      </w:r>
      <w:r>
        <w:t>, Public Notice, Report No. 49137 (Dec. 21, 2017).</w:t>
      </w:r>
    </w:p>
  </w:footnote>
  <w:footnote w:id="18">
    <w:p w:rsidR="00AC2C94" w:rsidP="001663EB">
      <w:pPr>
        <w:pStyle w:val="FootnoteText"/>
        <w:spacing w:after="120"/>
        <w:jc w:val="both"/>
      </w:pPr>
      <w:r>
        <w:rPr>
          <w:rStyle w:val="FootnoteReference"/>
        </w:rPr>
        <w:footnoteRef/>
      </w:r>
      <w:r>
        <w:t xml:space="preserve"> File No. BPH-20171227AAK (KVVA-FM Modification Application).</w:t>
      </w:r>
    </w:p>
  </w:footnote>
  <w:footnote w:id="19">
    <w:p w:rsidR="00AC2C94" w:rsidP="001663EB">
      <w:pPr>
        <w:pStyle w:val="FootnoteText"/>
        <w:spacing w:after="120"/>
      </w:pPr>
      <w:r>
        <w:rPr>
          <w:rStyle w:val="FootnoteReference"/>
        </w:rPr>
        <w:footnoteRef/>
      </w:r>
      <w:r>
        <w:t xml:space="preserve"> File No. BPH-20171227AAJ (KDVA Modification Application).</w:t>
      </w:r>
    </w:p>
  </w:footnote>
  <w:footnote w:id="20">
    <w:p w:rsidR="00AC2C94" w:rsidP="001663EB">
      <w:pPr>
        <w:pStyle w:val="FootnoteText"/>
        <w:spacing w:after="120"/>
      </w:pPr>
      <w:r>
        <w:rPr>
          <w:rStyle w:val="FootnoteReference"/>
        </w:rPr>
        <w:footnoteRef/>
      </w:r>
      <w:r>
        <w:t xml:space="preserve"> KPPV(FM) is owned by Prescott Valley Broadcasting Co., Inc.</w:t>
      </w:r>
    </w:p>
  </w:footnote>
  <w:footnote w:id="21">
    <w:p w:rsidR="00AC2C94" w:rsidP="001663EB">
      <w:pPr>
        <w:pStyle w:val="FootnoteText"/>
        <w:spacing w:after="120"/>
      </w:pPr>
      <w:r>
        <w:rPr>
          <w:rStyle w:val="FootnoteReference"/>
        </w:rPr>
        <w:footnoteRef/>
      </w:r>
      <w:r>
        <w:t xml:space="preserve"> </w:t>
      </w:r>
      <w:r>
        <w:rPr>
          <w:i/>
        </w:rPr>
        <w:t xml:space="preserve">See generally, </w:t>
      </w:r>
      <w:r>
        <w:t xml:space="preserve">47 U.S.C. § 316(a); 47 CFR § 1.87. </w:t>
      </w:r>
    </w:p>
  </w:footnote>
  <w:footnote w:id="22">
    <w:p w:rsidR="00AC2C94" w:rsidP="001663EB">
      <w:pPr>
        <w:pStyle w:val="FootnoteText"/>
        <w:spacing w:after="120"/>
      </w:pPr>
      <w:r>
        <w:rPr>
          <w:rStyle w:val="FootnoteReference"/>
        </w:rPr>
        <w:footnoteRef/>
      </w:r>
      <w:r>
        <w:t xml:space="preserve"> KAZV Informal Objection at 2-3 (citing </w:t>
      </w:r>
      <w:r>
        <w:rPr>
          <w:i/>
        </w:rPr>
        <w:t>Tango Radio, LLC</w:t>
      </w:r>
      <w:r>
        <w:t>, Memorandum Opinion and Order, 30</w:t>
      </w:r>
      <w:r w:rsidRPr="00907FBA">
        <w:t xml:space="preserve"> </w:t>
      </w:r>
      <w:r>
        <w:t xml:space="preserve">FCC </w:t>
      </w:r>
      <w:r>
        <w:t>Rcd</w:t>
      </w:r>
      <w:r>
        <w:t xml:space="preserve"> 10564, 10568 (2015) (</w:t>
      </w:r>
      <w:r>
        <w:rPr>
          <w:i/>
        </w:rPr>
        <w:t>Tango</w:t>
      </w:r>
      <w:r>
        <w:t>);</w:t>
      </w:r>
      <w:r w:rsidRPr="004D4097">
        <w:rPr>
          <w:i/>
        </w:rPr>
        <w:t xml:space="preserve"> </w:t>
      </w:r>
      <w:r>
        <w:rPr>
          <w:i/>
        </w:rPr>
        <w:t>DTV America Corporation</w:t>
      </w:r>
      <w:r>
        <w:t xml:space="preserve">, 32 FCC </w:t>
      </w:r>
      <w:r>
        <w:t>Rcd</w:t>
      </w:r>
      <w:r>
        <w:t xml:space="preserve"> 9129, 9135 (MB 2017) (</w:t>
      </w:r>
      <w:r>
        <w:rPr>
          <w:i/>
        </w:rPr>
        <w:t>DTV</w:t>
      </w:r>
      <w:r>
        <w:t xml:space="preserve"> </w:t>
      </w:r>
      <w:r>
        <w:rPr>
          <w:i/>
        </w:rPr>
        <w:t>America</w:t>
      </w:r>
      <w:r>
        <w:t>).</w:t>
      </w:r>
    </w:p>
  </w:footnote>
  <w:footnote w:id="23">
    <w:p w:rsidR="00AC2C94" w:rsidP="001663EB">
      <w:pPr>
        <w:pStyle w:val="FootnoteText"/>
        <w:spacing w:after="120"/>
      </w:pPr>
      <w:r>
        <w:rPr>
          <w:rStyle w:val="FootnoteReference"/>
        </w:rPr>
        <w:footnoteRef/>
      </w:r>
      <w:r>
        <w:t xml:space="preserve"> KAZV Informal Objection at 2-3.</w:t>
      </w:r>
    </w:p>
  </w:footnote>
  <w:footnote w:id="24">
    <w:p w:rsidR="00AC2C94" w:rsidRPr="00C27C67" w:rsidP="001663EB">
      <w:pPr>
        <w:pStyle w:val="FootnoteText"/>
        <w:spacing w:after="120"/>
      </w:pPr>
      <w:r>
        <w:rPr>
          <w:rStyle w:val="FootnoteReference"/>
        </w:rPr>
        <w:footnoteRef/>
      </w:r>
      <w:r>
        <w:t xml:space="preserve"> KAZV Informal Objection at 2-3; KAZV Reply at 3 (citing </w:t>
      </w:r>
      <w:r>
        <w:rPr>
          <w:i/>
        </w:rPr>
        <w:t>Dan J. Alpert, Esq.</w:t>
      </w:r>
      <w:r>
        <w:t xml:space="preserve">, Letter, 30 FCC </w:t>
      </w:r>
      <w:r>
        <w:t>Rcd</w:t>
      </w:r>
      <w:r>
        <w:t xml:space="preserve"> 4898, 4901-4902 (MB 2015)); Supplement at 2.  </w:t>
      </w:r>
      <w:r w:rsidRPr="00D2453F">
        <w:t>The Temporary Use Permit states that “[a]</w:t>
      </w:r>
      <w:r w:rsidRPr="00D2453F">
        <w:t>pproval</w:t>
      </w:r>
      <w:r w:rsidRPr="00D2453F">
        <w:t xml:space="preserve"> of the temporary use is not approval to construct . . . the applicant/owner shall obtain all necessary clearances and construction permits.” </w:t>
      </w:r>
      <w:r>
        <w:t xml:space="preserve"> KAZV Informal Objection, </w:t>
      </w:r>
      <w:r>
        <w:t>Exh</w:t>
      </w:r>
      <w:r>
        <w:t>. A, at 3.</w:t>
      </w:r>
    </w:p>
  </w:footnote>
  <w:footnote w:id="25">
    <w:p w:rsidR="00AC2C94" w:rsidP="001663EB">
      <w:pPr>
        <w:pStyle w:val="FootnoteText"/>
        <w:spacing w:after="120"/>
      </w:pPr>
      <w:r>
        <w:rPr>
          <w:rStyle w:val="FootnoteReference"/>
        </w:rPr>
        <w:footnoteRef/>
      </w:r>
      <w:r>
        <w:t xml:space="preserve"> KAZV Informal Objection at 4, n.6; 47 CFR § 73.3615(b)(2). </w:t>
      </w:r>
    </w:p>
  </w:footnote>
  <w:footnote w:id="26">
    <w:p w:rsidR="00AC2C94" w:rsidRPr="00780164" w:rsidP="001663EB">
      <w:pPr>
        <w:pStyle w:val="FootnoteText"/>
        <w:spacing w:after="120"/>
      </w:pPr>
      <w:r>
        <w:rPr>
          <w:rStyle w:val="FootnoteReference"/>
        </w:rPr>
        <w:footnoteRef/>
      </w:r>
      <w:r>
        <w:t xml:space="preserve"> </w:t>
      </w:r>
      <w:r>
        <w:rPr>
          <w:i/>
        </w:rPr>
        <w:t xml:space="preserve">See </w:t>
      </w:r>
      <w:r>
        <w:t>47 CFR § 73.1125.</w:t>
      </w:r>
    </w:p>
  </w:footnote>
  <w:footnote w:id="27">
    <w:p w:rsidR="00AC2C94" w:rsidP="001663EB">
      <w:pPr>
        <w:pStyle w:val="FootnoteText"/>
        <w:spacing w:after="120"/>
      </w:pPr>
      <w:r>
        <w:rPr>
          <w:rStyle w:val="FootnoteReference"/>
        </w:rPr>
        <w:footnoteRef/>
      </w:r>
      <w:r>
        <w:t xml:space="preserve"> KAZV Reply at 5.</w:t>
      </w:r>
    </w:p>
  </w:footnote>
  <w:footnote w:id="28">
    <w:p w:rsidR="00AC2C94" w:rsidP="001663EB">
      <w:pPr>
        <w:pStyle w:val="FootnoteText"/>
        <w:spacing w:after="120"/>
      </w:pPr>
      <w:r>
        <w:rPr>
          <w:rStyle w:val="FootnoteReference"/>
        </w:rPr>
        <w:footnoteRef/>
      </w:r>
      <w:r>
        <w:t xml:space="preserve"> KAZV Reply at 5.</w:t>
      </w:r>
    </w:p>
  </w:footnote>
  <w:footnote w:id="29">
    <w:p w:rsidR="00AC2C94" w:rsidP="001663EB">
      <w:pPr>
        <w:pStyle w:val="FootnoteText"/>
        <w:spacing w:after="120"/>
      </w:pPr>
      <w:r>
        <w:rPr>
          <w:rStyle w:val="FootnoteReference"/>
        </w:rPr>
        <w:footnoteRef/>
      </w:r>
      <w:r>
        <w:t xml:space="preserve"> KAZV Opposition at 4.</w:t>
      </w:r>
    </w:p>
  </w:footnote>
  <w:footnote w:id="30">
    <w:p w:rsidR="00AC2C94" w:rsidRPr="00531EA8" w:rsidP="001663EB">
      <w:pPr>
        <w:pStyle w:val="FootnoteText"/>
        <w:spacing w:after="120"/>
      </w:pPr>
      <w:r>
        <w:rPr>
          <w:rStyle w:val="FootnoteReference"/>
        </w:rPr>
        <w:footnoteRef/>
      </w:r>
      <w:r>
        <w:t xml:space="preserve"> KAZV Opposition at 5.  Matinee includes a photograph of the KAZV transmitter and tower.  </w:t>
      </w:r>
      <w:r>
        <w:rPr>
          <w:i/>
        </w:rPr>
        <w:t>Id.</w:t>
      </w:r>
      <w:r>
        <w:t xml:space="preserve">, </w:t>
      </w:r>
      <w:r>
        <w:t>Exh</w:t>
      </w:r>
      <w:r>
        <w:t xml:space="preserve">. B, Declaration of William Smith. </w:t>
      </w:r>
    </w:p>
  </w:footnote>
  <w:footnote w:id="31">
    <w:p w:rsidR="00AC2C94" w:rsidP="001663EB">
      <w:pPr>
        <w:pStyle w:val="FootnoteText"/>
        <w:spacing w:after="120"/>
      </w:pPr>
      <w:r>
        <w:rPr>
          <w:rStyle w:val="FootnoteReference"/>
        </w:rPr>
        <w:footnoteRef/>
      </w:r>
      <w:r>
        <w:t xml:space="preserve"> KAZV Opposition at 3.</w:t>
      </w:r>
    </w:p>
  </w:footnote>
  <w:footnote w:id="32">
    <w:p w:rsidR="00AC2C94" w:rsidP="001663EB">
      <w:pPr>
        <w:pStyle w:val="FootnoteText"/>
        <w:spacing w:after="120"/>
      </w:pPr>
      <w:r>
        <w:rPr>
          <w:rStyle w:val="FootnoteReference"/>
        </w:rPr>
        <w:footnoteRef/>
      </w:r>
      <w:r>
        <w:t xml:space="preserve"> KAZV Opposition at 6.</w:t>
      </w:r>
    </w:p>
  </w:footnote>
  <w:footnote w:id="33">
    <w:p w:rsidR="00AC2C94" w:rsidP="001663EB">
      <w:pPr>
        <w:pStyle w:val="FootnoteText"/>
        <w:spacing w:after="120"/>
      </w:pPr>
      <w:r>
        <w:rPr>
          <w:rStyle w:val="FootnoteReference"/>
        </w:rPr>
        <w:footnoteRef/>
      </w:r>
      <w:r>
        <w:t xml:space="preserve"> KAZV Opposition at 7.</w:t>
      </w:r>
    </w:p>
  </w:footnote>
  <w:footnote w:id="34">
    <w:p w:rsidR="00AC2C94" w:rsidP="001663EB">
      <w:pPr>
        <w:pStyle w:val="FootnoteText"/>
        <w:spacing w:after="120"/>
      </w:pPr>
      <w:r>
        <w:rPr>
          <w:rStyle w:val="FootnoteReference"/>
        </w:rPr>
        <w:footnoteRef/>
      </w:r>
      <w:r>
        <w:t xml:space="preserve"> KAZV Opposition at 8.</w:t>
      </w:r>
    </w:p>
  </w:footnote>
  <w:footnote w:id="35">
    <w:p w:rsidR="00AC2C94" w:rsidP="001663EB">
      <w:pPr>
        <w:pStyle w:val="FootnoteText"/>
        <w:spacing w:after="120"/>
      </w:pPr>
      <w:r>
        <w:rPr>
          <w:rStyle w:val="FootnoteReference"/>
        </w:rPr>
        <w:footnoteRef/>
      </w:r>
      <w:r>
        <w:t xml:space="preserve"> KAZV Opposition at 10. </w:t>
      </w:r>
    </w:p>
  </w:footnote>
  <w:footnote w:id="36">
    <w:p w:rsidR="00AC2C94" w:rsidP="001663EB">
      <w:pPr>
        <w:pStyle w:val="FootnoteText"/>
        <w:spacing w:after="120"/>
      </w:pPr>
      <w:r>
        <w:rPr>
          <w:rStyle w:val="FootnoteReference"/>
        </w:rPr>
        <w:footnoteRef/>
      </w:r>
      <w:r>
        <w:t xml:space="preserve"> KAZV Opposition at 9.</w:t>
      </w:r>
    </w:p>
  </w:footnote>
  <w:footnote w:id="37">
    <w:p w:rsidR="00AC2C94" w:rsidP="001663EB">
      <w:pPr>
        <w:pStyle w:val="FootnoteText"/>
        <w:spacing w:after="120"/>
      </w:pPr>
      <w:r>
        <w:rPr>
          <w:rStyle w:val="FootnoteReference"/>
        </w:rPr>
        <w:footnoteRef/>
      </w:r>
      <w:r>
        <w:t xml:space="preserve"> KAZV License Application, </w:t>
      </w:r>
      <w:r>
        <w:t>Exh</w:t>
      </w:r>
      <w:r>
        <w:t>. 9.</w:t>
      </w:r>
    </w:p>
  </w:footnote>
  <w:footnote w:id="38">
    <w:p w:rsidR="00AC2C94" w:rsidP="001663EB">
      <w:pPr>
        <w:pStyle w:val="FootnoteText"/>
        <w:spacing w:after="120"/>
      </w:pPr>
      <w:r>
        <w:rPr>
          <w:rStyle w:val="FootnoteReference"/>
        </w:rPr>
        <w:footnoteRef/>
      </w:r>
      <w:r>
        <w:t xml:space="preserve"> 47 U.S.C. § 319(c).</w:t>
      </w:r>
    </w:p>
  </w:footnote>
  <w:footnote w:id="39">
    <w:p w:rsidR="00AC2C94" w:rsidP="001663EB">
      <w:pPr>
        <w:pStyle w:val="FootnoteText"/>
        <w:spacing w:after="120"/>
      </w:pPr>
      <w:r>
        <w:rPr>
          <w:rStyle w:val="FootnoteReference"/>
        </w:rPr>
        <w:footnoteRef/>
      </w:r>
      <w:r>
        <w:t xml:space="preserve"> </w:t>
      </w:r>
      <w:r>
        <w:rPr>
          <w:rStyle w:val="emphi"/>
        </w:rPr>
        <w:t>See</w:t>
      </w:r>
      <w:r>
        <w:t xml:space="preserve"> </w:t>
      </w:r>
      <w:r w:rsidRPr="001016FF">
        <w:t>47 U.S.C. § 319(c)</w:t>
      </w:r>
      <w:r>
        <w:t xml:space="preserve"> (requiring the Commission to issue a license where a construction permit has been granted and it appears that the terms of such permit have been met, and “that no cause or circumstance arising or first coming to the knowledge of the Commission since the granting of the permit would, in the judgment of the Commission, make the operation of such station against the public interest...”); </w:t>
      </w:r>
      <w:r w:rsidRPr="001016FF">
        <w:rPr>
          <w:rStyle w:val="emphi"/>
          <w:i/>
        </w:rPr>
        <w:t>Focus Cable of Oakland, Inc</w:t>
      </w:r>
      <w:r>
        <w:rPr>
          <w:rStyle w:val="emphi"/>
        </w:rPr>
        <w:t>.,</w:t>
      </w:r>
      <w:r>
        <w:t xml:space="preserve"> Memorandum Opinion and Order, </w:t>
      </w:r>
      <w:r w:rsidRPr="001016FF">
        <w:t>65 FCC 2d 35</w:t>
      </w:r>
      <w:r>
        <w:t>, 39-40, para. 11 (1977).</w:t>
      </w:r>
    </w:p>
  </w:footnote>
  <w:footnote w:id="40">
    <w:p w:rsidR="00AC2C94" w:rsidP="001663EB">
      <w:pPr>
        <w:pStyle w:val="FootnoteText"/>
        <w:spacing w:after="120"/>
      </w:pPr>
      <w:r>
        <w:rPr>
          <w:rStyle w:val="FootnoteReference"/>
        </w:rPr>
        <w:footnoteRef/>
      </w:r>
      <w:r>
        <w:t xml:space="preserve"> </w:t>
      </w:r>
      <w:r w:rsidRPr="00353DF7">
        <w:rPr>
          <w:rStyle w:val="emphi"/>
          <w:i/>
        </w:rPr>
        <w:t>See, e.g., Meyer Broadcasting Company</w:t>
      </w:r>
      <w:r>
        <w:rPr>
          <w:rStyle w:val="emphi"/>
        </w:rPr>
        <w:t>,</w:t>
      </w:r>
      <w:r>
        <w:t xml:space="preserve"> Memorandum Opinion and Order, </w:t>
      </w:r>
      <w:r w:rsidRPr="001016FF">
        <w:t>65 FCC 2d 438</w:t>
      </w:r>
      <w:r>
        <w:t>, 441 (1977).</w:t>
      </w:r>
    </w:p>
  </w:footnote>
  <w:footnote w:id="41">
    <w:p w:rsidR="00AC2C94" w:rsidRPr="00C33A0B" w:rsidP="001663EB">
      <w:pPr>
        <w:pStyle w:val="FootnoteText"/>
        <w:spacing w:after="120"/>
      </w:pPr>
      <w:r>
        <w:rPr>
          <w:rStyle w:val="FootnoteReference"/>
        </w:rPr>
        <w:footnoteRef/>
      </w:r>
      <w:r>
        <w:t xml:space="preserve"> </w:t>
      </w:r>
      <w:r>
        <w:rPr>
          <w:i/>
        </w:rPr>
        <w:t>Tango</w:t>
      </w:r>
      <w:r>
        <w:t>, 30</w:t>
      </w:r>
      <w:r w:rsidRPr="00907FBA">
        <w:t xml:space="preserve"> </w:t>
      </w:r>
      <w:r>
        <w:t xml:space="preserve">FCC </w:t>
      </w:r>
      <w:r>
        <w:t>Rcd</w:t>
      </w:r>
      <w:r>
        <w:t xml:space="preserve"> at 10568 (stating that temporary facilities are not licensable, in situation where facilities were dismantled shortly after license application filed, no permission obtained from landowner, and evidence adduced of brief “side of the road” operation of a nonconforming antenna); </w:t>
      </w:r>
      <w:r>
        <w:rPr>
          <w:i/>
        </w:rPr>
        <w:t>DTV America Corporation</w:t>
      </w:r>
      <w:r>
        <w:t>, Order,</w:t>
      </w:r>
      <w:r>
        <w:rPr>
          <w:i/>
        </w:rPr>
        <w:t xml:space="preserve"> </w:t>
      </w:r>
      <w:r>
        <w:t xml:space="preserve">32 FCC </w:t>
      </w:r>
      <w:r>
        <w:t>Rcd</w:t>
      </w:r>
      <w:r>
        <w:t xml:space="preserve"> at 9135 (adopting consent decree where facilities were dismantled immediately after license grant and moved to a series of new locations away from </w:t>
      </w:r>
      <w:r w:rsidRPr="0083658E">
        <w:t>rural unserved and underserved areas with low population densities to more densely populated areas</w:t>
      </w:r>
      <w:r>
        <w:t xml:space="preserve">); </w:t>
      </w:r>
      <w:r>
        <w:rPr>
          <w:i/>
        </w:rPr>
        <w:t>Dan J. Alpert, Esq.</w:t>
      </w:r>
      <w:r>
        <w:t xml:space="preserve">, Letter, 30 FCC </w:t>
      </w:r>
      <w:r>
        <w:t>Rcd</w:t>
      </w:r>
      <w:r>
        <w:t xml:space="preserve"> 4898 (MB 2015) (dismissing license application where facilities were dismantled after less than a week, no permission was obtained from landowner, and antenna was not constructed in accordance with the terms of the construction permit) (</w:t>
      </w:r>
      <w:r w:rsidRPr="00585686">
        <w:rPr>
          <w:i/>
        </w:rPr>
        <w:t>Alpert Letter</w:t>
      </w:r>
      <w:r>
        <w:t>) .</w:t>
      </w:r>
    </w:p>
  </w:footnote>
  <w:footnote w:id="42">
    <w:p w:rsidR="00AC2C94" w:rsidP="001663EB">
      <w:pPr>
        <w:pStyle w:val="FootnoteText"/>
        <w:spacing w:after="120"/>
      </w:pPr>
      <w:r>
        <w:rPr>
          <w:rStyle w:val="FootnoteReference"/>
        </w:rPr>
        <w:footnoteRef/>
      </w:r>
      <w:r>
        <w:t xml:space="preserve"> </w:t>
      </w:r>
      <w:r w:rsidRPr="00EF0CA8">
        <w:rPr>
          <w:i/>
        </w:rPr>
        <w:t>Pathfinder Communication Corporation</w:t>
      </w:r>
      <w:r w:rsidRPr="00EF0CA8">
        <w:t xml:space="preserve">, Memorandum Opinion and Order, 18 FCC </w:t>
      </w:r>
      <w:r w:rsidRPr="00EF0CA8">
        <w:t>Rcd</w:t>
      </w:r>
      <w:r w:rsidRPr="00EF0CA8">
        <w:t xml:space="preserve"> 9272, 9279 (2003) (</w:t>
      </w:r>
      <w:r w:rsidRPr="00EF0CA8">
        <w:rPr>
          <w:i/>
        </w:rPr>
        <w:t>Pathfinder</w:t>
      </w:r>
      <w:r w:rsidRPr="00EF0CA8">
        <w:t>).</w:t>
      </w:r>
    </w:p>
  </w:footnote>
  <w:footnote w:id="43">
    <w:p w:rsidR="00AC2C94" w:rsidRPr="00A07363" w:rsidP="001663EB">
      <w:pPr>
        <w:pStyle w:val="FootnoteText"/>
        <w:spacing w:after="120"/>
      </w:pPr>
      <w:r>
        <w:rPr>
          <w:rStyle w:val="FootnoteReference"/>
        </w:rPr>
        <w:footnoteRef/>
      </w:r>
      <w:r>
        <w:t xml:space="preserve"> </w:t>
      </w:r>
      <w:r>
        <w:rPr>
          <w:i/>
        </w:rPr>
        <w:t xml:space="preserve"> Alpert</w:t>
      </w:r>
      <w:r>
        <w:t xml:space="preserve"> </w:t>
      </w:r>
      <w:r w:rsidRPr="00DB3131">
        <w:rPr>
          <w:i/>
        </w:rPr>
        <w:t>Letter</w:t>
      </w:r>
      <w:r>
        <w:t xml:space="preserve">, 30 FCC </w:t>
      </w:r>
      <w:r>
        <w:t>Rcd</w:t>
      </w:r>
      <w:r>
        <w:t xml:space="preserve"> at 4901. </w:t>
      </w:r>
    </w:p>
  </w:footnote>
  <w:footnote w:id="44">
    <w:p w:rsidR="00AC2C94" w:rsidRPr="00B4581B">
      <w:pPr>
        <w:pStyle w:val="FootnoteText"/>
      </w:pPr>
      <w:r>
        <w:rPr>
          <w:rStyle w:val="FootnoteReference"/>
        </w:rPr>
        <w:footnoteRef/>
      </w:r>
      <w:r>
        <w:t xml:space="preserve"> </w:t>
      </w:r>
      <w:r>
        <w:rPr>
          <w:i/>
        </w:rPr>
        <w:t>Tango</w:t>
      </w:r>
      <w:r>
        <w:t xml:space="preserve">, 30 FCC </w:t>
      </w:r>
      <w:r>
        <w:t>Rcd</w:t>
      </w:r>
      <w:r>
        <w:t xml:space="preserve"> at 10568 (“It appears that some permittees, such as Applicants here, are attempting to circumvent our construction deadlines by erecting facilities, conforming or otherwise, with or without the site owner's permission, </w:t>
      </w:r>
      <w:r>
        <w:rPr>
          <w:rStyle w:val="Emphasis"/>
        </w:rPr>
        <w:t>temporarily</w:t>
      </w:r>
      <w:r>
        <w:t>—</w:t>
      </w:r>
      <w:r w:rsidRPr="004574BD">
        <w:rPr>
          <w:i/>
        </w:rPr>
        <w:t>long enough only to file a license application</w:t>
      </w:r>
      <w:r>
        <w:t xml:space="preserve"> before the underlying construction permit expires.”) (emphasis added).</w:t>
      </w:r>
    </w:p>
  </w:footnote>
  <w:footnote w:id="45">
    <w:p w:rsidR="00AC2C94" w:rsidP="001663EB">
      <w:pPr>
        <w:pStyle w:val="FootnoteText"/>
        <w:spacing w:after="120"/>
      </w:pPr>
      <w:r>
        <w:rPr>
          <w:rStyle w:val="FootnoteReference"/>
        </w:rPr>
        <w:footnoteRef/>
      </w:r>
      <w:r>
        <w:t xml:space="preserve"> </w:t>
      </w:r>
      <w:r w:rsidRPr="00A05CF2">
        <w:t xml:space="preserve">According to the Maricopa County website, a Special Use Permit is “granted for a specific timeframe subject to periodic status report reviews by the Department.” </w:t>
      </w:r>
      <w:r>
        <w:t xml:space="preserve">Maricopa County, “Special Use Permit,” </w:t>
      </w:r>
      <w:r>
        <w:fldChar w:fldCharType="begin"/>
      </w:r>
      <w:r>
        <w:instrText xml:space="preserve"> HYPERLINK "https://www.maricopa.gov/2108/Special-Use-Permit" </w:instrText>
      </w:r>
      <w:r>
        <w:fldChar w:fldCharType="separate"/>
      </w:r>
      <w:r w:rsidRPr="001D2EE7">
        <w:rPr>
          <w:rStyle w:val="Hyperlink"/>
        </w:rPr>
        <w:t>https://www.maricopa.gov/2108/Special-Use-Permit</w:t>
      </w:r>
      <w:r>
        <w:fldChar w:fldCharType="end"/>
      </w:r>
      <w:r>
        <w:t xml:space="preserve"> (last visited May 18, 2018).</w:t>
      </w:r>
    </w:p>
  </w:footnote>
  <w:footnote w:id="46">
    <w:p w:rsidR="00AC2C94" w:rsidRPr="000D4664" w:rsidP="001663EB">
      <w:pPr>
        <w:pStyle w:val="FootnoteText"/>
        <w:spacing w:after="120"/>
      </w:pPr>
      <w:r>
        <w:rPr>
          <w:rStyle w:val="FootnoteReference"/>
        </w:rPr>
        <w:footnoteRef/>
      </w:r>
      <w:r>
        <w:t xml:space="preserve"> </w:t>
      </w:r>
      <w:r>
        <w:rPr>
          <w:i/>
        </w:rPr>
        <w:t>See, e.g., Aspen FM, Inc.</w:t>
      </w:r>
      <w:r>
        <w:t xml:space="preserve">, Memorandum Opinion and Order, 12 FCC </w:t>
      </w:r>
      <w:r>
        <w:t>Rcd</w:t>
      </w:r>
      <w:r>
        <w:t xml:space="preserve"> 17852, 17855 (1997) (“The Commission has traditionally declined to consider such issues where no challenge has been made in state court and the determination is one that is more appropriately resolved by a local court of competent jurisdiction.”).</w:t>
      </w:r>
    </w:p>
  </w:footnote>
  <w:footnote w:id="47">
    <w:p w:rsidR="00AC2C94" w:rsidRPr="00A315FD" w:rsidP="001663EB">
      <w:pPr>
        <w:pStyle w:val="FootnoteText"/>
        <w:spacing w:after="120"/>
      </w:pPr>
      <w:r>
        <w:rPr>
          <w:rStyle w:val="FootnoteReference"/>
        </w:rPr>
        <w:footnoteRef/>
      </w:r>
      <w:r>
        <w:t xml:space="preserve"> </w:t>
      </w:r>
      <w:r>
        <w:rPr>
          <w:i/>
        </w:rPr>
        <w:t>See, e.g., Artichoke Broadcasting Corporation</w:t>
      </w:r>
      <w:r>
        <w:t xml:space="preserve">, Memorandum Opinion and Order, 10 FCC </w:t>
      </w:r>
      <w:r>
        <w:t>Rcd</w:t>
      </w:r>
      <w:r>
        <w:t xml:space="preserve"> 12631, 12633, para. 11 (1995) (noting in the context of a reasonable assurance of site availability issue that “[t]</w:t>
      </w:r>
      <w:r w:rsidRPr="00A315FD">
        <w:t>he Commission traditionally has been reluctant to become embroiled in zoning matters, believing that such issues are within the province of, and best resolved by, local land use authorities.</w:t>
      </w:r>
      <w:r>
        <w:t>”).</w:t>
      </w:r>
    </w:p>
  </w:footnote>
  <w:footnote w:id="48">
    <w:p w:rsidR="00AC2C94" w:rsidP="001663EB">
      <w:pPr>
        <w:pStyle w:val="FootnoteText"/>
        <w:spacing w:after="120"/>
      </w:pPr>
      <w:r>
        <w:rPr>
          <w:rStyle w:val="FootnoteReference"/>
        </w:rPr>
        <w:footnoteRef/>
      </w:r>
      <w:r>
        <w:t xml:space="preserve"> 47 CFR § 73.3615(b)(2).</w:t>
      </w:r>
    </w:p>
  </w:footnote>
  <w:footnote w:id="49">
    <w:p w:rsidR="00AC2C94" w:rsidP="001663EB">
      <w:pPr>
        <w:pStyle w:val="FootnoteText"/>
        <w:spacing w:after="120"/>
      </w:pPr>
      <w:r>
        <w:rPr>
          <w:rStyle w:val="FootnoteReference"/>
        </w:rPr>
        <w:footnoteRef/>
      </w:r>
      <w:r>
        <w:t xml:space="preserve"> KAZV Opposition at 8. </w:t>
      </w:r>
    </w:p>
  </w:footnote>
  <w:footnote w:id="50">
    <w:p w:rsidR="00AC2C94" w:rsidRPr="00C629D6" w:rsidP="001663EB">
      <w:pPr>
        <w:pStyle w:val="FootnoteText"/>
        <w:spacing w:after="120"/>
      </w:pPr>
      <w:r>
        <w:rPr>
          <w:rStyle w:val="FootnoteReference"/>
        </w:rPr>
        <w:footnoteRef/>
      </w:r>
      <w:r>
        <w:t xml:space="preserve"> </w:t>
      </w:r>
      <w:r>
        <w:rPr>
          <w:i/>
        </w:rPr>
        <w:t>Elimination of Main Studio Rule</w:t>
      </w:r>
      <w:r>
        <w:t xml:space="preserve">, </w:t>
      </w:r>
      <w:r w:rsidRPr="00C629D6">
        <w:t>82 FR 59987</w:t>
      </w:r>
      <w:r>
        <w:t xml:space="preserve"> (Dec. 18, 2017). </w:t>
      </w:r>
    </w:p>
  </w:footnote>
  <w:footnote w:id="51">
    <w:p w:rsidR="00AC2C94" w:rsidRPr="00F81BA3" w:rsidP="001663EB">
      <w:pPr>
        <w:pStyle w:val="FootnoteText"/>
        <w:spacing w:after="120"/>
        <w:rPr>
          <w:i/>
        </w:rPr>
      </w:pPr>
      <w:r>
        <w:rPr>
          <w:rStyle w:val="FootnoteReference"/>
        </w:rPr>
        <w:footnoteRef/>
      </w:r>
      <w:r>
        <w:t xml:space="preserve"> </w:t>
      </w:r>
      <w:r>
        <w:rPr>
          <w:i/>
        </w:rPr>
        <w:t>See, e.g., BVM Helping Hands</w:t>
      </w:r>
      <w:r>
        <w:t xml:space="preserve">, Memorandum Opinion and Order, 29 FCC </w:t>
      </w:r>
      <w:r>
        <w:t>Rcd</w:t>
      </w:r>
      <w:r>
        <w:t xml:space="preserve"> 6464, 6465, para. 4 (2014) (holding that the Bureau “properly declined to take adverse action based solely on an application’s earlier acceptability, when subsequent events [i.e., a change in applicable law] resulted in an acceptable application at the time of processing”); </w:t>
      </w:r>
      <w:r>
        <w:rPr>
          <w:i/>
        </w:rPr>
        <w:t>Hampton Roads Educational Telecommunications Association, Inc.</w:t>
      </w:r>
      <w:r>
        <w:t xml:space="preserve">, Memorandum Opinion and Order, 30 FCC </w:t>
      </w:r>
      <w:r>
        <w:t>Rcd</w:t>
      </w:r>
      <w:r>
        <w:t xml:space="preserve"> 14906 (MB 2015) (accepting a curative amendment based on changed law and circumstances).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2C94" w:rsidRPr="00AF09EC">
    <w:pPr>
      <w:pStyle w:val="Header"/>
      <w:tabs>
        <w:tab w:val="clear" w:pos="4320"/>
        <w:tab w:val="clear" w:pos="8640"/>
      </w:tabs>
      <w:spacing w:before="360" w:line="228" w:lineRule="auto"/>
      <w:jc w:val="center"/>
      <w:rPr>
        <w:b/>
        <w:sz w:val="22"/>
        <w:szCs w:val="22"/>
      </w:rPr>
    </w:pPr>
    <w:r>
      <w:rPr>
        <w:rFonts w:ascii="CG Times (W1)" w:hAnsi="CG Times (W1)"/>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592626493" r:id="rId2"/>
      </w:pict>
    </w:r>
    <w:r w:rsidRPr="00AF09EC">
      <w:rPr>
        <w:rFonts w:ascii="CG Times (W1)" w:hAnsi="CG Times (W1)"/>
        <w:b/>
        <w:sz w:val="22"/>
        <w:szCs w:val="22"/>
      </w:rPr>
      <w:t>Federal Communications Commission</w:t>
    </w:r>
  </w:p>
  <w:p w:rsidR="00AC2C94" w:rsidRPr="002E266F">
    <w:pPr>
      <w:jc w:val="center"/>
      <w:rPr>
        <w:rFonts w:ascii="CG Times (W1)" w:hAnsi="CG Times (W1)"/>
        <w:b/>
        <w:sz w:val="22"/>
        <w:szCs w:val="22"/>
      </w:rPr>
    </w:pPr>
    <w:r w:rsidRPr="002E266F">
      <w:rPr>
        <w:rFonts w:ascii="CG Times (W1)" w:hAnsi="CG Times (W1)"/>
        <w:b/>
        <w:sz w:val="22"/>
        <w:szCs w:val="22"/>
      </w:rPr>
      <w:t>Washington, D.C. 20554</w:t>
    </w:r>
  </w:p>
  <w:p w:rsidR="00AC2C94" w:rsidRPr="00AF09EC">
    <w:pPr>
      <w:jc w:val="center"/>
      <w:rPr>
        <w:sz w:val="22"/>
        <w:szCs w:val="22"/>
      </w:rPr>
    </w:pPr>
  </w:p>
  <w:p w:rsidR="00AC2C94" w:rsidRPr="009A77B5">
    <w:pPr>
      <w:pStyle w:val="Header"/>
      <w:tabs>
        <w:tab w:val="clear" w:pos="4320"/>
      </w:tabs>
      <w:jc w:val="center"/>
      <w:rPr>
        <w:sz w:val="22"/>
        <w:szCs w:val="22"/>
      </w:rPr>
    </w:pPr>
    <w:r>
      <w:rPr>
        <w:sz w:val="22"/>
        <w:szCs w:val="22"/>
      </w:rPr>
      <w:t>July 9,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5B37AF7"/>
    <w:multiLevelType w:val="hybridMultilevel"/>
    <w:tmpl w:val="DA2C5DF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
    <w:nsid w:val="64DF10CF"/>
    <w:multiLevelType w:val="hybridMultilevel"/>
    <w:tmpl w:val="FDB0F708"/>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Footnote Text Char Char,Footnote Text Char Char Char4 Char Char Char,Footnote Text Char1,Footnote Text Char1 Char,Footnote Text Char1 Char Char,Footnote Text Char4 Char1 Char Char Char,Footnote Text Char7 Char Char Char"/>
    <w:basedOn w:val="Normal"/>
    <w:link w:val="FootnoteTextChar2"/>
    <w:rsid w:val="008855E3"/>
  </w:style>
  <w:style w:type="character" w:styleId="FootnoteReference">
    <w:name w:val="footnote reference"/>
    <w:aliases w:val="(NECG) Footnote Reference,Appel note de bas de p,FR,Footnote Reference/,Style 12,Style 124,Style 13,Style 17,Style 3,Style 4,Style 6,fr,o"/>
    <w:rsid w:val="008855E3"/>
    <w:rPr>
      <w:vertAlign w:val="superscript"/>
    </w:rPr>
  </w:style>
  <w:style w:type="character" w:customStyle="1" w:styleId="FootnoteTextChar2">
    <w:name w:val="Footnote Text Char2"/>
    <w:aliases w:val="Footnote Text Char Char Char,Footnote Text Char Char Char4 Char Char Char Char,Footnote Text Char1 Char Char Char,Footnote Text Char1 Char1,Footnote Text Char4 Char1 Char Char Char Char,Footnote Text Char7 Char Char Char Char"/>
    <w:link w:val="FootnoteText"/>
    <w:rsid w:val="00321DA6"/>
    <w:rPr>
      <w:lang w:val="en-US" w:eastAsia="en-US" w:bidi="ar-SA"/>
    </w:rPr>
  </w:style>
  <w:style w:type="character" w:customStyle="1" w:styleId="FootnoteTextChar7CharCharCharCharCharChar">
    <w:name w:val="Footnote Text Char7 Char Char Char Char Char Char"/>
    <w:rsid w:val="00E54229"/>
    <w:rPr>
      <w:lang w:val="en-US" w:eastAsia="en-US" w:bidi="ar-SA"/>
    </w:rPr>
  </w:style>
  <w:style w:type="paragraph" w:styleId="BalloonText">
    <w:name w:val="Balloon Text"/>
    <w:basedOn w:val="Normal"/>
    <w:semiHidden/>
    <w:rsid w:val="004F410D"/>
    <w:rPr>
      <w:rFonts w:ascii="Tahoma" w:hAnsi="Tahoma" w:cs="Tahoma"/>
      <w:sz w:val="16"/>
      <w:szCs w:val="16"/>
    </w:rPr>
  </w:style>
  <w:style w:type="character" w:styleId="PageNumber">
    <w:name w:val="page number"/>
    <w:basedOn w:val="DefaultParagraphFont"/>
    <w:rsid w:val="00A704B2"/>
  </w:style>
  <w:style w:type="character" w:customStyle="1" w:styleId="documentbody">
    <w:name w:val="documentbody"/>
    <w:basedOn w:val="DefaultParagraphFont"/>
    <w:rsid w:val="009E2B5B"/>
  </w:style>
  <w:style w:type="character" w:styleId="Hyperlink">
    <w:name w:val="Hyperlink"/>
    <w:rsid w:val="00D642FE"/>
    <w:rPr>
      <w:color w:val="0000FF"/>
      <w:u w:val="single"/>
    </w:rPr>
  </w:style>
  <w:style w:type="character" w:customStyle="1" w:styleId="bodytext">
    <w:name w:val="bodytext"/>
    <w:basedOn w:val="DefaultParagraphFont"/>
    <w:rsid w:val="004F0AE5"/>
  </w:style>
  <w:style w:type="character" w:styleId="Strong">
    <w:name w:val="Strong"/>
    <w:qFormat/>
    <w:rsid w:val="00A34049"/>
    <w:rPr>
      <w:b/>
      <w:bCs/>
      <w:i w:val="0"/>
      <w:iCs w:val="0"/>
    </w:rPr>
  </w:style>
  <w:style w:type="paragraph" w:customStyle="1" w:styleId="ParaNum">
    <w:name w:val="ParaNum"/>
    <w:basedOn w:val="Normal"/>
    <w:link w:val="ParaNumChar"/>
    <w:rsid w:val="002D559E"/>
    <w:pPr>
      <w:widowControl w:val="0"/>
      <w:numPr>
        <w:numId w:val="1"/>
      </w:numPr>
      <w:spacing w:after="120"/>
    </w:pPr>
    <w:rPr>
      <w:snapToGrid w:val="0"/>
      <w:kern w:val="28"/>
      <w:sz w:val="22"/>
    </w:rPr>
  </w:style>
  <w:style w:type="character" w:customStyle="1" w:styleId="CharChar">
    <w:name w:val="Char Char"/>
    <w:semiHidden/>
    <w:rsid w:val="002D559E"/>
    <w:rPr>
      <w:lang w:val="en-US" w:eastAsia="en-US" w:bidi="ar-SA"/>
    </w:rPr>
  </w:style>
  <w:style w:type="character" w:styleId="Emphasis">
    <w:name w:val="Emphasis"/>
    <w:uiPriority w:val="20"/>
    <w:qFormat/>
    <w:rsid w:val="002F0BDF"/>
    <w:rPr>
      <w:i/>
      <w:iCs/>
    </w:rPr>
  </w:style>
  <w:style w:type="paragraph" w:customStyle="1" w:styleId="Default">
    <w:name w:val="Default"/>
    <w:rsid w:val="006700BF"/>
    <w:pPr>
      <w:autoSpaceDE w:val="0"/>
      <w:autoSpaceDN w:val="0"/>
      <w:adjustRightInd w:val="0"/>
    </w:pPr>
    <w:rPr>
      <w:color w:val="000000"/>
      <w:sz w:val="24"/>
      <w:szCs w:val="24"/>
    </w:rPr>
  </w:style>
  <w:style w:type="character" w:styleId="CommentReference">
    <w:name w:val="annotation reference"/>
    <w:rsid w:val="009C428B"/>
    <w:rPr>
      <w:sz w:val="16"/>
      <w:szCs w:val="16"/>
    </w:rPr>
  </w:style>
  <w:style w:type="paragraph" w:styleId="CommentText">
    <w:name w:val="annotation text"/>
    <w:basedOn w:val="Normal"/>
    <w:link w:val="CommentTextChar"/>
    <w:rsid w:val="009C428B"/>
  </w:style>
  <w:style w:type="character" w:customStyle="1" w:styleId="CommentTextChar">
    <w:name w:val="Comment Text Char"/>
    <w:basedOn w:val="DefaultParagraphFont"/>
    <w:link w:val="CommentText"/>
    <w:rsid w:val="009C428B"/>
  </w:style>
  <w:style w:type="paragraph" w:styleId="CommentSubject">
    <w:name w:val="annotation subject"/>
    <w:basedOn w:val="CommentText"/>
    <w:next w:val="CommentText"/>
    <w:link w:val="CommentSubjectChar"/>
    <w:rsid w:val="009C428B"/>
    <w:rPr>
      <w:b/>
      <w:bCs/>
    </w:rPr>
  </w:style>
  <w:style w:type="character" w:customStyle="1" w:styleId="CommentSubjectChar">
    <w:name w:val="Comment Subject Char"/>
    <w:link w:val="CommentSubject"/>
    <w:rsid w:val="009C428B"/>
    <w:rPr>
      <w:b/>
      <w:bCs/>
    </w:rPr>
  </w:style>
  <w:style w:type="character" w:styleId="FollowedHyperlink">
    <w:name w:val="FollowedHyperlink"/>
    <w:rsid w:val="00D415BF"/>
    <w:rPr>
      <w:color w:val="800080"/>
      <w:u w:val="single"/>
    </w:rPr>
  </w:style>
  <w:style w:type="paragraph" w:styleId="Revision">
    <w:name w:val="Revision"/>
    <w:hidden/>
    <w:uiPriority w:val="99"/>
    <w:semiHidden/>
    <w:rsid w:val="009E4867"/>
  </w:style>
  <w:style w:type="character" w:customStyle="1" w:styleId="emphi">
    <w:name w:val="emphi"/>
    <w:rsid w:val="00671B39"/>
  </w:style>
  <w:style w:type="character" w:customStyle="1" w:styleId="displayhltext">
    <w:name w:val="display_hl_text"/>
    <w:rsid w:val="004C2A69"/>
  </w:style>
  <w:style w:type="character" w:customStyle="1" w:styleId="FootnoteTextChar2Char">
    <w:name w:val="Footnote Text Char2 Char"/>
    <w:aliases w:val="Footnote Text Char Char Char Char,Footnote Text Char Char Char Char Char Char Char,Footnote Text Char1 Char1 Char Char1 Char Char,Footnote Text Char2 Char Char1 Char Char"/>
    <w:rsid w:val="002C779B"/>
  </w:style>
  <w:style w:type="character" w:customStyle="1" w:styleId="searchterm">
    <w:name w:val="searchterm"/>
    <w:rsid w:val="002C779B"/>
  </w:style>
  <w:style w:type="character" w:customStyle="1" w:styleId="ParaNumChar">
    <w:name w:val="ParaNum Char"/>
    <w:link w:val="ParaNum"/>
    <w:rsid w:val="002C779B"/>
    <w:rPr>
      <w:snapToGrid w:val="0"/>
      <w:kern w:val="28"/>
      <w:sz w:val="22"/>
    </w:rPr>
  </w:style>
  <w:style w:type="character" w:customStyle="1" w:styleId="UnresolvedMention">
    <w:name w:val="Unresolved Mention"/>
    <w:uiPriority w:val="99"/>
    <w:semiHidden/>
    <w:unhideWhenUsed/>
    <w:rsid w:val="0010197B"/>
    <w:rPr>
      <w:color w:val="808080"/>
      <w:shd w:val="clear" w:color="auto" w:fill="E6E6E6"/>
    </w:rPr>
  </w:style>
  <w:style w:type="paragraph" w:styleId="EndnoteText">
    <w:name w:val="endnote text"/>
    <w:basedOn w:val="Normal"/>
    <w:link w:val="EndnoteTextChar"/>
    <w:rsid w:val="005F7D8E"/>
  </w:style>
  <w:style w:type="character" w:customStyle="1" w:styleId="EndnoteTextChar">
    <w:name w:val="Endnote Text Char"/>
    <w:basedOn w:val="DefaultParagraphFont"/>
    <w:link w:val="EndnoteText"/>
    <w:rsid w:val="005F7D8E"/>
  </w:style>
  <w:style w:type="character" w:styleId="EndnoteReference">
    <w:name w:val="endnote reference"/>
    <w:rsid w:val="005F7D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javascript:top.docjs.prev_hit(3)" TargetMode="External" /><Relationship Id="rId6" Type="http://schemas.openxmlformats.org/officeDocument/2006/relationships/image" Target="media/image1.png" /><Relationship Id="rId7" Type="http://schemas.openxmlformats.org/officeDocument/2006/relationships/image" Target="http://telecomlaw.bna.com/terc/images/prev_hit.gif" TargetMode="External" /><Relationship Id="rId8" Type="http://schemas.openxmlformats.org/officeDocument/2006/relationships/hyperlink" Target="javascript:top.docjs.next_hit(3)" TargetMode="External" /><Relationship Id="rId9" Type="http://schemas.openxmlformats.org/officeDocument/2006/relationships/image" Target="http://telecomlaw.bna.com/terc/images/next_hit.gi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