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A7587" w:rsidRPr="00B91E8A" w:rsidP="005A1CF0">
      <w:pPr>
        <w:tabs>
          <w:tab w:val="left" w:pos="6480"/>
        </w:tabs>
        <w:ind w:left="5760" w:firstLine="720"/>
        <w:rPr>
          <w:b/>
          <w:sz w:val="22"/>
          <w:szCs w:val="22"/>
        </w:rPr>
      </w:pPr>
      <w:r w:rsidRPr="00B91E8A">
        <w:rPr>
          <w:b/>
          <w:sz w:val="22"/>
          <w:szCs w:val="22"/>
        </w:rPr>
        <w:t>DA 18-</w:t>
      </w:r>
      <w:r w:rsidR="00322E71">
        <w:rPr>
          <w:b/>
          <w:sz w:val="22"/>
          <w:szCs w:val="22"/>
        </w:rPr>
        <w:t>729</w:t>
      </w:r>
    </w:p>
    <w:p w:rsidR="00AA7677" w:rsidP="005A1CF0">
      <w:pPr>
        <w:tabs>
          <w:tab w:val="left" w:pos="6480"/>
        </w:tabs>
        <w:ind w:left="5760" w:firstLine="720"/>
        <w:rPr>
          <w:sz w:val="22"/>
          <w:szCs w:val="22"/>
        </w:rPr>
      </w:pPr>
      <w:r w:rsidRPr="00B91E8A">
        <w:rPr>
          <w:b/>
          <w:sz w:val="22"/>
          <w:szCs w:val="22"/>
        </w:rPr>
        <w:t xml:space="preserve">Released:  </w:t>
      </w:r>
      <w:r w:rsidR="00657A97">
        <w:rPr>
          <w:b/>
          <w:sz w:val="22"/>
          <w:szCs w:val="22"/>
        </w:rPr>
        <w:t>July</w:t>
      </w:r>
      <w:r w:rsidRPr="00B91E8A">
        <w:rPr>
          <w:b/>
          <w:sz w:val="22"/>
          <w:szCs w:val="22"/>
        </w:rPr>
        <w:t xml:space="preserve"> </w:t>
      </w:r>
      <w:r w:rsidR="00322E71">
        <w:rPr>
          <w:b/>
          <w:sz w:val="22"/>
          <w:szCs w:val="22"/>
        </w:rPr>
        <w:t>13</w:t>
      </w:r>
      <w:r w:rsidRPr="00B91E8A">
        <w:rPr>
          <w:b/>
          <w:sz w:val="22"/>
          <w:szCs w:val="22"/>
        </w:rPr>
        <w:t>, 2018</w:t>
      </w:r>
    </w:p>
    <w:p w:rsidR="004A7587" w:rsidP="005A1CF0">
      <w:pPr>
        <w:tabs>
          <w:tab w:val="left" w:pos="6480"/>
        </w:tabs>
        <w:ind w:left="5760" w:firstLine="720"/>
        <w:rPr>
          <w:sz w:val="22"/>
          <w:szCs w:val="22"/>
        </w:rPr>
      </w:pPr>
    </w:p>
    <w:p w:rsidR="004A7587" w:rsidP="005A1CF0">
      <w:pPr>
        <w:tabs>
          <w:tab w:val="left" w:pos="6480"/>
        </w:tabs>
        <w:ind w:left="5760" w:firstLine="720"/>
        <w:rPr>
          <w:sz w:val="22"/>
          <w:szCs w:val="22"/>
        </w:rPr>
      </w:pPr>
    </w:p>
    <w:p w:rsidR="005A1CF0" w:rsidRPr="00826CB1" w:rsidP="005A1CF0">
      <w:pPr>
        <w:tabs>
          <w:tab w:val="left" w:pos="6480"/>
        </w:tabs>
        <w:ind w:left="5760" w:firstLine="720"/>
        <w:rPr>
          <w:sz w:val="22"/>
          <w:szCs w:val="22"/>
        </w:rPr>
      </w:pPr>
      <w:r w:rsidRPr="00826CB1">
        <w:rPr>
          <w:sz w:val="22"/>
          <w:szCs w:val="22"/>
        </w:rPr>
        <w:t>In Reply Refer To:</w:t>
      </w:r>
    </w:p>
    <w:p w:rsidR="005A1CF0" w:rsidRPr="001330FC" w:rsidP="005A1CF0">
      <w:pPr>
        <w:tabs>
          <w:tab w:val="left" w:pos="6480"/>
        </w:tabs>
        <w:ind w:firstLine="720"/>
        <w:rPr>
          <w:sz w:val="20"/>
        </w:rPr>
      </w:pPr>
      <w:r w:rsidRPr="00826CB1">
        <w:rPr>
          <w:sz w:val="22"/>
          <w:szCs w:val="22"/>
        </w:rPr>
        <w:tab/>
        <w:t>1800B3</w:t>
      </w:r>
      <w:r w:rsidR="00141F4C">
        <w:rPr>
          <w:sz w:val="22"/>
          <w:szCs w:val="22"/>
        </w:rPr>
        <w:t>-</w:t>
      </w:r>
      <w:r w:rsidR="00D33E23">
        <w:rPr>
          <w:sz w:val="22"/>
          <w:szCs w:val="22"/>
        </w:rPr>
        <w:t>TSN</w:t>
      </w:r>
      <w:r w:rsidRPr="001330FC">
        <w:rPr>
          <w:sz w:val="20"/>
        </w:rPr>
        <w:t xml:space="preserve"> </w:t>
      </w:r>
    </w:p>
    <w:p w:rsidR="005A1CF0" w:rsidRPr="00826CB1" w:rsidP="005A1CF0">
      <w:pPr>
        <w:tabs>
          <w:tab w:val="left" w:pos="6480"/>
        </w:tabs>
        <w:ind w:firstLine="720"/>
        <w:rPr>
          <w:sz w:val="22"/>
          <w:szCs w:val="22"/>
        </w:rPr>
      </w:pPr>
      <w:r w:rsidRPr="001330FC">
        <w:rPr>
          <w:sz w:val="20"/>
        </w:rPr>
        <w:tab/>
      </w:r>
    </w:p>
    <w:p w:rsidR="005A1CF0" w:rsidRPr="00BF6E82" w:rsidP="005A1CF0">
      <w:pPr>
        <w:tabs>
          <w:tab w:val="left" w:pos="6480"/>
        </w:tabs>
        <w:rPr>
          <w:b/>
          <w:sz w:val="20"/>
          <w:u w:val="single"/>
        </w:rPr>
      </w:pPr>
    </w:p>
    <w:p w:rsidR="00422DD5" w:rsidP="00422DD5">
      <w:pPr>
        <w:rPr>
          <w:sz w:val="22"/>
          <w:szCs w:val="22"/>
        </w:rPr>
      </w:pPr>
      <w:r>
        <w:rPr>
          <w:sz w:val="22"/>
          <w:szCs w:val="22"/>
        </w:rPr>
        <w:t>Center for International Media Action</w:t>
      </w:r>
    </w:p>
    <w:p w:rsidR="00D33E23" w:rsidP="005A1CF0">
      <w:pPr>
        <w:rPr>
          <w:sz w:val="22"/>
          <w:szCs w:val="22"/>
        </w:rPr>
      </w:pPr>
      <w:r>
        <w:rPr>
          <w:sz w:val="22"/>
          <w:szCs w:val="22"/>
        </w:rPr>
        <w:t>Common Frequency, Inc.</w:t>
      </w:r>
    </w:p>
    <w:p w:rsidR="004447E3" w:rsidP="005A1CF0">
      <w:pPr>
        <w:rPr>
          <w:sz w:val="22"/>
          <w:szCs w:val="22"/>
        </w:rPr>
      </w:pPr>
      <w:r>
        <w:rPr>
          <w:sz w:val="22"/>
          <w:szCs w:val="22"/>
        </w:rPr>
        <w:t>Prometheus Radio Project</w:t>
      </w:r>
    </w:p>
    <w:p w:rsidR="004447E3" w:rsidP="005A1CF0">
      <w:pPr>
        <w:rPr>
          <w:sz w:val="22"/>
          <w:szCs w:val="22"/>
        </w:rPr>
      </w:pPr>
      <w:r>
        <w:rPr>
          <w:sz w:val="22"/>
          <w:szCs w:val="22"/>
        </w:rPr>
        <w:t>P.O. Box 42158</w:t>
      </w:r>
    </w:p>
    <w:p w:rsidR="004447E3" w:rsidRPr="00BD68B0" w:rsidP="005A1CF0">
      <w:pPr>
        <w:rPr>
          <w:sz w:val="22"/>
          <w:szCs w:val="22"/>
        </w:rPr>
      </w:pPr>
      <w:r>
        <w:rPr>
          <w:sz w:val="22"/>
          <w:szCs w:val="22"/>
        </w:rPr>
        <w:t>Philadelphia, PA  19101</w:t>
      </w:r>
    </w:p>
    <w:p w:rsidR="005A1CF0" w:rsidRPr="00D76F8A" w:rsidP="005A1CF0">
      <w:pPr>
        <w:rPr>
          <w:sz w:val="22"/>
          <w:szCs w:val="22"/>
        </w:rPr>
      </w:pPr>
    </w:p>
    <w:p w:rsidR="00877D93" w:rsidRPr="00D76F8A" w:rsidP="009A2BD0">
      <w:pPr>
        <w:tabs>
          <w:tab w:val="left" w:pos="4680"/>
          <w:tab w:val="left" w:pos="4860"/>
          <w:tab w:val="left" w:pos="5400"/>
        </w:tabs>
        <w:rPr>
          <w:b/>
          <w:sz w:val="22"/>
          <w:szCs w:val="22"/>
        </w:rPr>
      </w:pPr>
      <w:r w:rsidRPr="00D76F8A">
        <w:rPr>
          <w:sz w:val="22"/>
          <w:szCs w:val="22"/>
        </w:rPr>
        <w:tab/>
      </w:r>
      <w:r w:rsidR="00F95653">
        <w:rPr>
          <w:b/>
          <w:sz w:val="22"/>
          <w:szCs w:val="22"/>
        </w:rPr>
        <w:t>In re:</w:t>
      </w:r>
      <w:r w:rsidR="00F95653">
        <w:rPr>
          <w:b/>
          <w:sz w:val="22"/>
          <w:szCs w:val="22"/>
        </w:rPr>
        <w:tab/>
      </w:r>
      <w:r w:rsidR="004447E3">
        <w:rPr>
          <w:rStyle w:val="Style2"/>
        </w:rPr>
        <w:t>“All Pending Translator Applications”</w:t>
      </w:r>
    </w:p>
    <w:p w:rsidR="005834B6" w:rsidP="00422DD5">
      <w:pPr>
        <w:tabs>
          <w:tab w:val="left" w:pos="5400"/>
        </w:tabs>
        <w:ind w:left="720"/>
        <w:rPr>
          <w:sz w:val="22"/>
          <w:szCs w:val="22"/>
        </w:rPr>
      </w:pPr>
      <w:r>
        <w:rPr>
          <w:sz w:val="22"/>
          <w:szCs w:val="22"/>
        </w:rPr>
        <w:tab/>
      </w:r>
    </w:p>
    <w:p w:rsidR="0062554B" w:rsidRPr="0062554B" w:rsidP="0062554B">
      <w:pPr>
        <w:tabs>
          <w:tab w:val="left" w:pos="4680"/>
          <w:tab w:val="left" w:pos="5040"/>
        </w:tabs>
        <w:ind w:left="5400"/>
        <w:rPr>
          <w:b/>
          <w:sz w:val="22"/>
        </w:rPr>
      </w:pPr>
      <w:r>
        <w:rPr>
          <w:rStyle w:val="Style2"/>
        </w:rPr>
        <w:t>Petition for Reconsideration</w:t>
      </w:r>
    </w:p>
    <w:p w:rsidR="005A1CF0" w:rsidRPr="005D407D" w:rsidP="005A1CF0">
      <w:pPr>
        <w:tabs>
          <w:tab w:val="left" w:pos="4680"/>
          <w:tab w:val="left" w:pos="5040"/>
        </w:tabs>
        <w:rPr>
          <w:sz w:val="22"/>
          <w:szCs w:val="22"/>
        </w:rPr>
      </w:pPr>
      <w:r w:rsidRPr="005D407D">
        <w:rPr>
          <w:sz w:val="22"/>
          <w:szCs w:val="22"/>
        </w:rPr>
        <w:tab/>
      </w:r>
      <w:r w:rsidRPr="005D407D">
        <w:rPr>
          <w:sz w:val="22"/>
          <w:szCs w:val="22"/>
        </w:rPr>
        <w:tab/>
      </w:r>
    </w:p>
    <w:p w:rsidR="005A1CF0" w:rsidRPr="005D407D" w:rsidP="005A1CF0">
      <w:pPr>
        <w:tabs>
          <w:tab w:val="left" w:pos="6840"/>
        </w:tabs>
        <w:rPr>
          <w:sz w:val="22"/>
          <w:szCs w:val="22"/>
        </w:rPr>
      </w:pPr>
      <w:r w:rsidRPr="005D407D">
        <w:rPr>
          <w:sz w:val="22"/>
          <w:szCs w:val="22"/>
        </w:rPr>
        <w:t xml:space="preserve"> Dear</w:t>
      </w:r>
      <w:r w:rsidR="00003CBA">
        <w:rPr>
          <w:sz w:val="22"/>
          <w:szCs w:val="22"/>
        </w:rPr>
        <w:t xml:space="preserve"> </w:t>
      </w:r>
      <w:r w:rsidR="004447E3">
        <w:rPr>
          <w:sz w:val="22"/>
          <w:szCs w:val="22"/>
        </w:rPr>
        <w:t>Objectors</w:t>
      </w:r>
      <w:r w:rsidR="004B00BF">
        <w:rPr>
          <w:sz w:val="22"/>
          <w:szCs w:val="22"/>
        </w:rPr>
        <w:t>:</w:t>
      </w:r>
    </w:p>
    <w:p w:rsidR="005A1CF0" w:rsidRPr="005D407D" w:rsidP="005A1CF0">
      <w:pPr>
        <w:tabs>
          <w:tab w:val="left" w:pos="4680"/>
          <w:tab w:val="left" w:pos="5337"/>
        </w:tabs>
        <w:rPr>
          <w:sz w:val="22"/>
          <w:szCs w:val="22"/>
        </w:rPr>
      </w:pPr>
    </w:p>
    <w:p w:rsidR="005A1CF0" w:rsidP="005A1CF0">
      <w:pPr>
        <w:ind w:firstLine="720"/>
        <w:rPr>
          <w:sz w:val="22"/>
          <w:szCs w:val="22"/>
        </w:rPr>
      </w:pPr>
      <w:r>
        <w:rPr>
          <w:sz w:val="22"/>
          <w:szCs w:val="22"/>
        </w:rPr>
        <w:t>Center for International Media Action, Common Frequency, Inc., and Prometheus Radio Project (collectively “Objectors”) have</w:t>
      </w:r>
      <w:r w:rsidR="003818C1">
        <w:rPr>
          <w:sz w:val="22"/>
          <w:szCs w:val="22"/>
        </w:rPr>
        <w:t xml:space="preserve"> filed</w:t>
      </w:r>
      <w:r w:rsidR="00AB7FB8">
        <w:rPr>
          <w:sz w:val="22"/>
          <w:szCs w:val="22"/>
        </w:rPr>
        <w:t xml:space="preserve"> Petition</w:t>
      </w:r>
      <w:r w:rsidR="003818C1">
        <w:rPr>
          <w:sz w:val="22"/>
          <w:szCs w:val="22"/>
        </w:rPr>
        <w:t>s</w:t>
      </w:r>
      <w:r w:rsidR="00AB7FB8">
        <w:rPr>
          <w:sz w:val="22"/>
          <w:szCs w:val="22"/>
        </w:rPr>
        <w:t xml:space="preserve"> for Reconsideration</w:t>
      </w:r>
      <w:r>
        <w:rPr>
          <w:sz w:val="22"/>
          <w:szCs w:val="22"/>
        </w:rPr>
        <w:t xml:space="preserve"> </w:t>
      </w:r>
      <w:r w:rsidR="00746B11">
        <w:rPr>
          <w:sz w:val="22"/>
          <w:szCs w:val="22"/>
        </w:rPr>
        <w:t>(</w:t>
      </w:r>
      <w:r w:rsidR="00B470D2">
        <w:rPr>
          <w:sz w:val="22"/>
          <w:szCs w:val="22"/>
        </w:rPr>
        <w:t>collectively “</w:t>
      </w:r>
      <w:r w:rsidR="001044DE">
        <w:rPr>
          <w:sz w:val="22"/>
          <w:szCs w:val="22"/>
        </w:rPr>
        <w:t>Petition</w:t>
      </w:r>
      <w:r w:rsidR="00B470D2">
        <w:rPr>
          <w:sz w:val="22"/>
          <w:szCs w:val="22"/>
        </w:rPr>
        <w:t>s”</w:t>
      </w:r>
      <w:r w:rsidR="00746B11">
        <w:rPr>
          <w:sz w:val="22"/>
          <w:szCs w:val="22"/>
        </w:rPr>
        <w:t>)</w:t>
      </w:r>
      <w:r w:rsidR="00AB7FB8">
        <w:rPr>
          <w:sz w:val="22"/>
          <w:szCs w:val="22"/>
        </w:rPr>
        <w:t xml:space="preserve"> </w:t>
      </w:r>
      <w:r w:rsidR="0098750D">
        <w:rPr>
          <w:sz w:val="22"/>
          <w:szCs w:val="22"/>
        </w:rPr>
        <w:t>of</w:t>
      </w:r>
      <w:r>
        <w:rPr>
          <w:sz w:val="22"/>
          <w:szCs w:val="22"/>
        </w:rPr>
        <w:t xml:space="preserve"> </w:t>
      </w:r>
      <w:r w:rsidR="00AB7FB8">
        <w:rPr>
          <w:sz w:val="22"/>
          <w:szCs w:val="22"/>
        </w:rPr>
        <w:t>the</w:t>
      </w:r>
      <w:r w:rsidR="0098750D">
        <w:rPr>
          <w:sz w:val="22"/>
          <w:szCs w:val="22"/>
        </w:rPr>
        <w:t xml:space="preserve"> Media Bureau’s</w:t>
      </w:r>
      <w:r w:rsidR="00AB7FB8">
        <w:rPr>
          <w:sz w:val="22"/>
          <w:szCs w:val="22"/>
        </w:rPr>
        <w:t xml:space="preserve"> </w:t>
      </w:r>
      <w:r w:rsidR="0098750D">
        <w:rPr>
          <w:sz w:val="22"/>
          <w:szCs w:val="22"/>
        </w:rPr>
        <w:t xml:space="preserve">(Bureau) </w:t>
      </w:r>
      <w:r w:rsidR="00AB7FB8">
        <w:rPr>
          <w:sz w:val="22"/>
          <w:szCs w:val="22"/>
        </w:rPr>
        <w:t xml:space="preserve">June 8, 2018, </w:t>
      </w:r>
      <w:r w:rsidRPr="00657A97" w:rsidR="00AB7FB8">
        <w:rPr>
          <w:i/>
          <w:sz w:val="22"/>
          <w:szCs w:val="22"/>
        </w:rPr>
        <w:t>Letter Decision</w:t>
      </w:r>
      <w:r w:rsidR="00AB7FB8">
        <w:rPr>
          <w:sz w:val="22"/>
          <w:szCs w:val="22"/>
        </w:rPr>
        <w:t xml:space="preserve"> dismissing, a</w:t>
      </w:r>
      <w:bookmarkStart w:id="0" w:name="_GoBack"/>
      <w:bookmarkEnd w:id="0"/>
      <w:r w:rsidR="00AB7FB8">
        <w:rPr>
          <w:sz w:val="22"/>
          <w:szCs w:val="22"/>
        </w:rPr>
        <w:t>nd alternatively denying, Objectors’ informal objections (Objections) to 994 pending translator applications.</w:t>
      </w:r>
      <w:r>
        <w:rPr>
          <w:rStyle w:val="FootnoteReference"/>
          <w:szCs w:val="22"/>
        </w:rPr>
        <w:footnoteReference w:id="2"/>
      </w:r>
      <w:r w:rsidR="00AB7FB8">
        <w:rPr>
          <w:sz w:val="22"/>
          <w:szCs w:val="22"/>
        </w:rPr>
        <w:t xml:space="preserve">  Objectors seek reconsideration of the </w:t>
      </w:r>
      <w:r w:rsidRPr="00657A97" w:rsidR="00AB7FB8">
        <w:rPr>
          <w:i/>
          <w:sz w:val="22"/>
          <w:szCs w:val="22"/>
        </w:rPr>
        <w:t>Letter Decision</w:t>
      </w:r>
      <w:r w:rsidR="00AB7FB8">
        <w:rPr>
          <w:sz w:val="22"/>
          <w:szCs w:val="22"/>
        </w:rPr>
        <w:t xml:space="preserve"> as to </w:t>
      </w:r>
      <w:r w:rsidR="001044DE">
        <w:rPr>
          <w:sz w:val="22"/>
          <w:szCs w:val="22"/>
        </w:rPr>
        <w:t>328</w:t>
      </w:r>
      <w:r>
        <w:rPr>
          <w:sz w:val="22"/>
          <w:szCs w:val="22"/>
        </w:rPr>
        <w:t xml:space="preserve"> </w:t>
      </w:r>
      <w:r w:rsidR="00AB7FB8">
        <w:rPr>
          <w:sz w:val="22"/>
          <w:szCs w:val="22"/>
        </w:rPr>
        <w:t>of the</w:t>
      </w:r>
      <w:r>
        <w:rPr>
          <w:sz w:val="22"/>
          <w:szCs w:val="22"/>
        </w:rPr>
        <w:t xml:space="preserve"> FM translator application</w:t>
      </w:r>
      <w:r w:rsidR="00AB7FB8">
        <w:rPr>
          <w:sz w:val="22"/>
          <w:szCs w:val="22"/>
        </w:rPr>
        <w:t>s</w:t>
      </w:r>
      <w:r>
        <w:rPr>
          <w:sz w:val="22"/>
          <w:szCs w:val="22"/>
        </w:rPr>
        <w:t xml:space="preserve"> </w:t>
      </w:r>
      <w:r w:rsidR="00AB7FB8">
        <w:rPr>
          <w:sz w:val="22"/>
          <w:szCs w:val="22"/>
        </w:rPr>
        <w:t>to which they originally objected</w:t>
      </w:r>
      <w:r w:rsidR="003B4DD0">
        <w:rPr>
          <w:sz w:val="22"/>
          <w:szCs w:val="22"/>
        </w:rPr>
        <w:t>.</w:t>
      </w:r>
      <w:r>
        <w:rPr>
          <w:rStyle w:val="FootnoteReference"/>
          <w:szCs w:val="22"/>
        </w:rPr>
        <w:footnoteReference w:id="3"/>
      </w:r>
      <w:r w:rsidR="003B4DD0">
        <w:rPr>
          <w:sz w:val="22"/>
          <w:szCs w:val="22"/>
        </w:rPr>
        <w:t xml:space="preserve">  </w:t>
      </w:r>
      <w:r w:rsidR="00B470D2">
        <w:rPr>
          <w:sz w:val="22"/>
          <w:szCs w:val="22"/>
        </w:rPr>
        <w:t>We dismiss all the Petitions e</w:t>
      </w:r>
      <w:r w:rsidR="00AB7FB8">
        <w:rPr>
          <w:sz w:val="22"/>
          <w:szCs w:val="22"/>
        </w:rPr>
        <w:t xml:space="preserve">xcept </w:t>
      </w:r>
      <w:r w:rsidR="007F6FD9">
        <w:rPr>
          <w:sz w:val="22"/>
          <w:szCs w:val="22"/>
        </w:rPr>
        <w:t>one</w:t>
      </w:r>
      <w:r w:rsidR="00746B11">
        <w:rPr>
          <w:sz w:val="22"/>
          <w:szCs w:val="22"/>
        </w:rPr>
        <w:t>.</w:t>
      </w:r>
    </w:p>
    <w:p w:rsidR="00746B11" w:rsidP="005A1CF0">
      <w:pPr>
        <w:ind w:firstLine="720"/>
        <w:rPr>
          <w:sz w:val="22"/>
          <w:szCs w:val="22"/>
        </w:rPr>
      </w:pPr>
    </w:p>
    <w:p w:rsidR="00270701" w:rsidP="001C3573">
      <w:pPr>
        <w:widowControl/>
        <w:ind w:firstLine="720"/>
        <w:rPr>
          <w:sz w:val="22"/>
          <w:szCs w:val="22"/>
        </w:rPr>
      </w:pPr>
      <w:r w:rsidRPr="000C6CBF">
        <w:rPr>
          <w:b/>
          <w:sz w:val="22"/>
          <w:szCs w:val="22"/>
        </w:rPr>
        <w:t>Background.</w:t>
      </w:r>
      <w:r>
        <w:rPr>
          <w:sz w:val="22"/>
          <w:szCs w:val="22"/>
        </w:rPr>
        <w:t xml:space="preserve">  </w:t>
      </w:r>
      <w:r w:rsidR="00AB7FB8">
        <w:rPr>
          <w:sz w:val="22"/>
          <w:szCs w:val="22"/>
        </w:rPr>
        <w:t>The</w:t>
      </w:r>
      <w:r w:rsidR="00790FCF">
        <w:rPr>
          <w:sz w:val="22"/>
          <w:szCs w:val="22"/>
        </w:rPr>
        <w:t xml:space="preserve"> Objection</w:t>
      </w:r>
      <w:r w:rsidR="00AB7FB8">
        <w:rPr>
          <w:sz w:val="22"/>
          <w:szCs w:val="22"/>
        </w:rPr>
        <w:t>s</w:t>
      </w:r>
      <w:r w:rsidR="00790FCF">
        <w:rPr>
          <w:sz w:val="22"/>
          <w:szCs w:val="22"/>
        </w:rPr>
        <w:t xml:space="preserve"> </w:t>
      </w:r>
      <w:r w:rsidR="00AB7FB8">
        <w:rPr>
          <w:sz w:val="22"/>
          <w:szCs w:val="22"/>
        </w:rPr>
        <w:t>were</w:t>
      </w:r>
      <w:r w:rsidR="00790FCF">
        <w:rPr>
          <w:sz w:val="22"/>
          <w:szCs w:val="22"/>
        </w:rPr>
        <w:t xml:space="preserve"> filed against</w:t>
      </w:r>
      <w:r w:rsidR="0046546C">
        <w:rPr>
          <w:sz w:val="22"/>
          <w:szCs w:val="22"/>
        </w:rPr>
        <w:t xml:space="preserve"> </w:t>
      </w:r>
      <w:r w:rsidR="0098750D">
        <w:rPr>
          <w:sz w:val="22"/>
          <w:szCs w:val="22"/>
        </w:rPr>
        <w:t>994 FM translator applications that were pending</w:t>
      </w:r>
      <w:r w:rsidR="0046546C">
        <w:rPr>
          <w:sz w:val="22"/>
          <w:szCs w:val="22"/>
        </w:rPr>
        <w:t xml:space="preserve"> as of </w:t>
      </w:r>
      <w:r w:rsidR="00790FCF">
        <w:rPr>
          <w:sz w:val="22"/>
          <w:szCs w:val="22"/>
        </w:rPr>
        <w:t xml:space="preserve">the </w:t>
      </w:r>
      <w:r w:rsidR="0046546C">
        <w:rPr>
          <w:sz w:val="22"/>
          <w:szCs w:val="22"/>
        </w:rPr>
        <w:t>May 16, 2018,</w:t>
      </w:r>
      <w:r w:rsidR="00AB7FB8">
        <w:rPr>
          <w:sz w:val="22"/>
          <w:szCs w:val="22"/>
        </w:rPr>
        <w:t xml:space="preserve"> </w:t>
      </w:r>
      <w:r w:rsidR="0098750D">
        <w:rPr>
          <w:sz w:val="22"/>
          <w:szCs w:val="22"/>
        </w:rPr>
        <w:t xml:space="preserve">Objections </w:t>
      </w:r>
      <w:r w:rsidR="00AB7FB8">
        <w:rPr>
          <w:sz w:val="22"/>
          <w:szCs w:val="22"/>
        </w:rPr>
        <w:t>filing date</w:t>
      </w:r>
      <w:r w:rsidR="0046546C">
        <w:rPr>
          <w:sz w:val="22"/>
          <w:szCs w:val="22"/>
        </w:rPr>
        <w:t>.</w:t>
      </w:r>
      <w:r>
        <w:rPr>
          <w:rStyle w:val="FootnoteReference"/>
          <w:szCs w:val="22"/>
        </w:rPr>
        <w:footnoteReference w:id="4"/>
      </w:r>
      <w:r w:rsidR="0046546C">
        <w:rPr>
          <w:sz w:val="22"/>
          <w:szCs w:val="22"/>
        </w:rPr>
        <w:t xml:space="preserve">  </w:t>
      </w:r>
      <w:r w:rsidR="004349E1">
        <w:rPr>
          <w:sz w:val="22"/>
          <w:szCs w:val="22"/>
        </w:rPr>
        <w:t>Objectors argue</w:t>
      </w:r>
      <w:r w:rsidR="00AB7FB8">
        <w:rPr>
          <w:sz w:val="22"/>
          <w:szCs w:val="22"/>
        </w:rPr>
        <w:t>d</w:t>
      </w:r>
      <w:r w:rsidR="004349E1">
        <w:rPr>
          <w:sz w:val="22"/>
          <w:szCs w:val="22"/>
        </w:rPr>
        <w:t xml:space="preserve"> that </w:t>
      </w:r>
      <w:r w:rsidR="0098750D">
        <w:rPr>
          <w:sz w:val="22"/>
          <w:szCs w:val="22"/>
        </w:rPr>
        <w:t>the pending FM translator applications did not ensure filing opportunities for low-power FM (LPFM) stations, pursuant to Section 5 of the Local Community Radio Act of 2010</w:t>
      </w:r>
      <w:r w:rsidR="00975CD1">
        <w:rPr>
          <w:sz w:val="22"/>
          <w:szCs w:val="22"/>
        </w:rPr>
        <w:t>.</w:t>
      </w:r>
      <w:r>
        <w:rPr>
          <w:rStyle w:val="FootnoteReference"/>
          <w:szCs w:val="22"/>
        </w:rPr>
        <w:footnoteReference w:id="5"/>
      </w:r>
      <w:r w:rsidR="00544604">
        <w:rPr>
          <w:sz w:val="22"/>
          <w:szCs w:val="22"/>
        </w:rPr>
        <w:t xml:space="preserve"> </w:t>
      </w:r>
      <w:r w:rsidR="00B36CB2">
        <w:rPr>
          <w:sz w:val="22"/>
          <w:szCs w:val="22"/>
        </w:rPr>
        <w:t xml:space="preserve"> </w:t>
      </w:r>
      <w:r w:rsidR="001044DE">
        <w:rPr>
          <w:sz w:val="22"/>
          <w:szCs w:val="22"/>
        </w:rPr>
        <w:t xml:space="preserve">The </w:t>
      </w:r>
      <w:r w:rsidR="0098750D">
        <w:rPr>
          <w:sz w:val="22"/>
          <w:szCs w:val="22"/>
        </w:rPr>
        <w:t>Bureau</w:t>
      </w:r>
      <w:r w:rsidR="001044DE">
        <w:rPr>
          <w:sz w:val="22"/>
          <w:szCs w:val="22"/>
        </w:rPr>
        <w:t xml:space="preserve"> dismissed the Objections as to those</w:t>
      </w:r>
      <w:r w:rsidR="00D11233">
        <w:rPr>
          <w:sz w:val="22"/>
          <w:szCs w:val="22"/>
        </w:rPr>
        <w:t xml:space="preserve"> translator</w:t>
      </w:r>
      <w:r w:rsidR="001044DE">
        <w:rPr>
          <w:sz w:val="22"/>
          <w:szCs w:val="22"/>
        </w:rPr>
        <w:t xml:space="preserve"> applications that had previously been granted or dismissed, and as to applications for modification of FM translators</w:t>
      </w:r>
      <w:r w:rsidR="0098750D">
        <w:rPr>
          <w:sz w:val="22"/>
          <w:szCs w:val="22"/>
        </w:rPr>
        <w:t xml:space="preserve">, and dismissed all the </w:t>
      </w:r>
      <w:r w:rsidR="00DF697E">
        <w:rPr>
          <w:sz w:val="22"/>
          <w:szCs w:val="22"/>
        </w:rPr>
        <w:t>O</w:t>
      </w:r>
      <w:r w:rsidR="0098750D">
        <w:rPr>
          <w:sz w:val="22"/>
          <w:szCs w:val="22"/>
        </w:rPr>
        <w:t xml:space="preserve">bjections for failing to allege properly supported facts that, if true, would establish a substantial and material question of fact that grant of the application would be </w:t>
      </w:r>
      <w:r w:rsidR="0098750D">
        <w:rPr>
          <w:sz w:val="22"/>
          <w:szCs w:val="22"/>
        </w:rPr>
        <w:t>inconsistent with the public interest</w:t>
      </w:r>
      <w:r w:rsidR="001044DE">
        <w:rPr>
          <w:sz w:val="22"/>
          <w:szCs w:val="22"/>
        </w:rPr>
        <w:t>.</w:t>
      </w:r>
      <w:r>
        <w:rPr>
          <w:rStyle w:val="FootnoteReference"/>
          <w:szCs w:val="22"/>
        </w:rPr>
        <w:footnoteReference w:id="6"/>
      </w:r>
      <w:r w:rsidR="001044DE">
        <w:rPr>
          <w:sz w:val="22"/>
          <w:szCs w:val="22"/>
        </w:rPr>
        <w:t xml:space="preserve">  </w:t>
      </w:r>
      <w:r w:rsidR="0098750D">
        <w:rPr>
          <w:sz w:val="22"/>
          <w:szCs w:val="22"/>
        </w:rPr>
        <w:t>Alternatively, the</w:t>
      </w:r>
      <w:r w:rsidR="001044DE">
        <w:rPr>
          <w:sz w:val="22"/>
          <w:szCs w:val="22"/>
        </w:rPr>
        <w:t xml:space="preserve"> </w:t>
      </w:r>
      <w:r w:rsidR="0098750D">
        <w:rPr>
          <w:sz w:val="22"/>
          <w:szCs w:val="22"/>
        </w:rPr>
        <w:t>Bureau</w:t>
      </w:r>
      <w:r w:rsidR="001044DE">
        <w:rPr>
          <w:sz w:val="22"/>
          <w:szCs w:val="22"/>
        </w:rPr>
        <w:t xml:space="preserve"> denied the Objections</w:t>
      </w:r>
      <w:r w:rsidR="0098750D">
        <w:rPr>
          <w:sz w:val="22"/>
          <w:szCs w:val="22"/>
        </w:rPr>
        <w:t xml:space="preserve"> on various substantive grounds</w:t>
      </w:r>
      <w:r w:rsidR="001044DE">
        <w:rPr>
          <w:sz w:val="22"/>
          <w:szCs w:val="22"/>
        </w:rPr>
        <w:t>.</w:t>
      </w:r>
      <w:r>
        <w:rPr>
          <w:rStyle w:val="FootnoteReference"/>
          <w:szCs w:val="22"/>
        </w:rPr>
        <w:footnoteReference w:id="7"/>
      </w:r>
      <w:r w:rsidR="001044DE">
        <w:rPr>
          <w:sz w:val="22"/>
          <w:szCs w:val="22"/>
        </w:rPr>
        <w:t xml:space="preserve"> </w:t>
      </w:r>
    </w:p>
    <w:p w:rsidR="0052761E" w:rsidP="005A1CF0">
      <w:pPr>
        <w:ind w:firstLine="720"/>
        <w:rPr>
          <w:sz w:val="22"/>
          <w:szCs w:val="22"/>
        </w:rPr>
      </w:pPr>
    </w:p>
    <w:p w:rsidR="00CB7B4A" w:rsidP="0098750D">
      <w:pPr>
        <w:widowControl/>
        <w:ind w:firstLine="720"/>
        <w:rPr>
          <w:sz w:val="22"/>
          <w:szCs w:val="22"/>
        </w:rPr>
      </w:pPr>
      <w:r w:rsidRPr="00726350">
        <w:rPr>
          <w:b/>
          <w:sz w:val="22"/>
          <w:szCs w:val="22"/>
        </w:rPr>
        <w:t>Discussion.</w:t>
      </w:r>
      <w:r w:rsidR="0046546C">
        <w:rPr>
          <w:sz w:val="22"/>
          <w:szCs w:val="22"/>
        </w:rPr>
        <w:t xml:space="preserve">  </w:t>
      </w:r>
      <w:r w:rsidR="006C0204">
        <w:rPr>
          <w:sz w:val="22"/>
          <w:szCs w:val="22"/>
        </w:rPr>
        <w:t xml:space="preserve">We dismiss </w:t>
      </w:r>
      <w:r w:rsidR="00F440DD">
        <w:rPr>
          <w:sz w:val="22"/>
          <w:szCs w:val="22"/>
        </w:rPr>
        <w:t xml:space="preserve">all but one of </w:t>
      </w:r>
      <w:r w:rsidR="006C0204">
        <w:rPr>
          <w:sz w:val="22"/>
          <w:szCs w:val="22"/>
        </w:rPr>
        <w:t xml:space="preserve">the </w:t>
      </w:r>
      <w:r w:rsidR="00F440DD">
        <w:rPr>
          <w:sz w:val="22"/>
          <w:szCs w:val="22"/>
        </w:rPr>
        <w:t xml:space="preserve">328 </w:t>
      </w:r>
      <w:r w:rsidR="006C0204">
        <w:rPr>
          <w:sz w:val="22"/>
          <w:szCs w:val="22"/>
        </w:rPr>
        <w:t>Petition</w:t>
      </w:r>
      <w:r w:rsidR="001654EA">
        <w:rPr>
          <w:sz w:val="22"/>
          <w:szCs w:val="22"/>
        </w:rPr>
        <w:t>s</w:t>
      </w:r>
      <w:r w:rsidR="006C0204">
        <w:rPr>
          <w:sz w:val="22"/>
          <w:szCs w:val="22"/>
        </w:rPr>
        <w:t xml:space="preserve">.  </w:t>
      </w:r>
      <w:r w:rsidR="0098750D">
        <w:rPr>
          <w:sz w:val="22"/>
          <w:szCs w:val="22"/>
        </w:rPr>
        <w:t>Objectors are bound by the fact that they initiated this proceeding through informal objections, rather than</w:t>
      </w:r>
      <w:r w:rsidR="00061223">
        <w:rPr>
          <w:sz w:val="22"/>
          <w:szCs w:val="22"/>
        </w:rPr>
        <w:t xml:space="preserve"> by</w:t>
      </w:r>
      <w:r w:rsidR="0098750D">
        <w:rPr>
          <w:sz w:val="22"/>
          <w:szCs w:val="22"/>
        </w:rPr>
        <w:t xml:space="preserve"> filing</w:t>
      </w:r>
      <w:r w:rsidR="006C0204">
        <w:rPr>
          <w:sz w:val="22"/>
          <w:szCs w:val="22"/>
        </w:rPr>
        <w:t xml:space="preserve"> petitions to deny each</w:t>
      </w:r>
      <w:r w:rsidR="00D11233">
        <w:rPr>
          <w:sz w:val="22"/>
          <w:szCs w:val="22"/>
        </w:rPr>
        <w:t xml:space="preserve"> application</w:t>
      </w:r>
      <w:r w:rsidR="006C0204">
        <w:rPr>
          <w:sz w:val="22"/>
          <w:szCs w:val="22"/>
        </w:rPr>
        <w:t>.</w:t>
      </w:r>
      <w:r>
        <w:rPr>
          <w:rStyle w:val="FootnoteReference"/>
          <w:szCs w:val="22"/>
        </w:rPr>
        <w:footnoteReference w:id="8"/>
      </w:r>
      <w:r w:rsidR="006C0204">
        <w:rPr>
          <w:sz w:val="22"/>
          <w:szCs w:val="22"/>
        </w:rPr>
        <w:t xml:space="preserve">  </w:t>
      </w:r>
      <w:r w:rsidR="0098750D">
        <w:rPr>
          <w:sz w:val="22"/>
          <w:szCs w:val="22"/>
        </w:rPr>
        <w:t>By filing informal objections</w:t>
      </w:r>
      <w:r w:rsidR="006C0204">
        <w:rPr>
          <w:sz w:val="22"/>
          <w:szCs w:val="22"/>
        </w:rPr>
        <w:t xml:space="preserve">, Objectors </w:t>
      </w:r>
      <w:r w:rsidR="0098750D">
        <w:rPr>
          <w:sz w:val="22"/>
          <w:szCs w:val="22"/>
        </w:rPr>
        <w:t>initially avoided the obligation</w:t>
      </w:r>
      <w:r w:rsidR="006C0204">
        <w:rPr>
          <w:sz w:val="22"/>
          <w:szCs w:val="22"/>
        </w:rPr>
        <w:t xml:space="preserve"> to demonst</w:t>
      </w:r>
      <w:r w:rsidR="004C30DE">
        <w:rPr>
          <w:sz w:val="22"/>
          <w:szCs w:val="22"/>
        </w:rPr>
        <w:t xml:space="preserve">rate standing or </w:t>
      </w:r>
      <w:r w:rsidR="00F64492">
        <w:rPr>
          <w:sz w:val="22"/>
          <w:szCs w:val="22"/>
        </w:rPr>
        <w:t xml:space="preserve">provide </w:t>
      </w:r>
      <w:r w:rsidR="004C30DE">
        <w:rPr>
          <w:sz w:val="22"/>
          <w:szCs w:val="22"/>
        </w:rPr>
        <w:t>proper service</w:t>
      </w:r>
      <w:r w:rsidR="006C0204">
        <w:rPr>
          <w:sz w:val="22"/>
          <w:szCs w:val="22"/>
        </w:rPr>
        <w:t>.</w:t>
      </w:r>
      <w:r>
        <w:rPr>
          <w:rStyle w:val="FootnoteReference"/>
          <w:szCs w:val="22"/>
        </w:rPr>
        <w:footnoteReference w:id="9"/>
      </w:r>
      <w:r w:rsidR="006C0204">
        <w:rPr>
          <w:sz w:val="22"/>
          <w:szCs w:val="22"/>
        </w:rPr>
        <w:t xml:space="preserve">  </w:t>
      </w:r>
    </w:p>
    <w:p w:rsidR="006C0204" w:rsidP="00CB7B4A">
      <w:pPr>
        <w:ind w:firstLine="720"/>
        <w:rPr>
          <w:sz w:val="22"/>
          <w:szCs w:val="22"/>
        </w:rPr>
      </w:pPr>
    </w:p>
    <w:p w:rsidR="006C0204" w:rsidP="00CB7B4A">
      <w:pPr>
        <w:ind w:firstLine="720"/>
        <w:rPr>
          <w:color w:val="000000"/>
          <w:sz w:val="22"/>
          <w:szCs w:val="22"/>
          <w:shd w:val="clear" w:color="auto" w:fill="FFFFFF"/>
        </w:rPr>
      </w:pPr>
      <w:r>
        <w:rPr>
          <w:sz w:val="22"/>
          <w:szCs w:val="22"/>
        </w:rPr>
        <w:t>A petition for reconsideration, however, may only be filed by “</w:t>
      </w:r>
      <w:r w:rsidRPr="006C0204">
        <w:rPr>
          <w:color w:val="000000"/>
          <w:sz w:val="22"/>
          <w:szCs w:val="22"/>
          <w:shd w:val="clear" w:color="auto" w:fill="FFFFFF"/>
        </w:rPr>
        <w:t>any party to the proceeding, or any other person whose interests are adversely affected by any action taken by the Commission</w:t>
      </w:r>
      <w:r w:rsidR="00F64492">
        <w:rPr>
          <w:color w:val="000000"/>
          <w:sz w:val="22"/>
          <w:szCs w:val="22"/>
          <w:shd w:val="clear" w:color="auto" w:fill="FFFFFF"/>
        </w:rPr>
        <w:t xml:space="preserve"> or by the designated authority . . . </w:t>
      </w:r>
      <w:r>
        <w:rPr>
          <w:color w:val="000000"/>
          <w:sz w:val="22"/>
          <w:szCs w:val="22"/>
          <w:shd w:val="clear" w:color="auto" w:fill="FFFFFF"/>
        </w:rPr>
        <w:t>.”</w:t>
      </w:r>
      <w:r>
        <w:rPr>
          <w:rStyle w:val="FootnoteReference"/>
          <w:color w:val="000000"/>
          <w:szCs w:val="22"/>
          <w:shd w:val="clear" w:color="auto" w:fill="FFFFFF"/>
        </w:rPr>
        <w:footnoteReference w:id="10"/>
      </w:r>
      <w:r>
        <w:rPr>
          <w:color w:val="000000"/>
          <w:sz w:val="22"/>
          <w:szCs w:val="22"/>
          <w:shd w:val="clear" w:color="auto" w:fill="FFFFFF"/>
        </w:rPr>
        <w:t xml:space="preserve">  It is well established that participation in a proceeding as an informal objector does not confer standing to file a later petition for reconsideration.</w:t>
      </w:r>
      <w:r>
        <w:rPr>
          <w:rStyle w:val="FootnoteReference"/>
          <w:color w:val="000000"/>
          <w:szCs w:val="22"/>
          <w:shd w:val="clear" w:color="auto" w:fill="FFFFFF"/>
        </w:rPr>
        <w:footnoteReference w:id="11"/>
      </w:r>
      <w:r w:rsidR="0098750D">
        <w:rPr>
          <w:color w:val="000000"/>
          <w:sz w:val="22"/>
          <w:szCs w:val="22"/>
          <w:shd w:val="clear" w:color="auto" w:fill="FFFFFF"/>
        </w:rPr>
        <w:t xml:space="preserve">  Objectors</w:t>
      </w:r>
      <w:r w:rsidR="00032BF1">
        <w:rPr>
          <w:color w:val="000000"/>
          <w:sz w:val="22"/>
          <w:szCs w:val="22"/>
          <w:shd w:val="clear" w:color="auto" w:fill="FFFFFF"/>
        </w:rPr>
        <w:t xml:space="preserve"> </w:t>
      </w:r>
      <w:r w:rsidR="00015CAF">
        <w:rPr>
          <w:color w:val="000000"/>
          <w:sz w:val="22"/>
          <w:szCs w:val="22"/>
          <w:shd w:val="clear" w:color="auto" w:fill="FFFFFF"/>
        </w:rPr>
        <w:t xml:space="preserve">are </w:t>
      </w:r>
      <w:r w:rsidR="00032BF1">
        <w:rPr>
          <w:color w:val="000000"/>
          <w:sz w:val="22"/>
          <w:szCs w:val="22"/>
          <w:shd w:val="clear" w:color="auto" w:fill="FFFFFF"/>
        </w:rPr>
        <w:t>therefore not “parties to the proceeding” under Section 1.106(b)</w:t>
      </w:r>
      <w:r w:rsidR="0098750D">
        <w:rPr>
          <w:color w:val="000000"/>
          <w:sz w:val="22"/>
          <w:szCs w:val="22"/>
          <w:shd w:val="clear" w:color="auto" w:fill="FFFFFF"/>
        </w:rPr>
        <w:t>, and they provide no evidence that they fall within any exception to this</w:t>
      </w:r>
      <w:r w:rsidR="00061223">
        <w:rPr>
          <w:color w:val="000000"/>
          <w:sz w:val="22"/>
          <w:szCs w:val="22"/>
          <w:shd w:val="clear" w:color="auto" w:fill="FFFFFF"/>
        </w:rPr>
        <w:t xml:space="preserve"> rule</w:t>
      </w:r>
      <w:r w:rsidR="00032BF1">
        <w:rPr>
          <w:color w:val="000000"/>
          <w:sz w:val="22"/>
          <w:szCs w:val="22"/>
          <w:shd w:val="clear" w:color="auto" w:fill="FFFFFF"/>
        </w:rPr>
        <w:t>.</w:t>
      </w:r>
    </w:p>
    <w:p w:rsidR="00032BF1" w:rsidP="00CB7B4A">
      <w:pPr>
        <w:ind w:firstLine="720"/>
        <w:rPr>
          <w:color w:val="000000"/>
          <w:sz w:val="22"/>
          <w:szCs w:val="22"/>
          <w:shd w:val="clear" w:color="auto" w:fill="FFFFFF"/>
        </w:rPr>
      </w:pPr>
    </w:p>
    <w:p w:rsidR="00ED4842" w:rsidRPr="006C0204" w:rsidP="004C30DE">
      <w:pPr>
        <w:ind w:firstLine="720"/>
        <w:rPr>
          <w:sz w:val="22"/>
          <w:szCs w:val="22"/>
        </w:rPr>
      </w:pPr>
      <w:r>
        <w:rPr>
          <w:sz w:val="22"/>
          <w:szCs w:val="22"/>
        </w:rPr>
        <w:t>A petition for reconsideration may still be filed by a person not a party to the proceeding, but in such an instance the petition “</w:t>
      </w:r>
      <w:r w:rsidRPr="00032BF1">
        <w:rPr>
          <w:color w:val="000000"/>
          <w:sz w:val="22"/>
          <w:szCs w:val="22"/>
          <w:shd w:val="clear" w:color="auto" w:fill="FFFFFF"/>
        </w:rPr>
        <w:t>shall state with particularity the manner in which the person's interests are adversely affected by the action taken, and shall show good reason why it was not possible for him to participate in the earlier stages of the proceeding.</w:t>
      </w:r>
      <w:r w:rsidR="00786DDB">
        <w:rPr>
          <w:sz w:val="22"/>
          <w:szCs w:val="22"/>
        </w:rPr>
        <w:t>”</w:t>
      </w:r>
      <w:r>
        <w:rPr>
          <w:rStyle w:val="FootnoteReference"/>
          <w:szCs w:val="22"/>
        </w:rPr>
        <w:footnoteReference w:id="12"/>
      </w:r>
      <w:r w:rsidRPr="00032BF1">
        <w:rPr>
          <w:sz w:val="22"/>
          <w:szCs w:val="22"/>
        </w:rPr>
        <w:t xml:space="preserve"> </w:t>
      </w:r>
      <w:r w:rsidR="00786DDB">
        <w:rPr>
          <w:sz w:val="22"/>
          <w:szCs w:val="22"/>
        </w:rPr>
        <w:t xml:space="preserve"> Only one party has established such an adverse effect, and that </w:t>
      </w:r>
      <w:r w:rsidR="00DF0D72">
        <w:rPr>
          <w:sz w:val="22"/>
          <w:szCs w:val="22"/>
        </w:rPr>
        <w:t>pertains</w:t>
      </w:r>
      <w:r w:rsidR="00786DDB">
        <w:rPr>
          <w:sz w:val="22"/>
          <w:szCs w:val="22"/>
        </w:rPr>
        <w:t xml:space="preserve"> to only one application.  Paul </w:t>
      </w:r>
      <w:r w:rsidR="00786DDB">
        <w:rPr>
          <w:sz w:val="22"/>
          <w:szCs w:val="22"/>
        </w:rPr>
        <w:t>Bame</w:t>
      </w:r>
      <w:r w:rsidR="00786DDB">
        <w:rPr>
          <w:sz w:val="22"/>
          <w:szCs w:val="22"/>
        </w:rPr>
        <w:t>, who signed the Objections</w:t>
      </w:r>
      <w:r w:rsidR="00657A97">
        <w:rPr>
          <w:sz w:val="22"/>
          <w:szCs w:val="22"/>
        </w:rPr>
        <w:t xml:space="preserve"> and Petition</w:t>
      </w:r>
      <w:r w:rsidR="00B06CE3">
        <w:rPr>
          <w:sz w:val="22"/>
          <w:szCs w:val="22"/>
        </w:rPr>
        <w:t>s</w:t>
      </w:r>
      <w:r w:rsidR="00786DDB">
        <w:rPr>
          <w:sz w:val="22"/>
          <w:szCs w:val="22"/>
        </w:rPr>
        <w:t xml:space="preserve"> on behalf of Prometheus Radio Project, affirmed </w:t>
      </w:r>
      <w:r w:rsidR="00DF697E">
        <w:rPr>
          <w:sz w:val="22"/>
          <w:szCs w:val="22"/>
        </w:rPr>
        <w:t xml:space="preserve">in the Objections </w:t>
      </w:r>
      <w:r w:rsidR="00786DDB">
        <w:rPr>
          <w:sz w:val="22"/>
          <w:szCs w:val="22"/>
        </w:rPr>
        <w:t xml:space="preserve">that he is a listener of LPFM station WPPM-LP, </w:t>
      </w:r>
      <w:r w:rsidR="000F1054">
        <w:rPr>
          <w:sz w:val="22"/>
          <w:szCs w:val="22"/>
        </w:rPr>
        <w:t xml:space="preserve">Philadelphia, Pennsylvania, </w:t>
      </w:r>
      <w:r w:rsidR="00F64492">
        <w:rPr>
          <w:sz w:val="22"/>
          <w:szCs w:val="22"/>
        </w:rPr>
        <w:t>claiming</w:t>
      </w:r>
      <w:r w:rsidR="00786DDB">
        <w:rPr>
          <w:sz w:val="22"/>
          <w:szCs w:val="22"/>
        </w:rPr>
        <w:t xml:space="preserve"> that that station is short-spaced to the application for a new FM translator at Camden, New Jersey, filed by Mega-Philadelphia LLC.</w:t>
      </w:r>
      <w:r>
        <w:rPr>
          <w:rStyle w:val="FootnoteReference"/>
          <w:szCs w:val="22"/>
        </w:rPr>
        <w:footnoteReference w:id="13"/>
      </w:r>
      <w:r w:rsidR="00786DDB">
        <w:rPr>
          <w:sz w:val="22"/>
          <w:szCs w:val="22"/>
        </w:rPr>
        <w:t xml:space="preserve">  </w:t>
      </w:r>
      <w:r w:rsidR="00786DDB">
        <w:rPr>
          <w:sz w:val="22"/>
          <w:szCs w:val="22"/>
        </w:rPr>
        <w:t>Bame</w:t>
      </w:r>
      <w:r w:rsidR="00786DDB">
        <w:rPr>
          <w:sz w:val="22"/>
          <w:szCs w:val="22"/>
        </w:rPr>
        <w:t xml:space="preserve"> states that the alleged short spacing could inhibit WPPM-LP’s ability to relocate to the northwest, and that this situation “may harm” WPPM-LP and </w:t>
      </w:r>
      <w:r w:rsidR="00786DDB">
        <w:rPr>
          <w:sz w:val="22"/>
          <w:szCs w:val="22"/>
        </w:rPr>
        <w:t>Bame</w:t>
      </w:r>
      <w:r w:rsidR="00786DDB">
        <w:rPr>
          <w:sz w:val="22"/>
          <w:szCs w:val="22"/>
        </w:rPr>
        <w:t xml:space="preserve"> as a listener.</w:t>
      </w:r>
      <w:r>
        <w:rPr>
          <w:rStyle w:val="FootnoteReference"/>
          <w:szCs w:val="22"/>
        </w:rPr>
        <w:footnoteReference w:id="14"/>
      </w:r>
      <w:r w:rsidR="00786DDB">
        <w:rPr>
          <w:sz w:val="22"/>
          <w:szCs w:val="22"/>
        </w:rPr>
        <w:t xml:space="preserve">  This suffices to establish standing for </w:t>
      </w:r>
      <w:r w:rsidR="00786DDB">
        <w:rPr>
          <w:sz w:val="22"/>
          <w:szCs w:val="22"/>
        </w:rPr>
        <w:t>Bame</w:t>
      </w:r>
      <w:r w:rsidR="00786DDB">
        <w:rPr>
          <w:sz w:val="22"/>
          <w:szCs w:val="22"/>
        </w:rPr>
        <w:t xml:space="preserve"> and Prometheus</w:t>
      </w:r>
      <w:r w:rsidR="00F64492">
        <w:rPr>
          <w:sz w:val="22"/>
          <w:szCs w:val="22"/>
        </w:rPr>
        <w:t>, but only</w:t>
      </w:r>
      <w:r w:rsidR="00786DDB">
        <w:rPr>
          <w:sz w:val="22"/>
          <w:szCs w:val="22"/>
        </w:rPr>
        <w:t xml:space="preserve"> as to the Camden Application.  We reject the </w:t>
      </w:r>
      <w:r w:rsidR="004C30DE">
        <w:rPr>
          <w:sz w:val="22"/>
          <w:szCs w:val="22"/>
        </w:rPr>
        <w:t>attempt</w:t>
      </w:r>
      <w:r w:rsidR="00786DDB">
        <w:rPr>
          <w:sz w:val="22"/>
          <w:szCs w:val="22"/>
        </w:rPr>
        <w:t xml:space="preserve"> of Todd </w:t>
      </w:r>
      <w:r w:rsidR="00786DDB">
        <w:rPr>
          <w:sz w:val="22"/>
          <w:szCs w:val="22"/>
        </w:rPr>
        <w:t>Urick</w:t>
      </w:r>
      <w:r w:rsidR="004C30DE">
        <w:rPr>
          <w:sz w:val="22"/>
          <w:szCs w:val="22"/>
        </w:rPr>
        <w:t xml:space="preserve">, </w:t>
      </w:r>
      <w:r w:rsidR="004C30DE">
        <w:rPr>
          <w:sz w:val="22"/>
          <w:szCs w:val="22"/>
        </w:rPr>
        <w:t>signator</w:t>
      </w:r>
      <w:r w:rsidR="004C30DE">
        <w:rPr>
          <w:sz w:val="22"/>
          <w:szCs w:val="22"/>
        </w:rPr>
        <w:t xml:space="preserve"> for Objector Common Frequency, Inc., to establish standing.  First, while he states that he is within the coverage area of the FM translator applied for by Immaculate Heart Media, Inc., at Rocklin, California,</w:t>
      </w:r>
      <w:r>
        <w:rPr>
          <w:rStyle w:val="FootnoteReference"/>
          <w:szCs w:val="22"/>
        </w:rPr>
        <w:footnoteReference w:id="15"/>
      </w:r>
      <w:r w:rsidR="004C30DE">
        <w:rPr>
          <w:sz w:val="22"/>
          <w:szCs w:val="22"/>
        </w:rPr>
        <w:t xml:space="preserve"> he does not state whether or how he would be adversely affected by grant of the Rocklin Application.  Second, </w:t>
      </w:r>
      <w:r w:rsidR="004C30DE">
        <w:rPr>
          <w:sz w:val="22"/>
          <w:szCs w:val="22"/>
        </w:rPr>
        <w:t>Urick</w:t>
      </w:r>
      <w:r w:rsidR="004C30DE">
        <w:rPr>
          <w:sz w:val="22"/>
          <w:szCs w:val="22"/>
        </w:rPr>
        <w:t xml:space="preserve"> does not explain why he could not have participated in the earlier stage of the proceeding, given that the Rocklin Application was filed one day before the Camden Application, and before the </w:t>
      </w:r>
      <w:r w:rsidR="004C30DE">
        <w:rPr>
          <w:sz w:val="22"/>
          <w:szCs w:val="22"/>
        </w:rPr>
        <w:t>Objections were filed</w:t>
      </w:r>
      <w:r w:rsidR="000F1054">
        <w:rPr>
          <w:sz w:val="22"/>
          <w:szCs w:val="22"/>
        </w:rPr>
        <w:t xml:space="preserve"> on May 16, 2018</w:t>
      </w:r>
      <w:r w:rsidR="004C30DE">
        <w:rPr>
          <w:sz w:val="22"/>
          <w:szCs w:val="22"/>
        </w:rPr>
        <w:t xml:space="preserve">.  We thus find that </w:t>
      </w:r>
      <w:r w:rsidR="004C30DE">
        <w:rPr>
          <w:sz w:val="22"/>
          <w:szCs w:val="22"/>
        </w:rPr>
        <w:t>Urick</w:t>
      </w:r>
      <w:r w:rsidR="004C30DE">
        <w:rPr>
          <w:sz w:val="22"/>
          <w:szCs w:val="22"/>
        </w:rPr>
        <w:t xml:space="preserve"> and Common Frequency, Inc., have not established standing to file a petition for reconsideration as to the Rocklin Application or any other application.</w:t>
      </w:r>
      <w:r w:rsidR="00F64492">
        <w:rPr>
          <w:sz w:val="22"/>
          <w:szCs w:val="22"/>
        </w:rPr>
        <w:t xml:space="preserve">  Likewise, neither the Center for International Media Action nor any principal thereof has stated </w:t>
      </w:r>
      <w:r w:rsidRPr="00032BF1" w:rsidR="00F64492">
        <w:rPr>
          <w:color w:val="000000"/>
          <w:sz w:val="22"/>
          <w:szCs w:val="22"/>
          <w:shd w:val="clear" w:color="auto" w:fill="FFFFFF"/>
        </w:rPr>
        <w:t xml:space="preserve">the manner in which </w:t>
      </w:r>
      <w:r w:rsidR="00F64492">
        <w:rPr>
          <w:color w:val="000000"/>
          <w:sz w:val="22"/>
          <w:szCs w:val="22"/>
          <w:shd w:val="clear" w:color="auto" w:fill="FFFFFF"/>
        </w:rPr>
        <w:t>their</w:t>
      </w:r>
      <w:r w:rsidRPr="00032BF1" w:rsidR="00F64492">
        <w:rPr>
          <w:color w:val="000000"/>
          <w:sz w:val="22"/>
          <w:szCs w:val="22"/>
          <w:shd w:val="clear" w:color="auto" w:fill="FFFFFF"/>
        </w:rPr>
        <w:t xml:space="preserve"> interests are adversely affected by the action taken</w:t>
      </w:r>
      <w:r w:rsidR="00F64492">
        <w:rPr>
          <w:color w:val="000000"/>
          <w:sz w:val="22"/>
          <w:szCs w:val="22"/>
          <w:shd w:val="clear" w:color="auto" w:fill="FFFFFF"/>
        </w:rPr>
        <w:t xml:space="preserve"> in the </w:t>
      </w:r>
      <w:r w:rsidRPr="00657A97" w:rsidR="00F64492">
        <w:rPr>
          <w:i/>
          <w:color w:val="000000"/>
          <w:sz w:val="22"/>
          <w:szCs w:val="22"/>
          <w:shd w:val="clear" w:color="auto" w:fill="FFFFFF"/>
        </w:rPr>
        <w:t>Letter Decision</w:t>
      </w:r>
      <w:r w:rsidR="00F64492">
        <w:rPr>
          <w:color w:val="000000"/>
          <w:sz w:val="22"/>
          <w:szCs w:val="22"/>
          <w:shd w:val="clear" w:color="auto" w:fill="FFFFFF"/>
        </w:rPr>
        <w:t xml:space="preserve">, and we therefore find that </w:t>
      </w:r>
      <w:r w:rsidR="00825E3C">
        <w:rPr>
          <w:color w:val="000000"/>
          <w:sz w:val="22"/>
          <w:szCs w:val="22"/>
          <w:shd w:val="clear" w:color="auto" w:fill="FFFFFF"/>
        </w:rPr>
        <w:t>the Center for International Media Action lacks standing to file the Petition</w:t>
      </w:r>
      <w:r w:rsidR="00B06CE3">
        <w:rPr>
          <w:color w:val="000000"/>
          <w:sz w:val="22"/>
          <w:szCs w:val="22"/>
          <w:shd w:val="clear" w:color="auto" w:fill="FFFFFF"/>
        </w:rPr>
        <w:t>s</w:t>
      </w:r>
      <w:r w:rsidR="00825E3C">
        <w:rPr>
          <w:color w:val="000000"/>
          <w:sz w:val="22"/>
          <w:szCs w:val="22"/>
          <w:shd w:val="clear" w:color="auto" w:fill="FFFFFF"/>
        </w:rPr>
        <w:t>.</w:t>
      </w:r>
    </w:p>
    <w:p w:rsidR="004A7587" w:rsidP="0084604B">
      <w:pPr>
        <w:ind w:firstLine="720"/>
        <w:rPr>
          <w:sz w:val="22"/>
          <w:szCs w:val="22"/>
        </w:rPr>
      </w:pPr>
    </w:p>
    <w:p w:rsidR="00CE0EE5" w:rsidRPr="00726350" w:rsidP="005A1CF0">
      <w:pPr>
        <w:ind w:firstLine="720"/>
        <w:rPr>
          <w:sz w:val="22"/>
          <w:szCs w:val="22"/>
        </w:rPr>
      </w:pPr>
      <w:r w:rsidRPr="002064BF">
        <w:rPr>
          <w:b/>
          <w:sz w:val="22"/>
          <w:szCs w:val="22"/>
        </w:rPr>
        <w:t>Conclusion.</w:t>
      </w:r>
      <w:r>
        <w:rPr>
          <w:sz w:val="22"/>
          <w:szCs w:val="22"/>
        </w:rPr>
        <w:t xml:space="preserve"> </w:t>
      </w:r>
      <w:r w:rsidR="00AA45AD">
        <w:rPr>
          <w:sz w:val="22"/>
          <w:szCs w:val="22"/>
        </w:rPr>
        <w:t xml:space="preserve"> For the foregoing reasons</w:t>
      </w:r>
      <w:r>
        <w:rPr>
          <w:sz w:val="22"/>
          <w:szCs w:val="22"/>
        </w:rPr>
        <w:t xml:space="preserve">, </w:t>
      </w:r>
      <w:r w:rsidR="004A7587">
        <w:rPr>
          <w:sz w:val="22"/>
          <w:szCs w:val="22"/>
        </w:rPr>
        <w:t xml:space="preserve">Objectors’ </w:t>
      </w:r>
      <w:r w:rsidR="0085251D">
        <w:rPr>
          <w:sz w:val="22"/>
          <w:szCs w:val="22"/>
        </w:rPr>
        <w:t>Petition</w:t>
      </w:r>
      <w:r w:rsidR="00B06CE3">
        <w:rPr>
          <w:sz w:val="22"/>
          <w:szCs w:val="22"/>
        </w:rPr>
        <w:t>s</w:t>
      </w:r>
      <w:r w:rsidR="004C30DE">
        <w:rPr>
          <w:sz w:val="22"/>
          <w:szCs w:val="22"/>
        </w:rPr>
        <w:t xml:space="preserve"> for Reconsideration</w:t>
      </w:r>
      <w:r w:rsidR="004A7587">
        <w:rPr>
          <w:sz w:val="22"/>
          <w:szCs w:val="22"/>
        </w:rPr>
        <w:t xml:space="preserve"> </w:t>
      </w:r>
      <w:r w:rsidR="00B06CE3">
        <w:rPr>
          <w:sz w:val="22"/>
          <w:szCs w:val="22"/>
        </w:rPr>
        <w:t>ARE</w:t>
      </w:r>
      <w:r w:rsidR="004A7587">
        <w:rPr>
          <w:sz w:val="22"/>
          <w:szCs w:val="22"/>
        </w:rPr>
        <w:t xml:space="preserve"> </w:t>
      </w:r>
      <w:r w:rsidR="007A2D2E">
        <w:rPr>
          <w:sz w:val="22"/>
          <w:szCs w:val="22"/>
        </w:rPr>
        <w:t xml:space="preserve">DISMISSED, </w:t>
      </w:r>
      <w:r w:rsidR="0085251D">
        <w:rPr>
          <w:sz w:val="22"/>
          <w:szCs w:val="22"/>
        </w:rPr>
        <w:t>except for</w:t>
      </w:r>
      <w:r w:rsidR="004C30DE">
        <w:rPr>
          <w:sz w:val="22"/>
          <w:szCs w:val="22"/>
        </w:rPr>
        <w:t xml:space="preserve"> Prometheus Radio Project’s Petition for Reconsideration with regard to the Camden Application, File No. BNPFT-20180508ABL</w:t>
      </w:r>
      <w:r w:rsidR="004A7587">
        <w:rPr>
          <w:sz w:val="22"/>
          <w:szCs w:val="22"/>
        </w:rPr>
        <w:t>.</w:t>
      </w:r>
      <w:r w:rsidR="004C30DE">
        <w:rPr>
          <w:sz w:val="22"/>
          <w:szCs w:val="22"/>
        </w:rPr>
        <w:t xml:space="preserve">  We will address the merits of the Petition for Reconsideration as to that application at a future date.</w:t>
      </w:r>
    </w:p>
    <w:p w:rsidR="005A1CF0" w:rsidP="005A1CF0">
      <w:pPr>
        <w:pStyle w:val="BodyText"/>
        <w:ind w:left="5040"/>
        <w:rPr>
          <w:sz w:val="22"/>
          <w:szCs w:val="22"/>
        </w:rPr>
      </w:pPr>
    </w:p>
    <w:p w:rsidR="005A1CF0" w:rsidRPr="00DE5E79" w:rsidP="005A1CF0">
      <w:pPr>
        <w:pStyle w:val="BodyText"/>
        <w:ind w:left="5040"/>
        <w:rPr>
          <w:sz w:val="22"/>
          <w:szCs w:val="22"/>
        </w:rPr>
      </w:pPr>
      <w:r w:rsidRPr="00DE5E79">
        <w:rPr>
          <w:sz w:val="22"/>
          <w:szCs w:val="22"/>
        </w:rPr>
        <w:t>Sincerely,</w:t>
      </w:r>
    </w:p>
    <w:p w:rsidR="005A1CF0" w:rsidRPr="00DE5E79" w:rsidP="005A1CF0">
      <w:pPr>
        <w:pStyle w:val="BodyText"/>
        <w:rPr>
          <w:sz w:val="22"/>
          <w:szCs w:val="22"/>
        </w:rPr>
      </w:pPr>
    </w:p>
    <w:p w:rsidR="005A1CF0" w:rsidRPr="00DE5E79" w:rsidP="005A1CF0">
      <w:pPr>
        <w:pStyle w:val="BodyText"/>
        <w:rPr>
          <w:sz w:val="22"/>
          <w:szCs w:val="22"/>
        </w:rPr>
      </w:pPr>
    </w:p>
    <w:p w:rsidR="005A1CF0" w:rsidRPr="00DE5E79" w:rsidP="005A1CF0">
      <w:pPr>
        <w:pStyle w:val="BodyText"/>
        <w:rPr>
          <w:sz w:val="22"/>
          <w:szCs w:val="22"/>
        </w:rPr>
      </w:pPr>
    </w:p>
    <w:p w:rsidR="005A1CF0" w:rsidRPr="00DE5E79" w:rsidP="005A1CF0">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00746B11">
        <w:rPr>
          <w:sz w:val="22"/>
          <w:szCs w:val="22"/>
        </w:rPr>
        <w:t>Albert Shuldiner</w:t>
      </w:r>
    </w:p>
    <w:p w:rsidR="005A1CF0" w:rsidRPr="00DE5E79" w:rsidP="005A1CF0">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Chief, Audio Division</w:t>
      </w:r>
    </w:p>
    <w:p w:rsidR="005A1CF0" w:rsidRPr="00E375BA" w:rsidP="005A1CF0">
      <w:pPr>
        <w:ind w:left="2160" w:firstLine="720"/>
      </w:pPr>
      <w:r w:rsidRPr="00DE5E79">
        <w:rPr>
          <w:sz w:val="22"/>
          <w:szCs w:val="22"/>
        </w:rPr>
        <w:tab/>
      </w:r>
      <w:r w:rsidRPr="00DE5E79">
        <w:rPr>
          <w:sz w:val="22"/>
          <w:szCs w:val="22"/>
        </w:rPr>
        <w:tab/>
      </w:r>
      <w:r w:rsidRPr="00DE5E79">
        <w:rPr>
          <w:sz w:val="22"/>
          <w:szCs w:val="22"/>
        </w:rPr>
        <w:tab/>
        <w:t>Media Bureau</w:t>
      </w:r>
    </w:p>
    <w:p w:rsidR="00E47C02" w:rsidP="005A1CF0"/>
    <w:p w:rsidR="002064BF" w:rsidRPr="00E96777" w:rsidP="005A1CF0">
      <w:pPr>
        <w:rPr>
          <w:sz w:val="22"/>
          <w:szCs w:val="22"/>
        </w:rPr>
      </w:pPr>
    </w:p>
    <w:sectPr w:rsidSect="00BF6E58">
      <w:headerReference w:type="default" r:id="rId5"/>
      <w:footerReference w:type="even" r:id="rId6"/>
      <w:footerReference w:type="default" r:id="rId7"/>
      <w:headerReference w:type="first" r:id="rId8"/>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BF6E58">
    <w:pPr>
      <w:spacing w:before="140" w:line="100" w:lineRule="exact"/>
      <w:rPr>
        <w:sz w:val="10"/>
      </w:rPr>
    </w:pPr>
  </w:p>
  <w:p w:rsidR="00BF6E58">
    <w:pPr>
      <w:suppressAutoHyphens/>
      <w:spacing w:line="227" w:lineRule="auto"/>
      <w:jc w:val="both"/>
    </w:pPr>
  </w:p>
  <w:p w:rsidR="00BF6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FA8" w:rsidP="00DE5E79">
      <w:r>
        <w:separator/>
      </w:r>
    </w:p>
  </w:footnote>
  <w:footnote w:type="continuationSeparator" w:id="1">
    <w:p w:rsidR="00AE2FA8" w:rsidP="00DE5E79">
      <w:r>
        <w:continuationSeparator/>
      </w:r>
    </w:p>
  </w:footnote>
  <w:footnote w:id="2">
    <w:p w:rsidR="00AB7FB8">
      <w:pPr>
        <w:pStyle w:val="FootnoteText"/>
      </w:pPr>
      <w:r>
        <w:rPr>
          <w:rStyle w:val="FootnoteReference"/>
        </w:rPr>
        <w:footnoteRef/>
      </w:r>
      <w:r>
        <w:t xml:space="preserve"> </w:t>
      </w:r>
      <w:r w:rsidRPr="00AB7FB8">
        <w:rPr>
          <w:i/>
        </w:rPr>
        <w:t>Center for International Media Action; Common Frequency, Inc.; Prometheus Radio Project</w:t>
      </w:r>
      <w:r>
        <w:t>, Letter Decision, DA 18-597 (MB June 8, 2018) (</w:t>
      </w:r>
      <w:r w:rsidRPr="00AB7FB8">
        <w:rPr>
          <w:i/>
        </w:rPr>
        <w:t>Letter Decision</w:t>
      </w:r>
      <w:r>
        <w:t>).</w:t>
      </w:r>
    </w:p>
  </w:footnote>
  <w:footnote w:id="3">
    <w:p w:rsidR="00D737AC">
      <w:pPr>
        <w:pStyle w:val="FootnoteText"/>
      </w:pPr>
      <w:r>
        <w:rPr>
          <w:rStyle w:val="FootnoteReference"/>
        </w:rPr>
        <w:footnoteRef/>
      </w:r>
      <w:r>
        <w:t xml:space="preserve"> </w:t>
      </w:r>
      <w:r w:rsidR="004447E3">
        <w:t xml:space="preserve">Appendix </w:t>
      </w:r>
      <w:r w:rsidR="00675AB1">
        <w:t xml:space="preserve">A to the </w:t>
      </w:r>
      <w:r w:rsidR="001044DE">
        <w:t>Petition</w:t>
      </w:r>
      <w:r w:rsidR="001654EA">
        <w:t>s</w:t>
      </w:r>
      <w:r w:rsidR="00675AB1">
        <w:t xml:space="preserve"> lists</w:t>
      </w:r>
      <w:r w:rsidR="001654EA">
        <w:t xml:space="preserve"> the</w:t>
      </w:r>
      <w:r w:rsidR="00675AB1">
        <w:t xml:space="preserve"> </w:t>
      </w:r>
      <w:r w:rsidR="001044DE">
        <w:t>328</w:t>
      </w:r>
      <w:r w:rsidR="004447E3">
        <w:t xml:space="preserve"> applications </w:t>
      </w:r>
      <w:r w:rsidR="001044DE">
        <w:t>as to which Objectors seek reconsideration</w:t>
      </w:r>
      <w:r w:rsidR="00CC5FCD">
        <w:t>.</w:t>
      </w:r>
      <w:r w:rsidR="001044DE">
        <w:t xml:space="preserve">  All 328 </w:t>
      </w:r>
      <w:r w:rsidR="00657A97">
        <w:t>are</w:t>
      </w:r>
      <w:r w:rsidR="001044DE">
        <w:t xml:space="preserve"> applications for new FM translator construction permits.  </w:t>
      </w:r>
    </w:p>
  </w:footnote>
  <w:footnote w:id="4">
    <w:p w:rsidR="00F17F05">
      <w:pPr>
        <w:pStyle w:val="FootnoteText"/>
      </w:pPr>
      <w:r>
        <w:rPr>
          <w:rStyle w:val="FootnoteReference"/>
        </w:rPr>
        <w:footnoteRef/>
      </w:r>
      <w:r>
        <w:t xml:space="preserve"> The Petitions were timely filed on July 9, 2018, the last day on which petitions for reconsideration could be filed.  47 U.S.C. § 405(a), 47 CFR § 1.106(f).</w:t>
      </w:r>
    </w:p>
  </w:footnote>
  <w:footnote w:id="5">
    <w:p w:rsidR="00AA7677">
      <w:pPr>
        <w:pStyle w:val="FootnoteText"/>
      </w:pPr>
      <w:r>
        <w:rPr>
          <w:rStyle w:val="FootnoteReference"/>
        </w:rPr>
        <w:footnoteRef/>
      </w:r>
      <w:r>
        <w:t xml:space="preserve"> </w:t>
      </w:r>
      <w:r w:rsidR="0098750D">
        <w:t xml:space="preserve">Pub. L. 111-371, 124 Stat. 4072 (2011) (LCRA).  </w:t>
      </w:r>
      <w:r w:rsidRPr="0098750D" w:rsidR="0098750D">
        <w:rPr>
          <w:i/>
        </w:rPr>
        <w:t>See</w:t>
      </w:r>
      <w:r w:rsidR="0098750D">
        <w:t xml:space="preserve"> </w:t>
      </w:r>
      <w:r>
        <w:t>Objection</w:t>
      </w:r>
      <w:r w:rsidR="007F6FD9">
        <w:t>s</w:t>
      </w:r>
      <w:r>
        <w:t xml:space="preserve"> at 8</w:t>
      </w:r>
      <w:r w:rsidR="00B36CB2">
        <w:t>-13</w:t>
      </w:r>
      <w:r>
        <w:t>.</w:t>
      </w:r>
    </w:p>
  </w:footnote>
  <w:footnote w:id="6">
    <w:p w:rsidR="00CD50DB">
      <w:pPr>
        <w:pStyle w:val="FootnoteText"/>
      </w:pPr>
      <w:r>
        <w:rPr>
          <w:rStyle w:val="FootnoteReference"/>
        </w:rPr>
        <w:footnoteRef/>
      </w:r>
      <w:r>
        <w:t xml:space="preserve"> </w:t>
      </w:r>
      <w:r w:rsidRPr="00F64492">
        <w:rPr>
          <w:i/>
        </w:rPr>
        <w:t>Letter Decision</w:t>
      </w:r>
      <w:r>
        <w:t xml:space="preserve"> at 2-3.</w:t>
      </w:r>
    </w:p>
  </w:footnote>
  <w:footnote w:id="7">
    <w:p w:rsidR="00F64492">
      <w:pPr>
        <w:pStyle w:val="FootnoteText"/>
      </w:pPr>
      <w:r>
        <w:rPr>
          <w:rStyle w:val="FootnoteReference"/>
        </w:rPr>
        <w:footnoteRef/>
      </w:r>
      <w:r>
        <w:t xml:space="preserve"> </w:t>
      </w:r>
      <w:r w:rsidRPr="00F64492">
        <w:rPr>
          <w:i/>
        </w:rPr>
        <w:t>Id</w:t>
      </w:r>
      <w:r>
        <w:t>. at 3-6.</w:t>
      </w:r>
    </w:p>
  </w:footnote>
  <w:footnote w:id="8">
    <w:p w:rsidR="00D11233">
      <w:pPr>
        <w:pStyle w:val="FootnoteText"/>
      </w:pPr>
      <w:r>
        <w:rPr>
          <w:rStyle w:val="FootnoteReference"/>
        </w:rPr>
        <w:footnoteRef/>
      </w:r>
      <w:r>
        <w:t xml:space="preserve"> </w:t>
      </w:r>
      <w:r w:rsidRPr="000F1054">
        <w:rPr>
          <w:i/>
        </w:rPr>
        <w:t>See</w:t>
      </w:r>
      <w:r>
        <w:t xml:space="preserve"> 47 U.S.C. </w:t>
      </w:r>
      <w:r w:rsidR="000F1054">
        <w:t>§ 309(d)</w:t>
      </w:r>
      <w:r>
        <w:t>; 47 CFR §§ 73.3584(a), 73.5006</w:t>
      </w:r>
      <w:r w:rsidR="000F1054">
        <w:t>(a)-(b),</w:t>
      </w:r>
      <w:r>
        <w:t xml:space="preserve"> 74.1233(d).</w:t>
      </w:r>
    </w:p>
  </w:footnote>
  <w:footnote w:id="9">
    <w:p w:rsidR="004C30DE">
      <w:pPr>
        <w:pStyle w:val="FootnoteText"/>
      </w:pPr>
      <w:r>
        <w:rPr>
          <w:rStyle w:val="FootnoteReference"/>
        </w:rPr>
        <w:footnoteRef/>
      </w:r>
      <w:r>
        <w:t xml:space="preserve"> </w:t>
      </w:r>
      <w:r w:rsidR="001E25CD">
        <w:t xml:space="preserve">A petition to deny must be served in paper form as prescribed in 47 CFR § 1.47(d).  </w:t>
      </w:r>
      <w:r w:rsidRPr="001E25CD" w:rsidR="001E25CD">
        <w:rPr>
          <w:i/>
        </w:rPr>
        <w:t>See</w:t>
      </w:r>
      <w:r w:rsidR="001E25CD">
        <w:t xml:space="preserve"> </w:t>
      </w:r>
      <w:r w:rsidR="0066412B">
        <w:t xml:space="preserve">47 U.S.C. § 309(d)(1); </w:t>
      </w:r>
      <w:r w:rsidR="001E25CD">
        <w:t xml:space="preserve">47 CFR §§ 1.45(a), 1.939(c).  The Objections were not served in paper form; rather, “courtesy copies” were served by electronic mail.  Objections at 14.  </w:t>
      </w:r>
    </w:p>
  </w:footnote>
  <w:footnote w:id="10">
    <w:p w:rsidR="00032BF1">
      <w:pPr>
        <w:pStyle w:val="FootnoteText"/>
      </w:pPr>
      <w:r>
        <w:rPr>
          <w:rStyle w:val="FootnoteReference"/>
        </w:rPr>
        <w:footnoteRef/>
      </w:r>
      <w:r>
        <w:t xml:space="preserve"> 47 CFR § 1.106(b)(1).</w:t>
      </w:r>
    </w:p>
  </w:footnote>
  <w:footnote w:id="11">
    <w:p w:rsidR="006C0204">
      <w:pPr>
        <w:pStyle w:val="FootnoteText"/>
      </w:pPr>
      <w:r>
        <w:rPr>
          <w:rStyle w:val="FootnoteReference"/>
        </w:rPr>
        <w:footnoteRef/>
      </w:r>
      <w:r>
        <w:t xml:space="preserve"> </w:t>
      </w:r>
      <w:r w:rsidRPr="00032BF1">
        <w:rPr>
          <w:i/>
        </w:rPr>
        <w:t>See</w:t>
      </w:r>
      <w:r>
        <w:t xml:space="preserve">, </w:t>
      </w:r>
      <w:r w:rsidRPr="00032BF1">
        <w:rPr>
          <w:i/>
        </w:rPr>
        <w:t>e.g.</w:t>
      </w:r>
      <w:r>
        <w:t xml:space="preserve">, </w:t>
      </w:r>
      <w:r w:rsidRPr="00032BF1">
        <w:rPr>
          <w:i/>
        </w:rPr>
        <w:t>Regionet</w:t>
      </w:r>
      <w:r w:rsidRPr="00032BF1">
        <w:rPr>
          <w:i/>
        </w:rPr>
        <w:t xml:space="preserve"> Wireless License, LLC</w:t>
      </w:r>
      <w:r>
        <w:t xml:space="preserve">, Memorandum Opinion and Order, 17 FCC </w:t>
      </w:r>
      <w:r>
        <w:t>Rcd</w:t>
      </w:r>
      <w:r>
        <w:t xml:space="preserve"> 21269, 21271 n.23 (2002) (citing </w:t>
      </w:r>
      <w:r w:rsidRPr="00032BF1">
        <w:rPr>
          <w:i/>
        </w:rPr>
        <w:t>Redwood Microwave Association, Inc.</w:t>
      </w:r>
      <w:r>
        <w:t>, Memorandum Opinion and Order, 61 F.C</w:t>
      </w:r>
      <w:r w:rsidR="00032BF1">
        <w:t>.C.2d 442, 443, para. 3 (1976)).</w:t>
      </w:r>
      <w:r w:rsidR="0066412B">
        <w:t xml:space="preserve">  </w:t>
      </w:r>
      <w:r w:rsidRPr="0066412B" w:rsidR="0066412B">
        <w:rPr>
          <w:i/>
        </w:rPr>
        <w:t>See also</w:t>
      </w:r>
      <w:r w:rsidR="0066412B">
        <w:t xml:space="preserve">, </w:t>
      </w:r>
      <w:r w:rsidRPr="0066412B" w:rsidR="0066412B">
        <w:rPr>
          <w:i/>
        </w:rPr>
        <w:t>e.g.</w:t>
      </w:r>
      <w:r w:rsidR="0066412B">
        <w:t xml:space="preserve">, </w:t>
      </w:r>
      <w:r w:rsidRPr="0066412B" w:rsidR="0066412B">
        <w:rPr>
          <w:i/>
        </w:rPr>
        <w:t>Dennis J. Kelly, Esq., et al.</w:t>
      </w:r>
      <w:r w:rsidR="0066412B">
        <w:t xml:space="preserve">, Letter Decision, 32 FCC </w:t>
      </w:r>
      <w:r w:rsidR="0066412B">
        <w:t>Rcd</w:t>
      </w:r>
      <w:r w:rsidR="0066412B">
        <w:t xml:space="preserve"> 6880, 6883 (MB 2017) (citing </w:t>
      </w:r>
      <w:r w:rsidRPr="0066412B" w:rsidR="0066412B">
        <w:rPr>
          <w:i/>
        </w:rPr>
        <w:t>Montgomery County Broad. Corp.</w:t>
      </w:r>
      <w:r w:rsidR="0066412B">
        <w:t>, Memorandum Opinion and Order, 65 F.C.C.2d 876, 877 n.2 (1977)).</w:t>
      </w:r>
    </w:p>
  </w:footnote>
  <w:footnote w:id="12">
    <w:p w:rsidR="00786DDB">
      <w:pPr>
        <w:pStyle w:val="FootnoteText"/>
      </w:pPr>
      <w:r>
        <w:rPr>
          <w:rStyle w:val="FootnoteReference"/>
        </w:rPr>
        <w:footnoteRef/>
      </w:r>
      <w:r>
        <w:t xml:space="preserve"> 47 CFR § 1.106(b)(1).</w:t>
      </w:r>
    </w:p>
  </w:footnote>
  <w:footnote w:id="13">
    <w:p w:rsidR="00786DDB">
      <w:pPr>
        <w:pStyle w:val="FootnoteText"/>
      </w:pPr>
      <w:r>
        <w:rPr>
          <w:rStyle w:val="FootnoteReference"/>
        </w:rPr>
        <w:footnoteRef/>
      </w:r>
      <w:r>
        <w:t xml:space="preserve"> File No. BNPFT-20180508ABL (Camden Application).</w:t>
      </w:r>
    </w:p>
  </w:footnote>
  <w:footnote w:id="14">
    <w:p w:rsidR="00786DDB">
      <w:pPr>
        <w:pStyle w:val="FootnoteText"/>
      </w:pPr>
      <w:r>
        <w:rPr>
          <w:rStyle w:val="FootnoteReference"/>
        </w:rPr>
        <w:footnoteRef/>
      </w:r>
      <w:r>
        <w:t xml:space="preserve"> Objections at 14.</w:t>
      </w:r>
    </w:p>
  </w:footnote>
  <w:footnote w:id="15">
    <w:p w:rsidR="004C30DE">
      <w:pPr>
        <w:pStyle w:val="FootnoteText"/>
      </w:pPr>
      <w:r>
        <w:rPr>
          <w:rStyle w:val="FootnoteReference"/>
        </w:rPr>
        <w:footnoteRef/>
      </w:r>
      <w:r>
        <w:t xml:space="preserve"> File No. BNPFT-20180507ADL (Rocklin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pPr>
      <w:tabs>
        <w:tab w:val="center" w:pos="4680"/>
        <w:tab w:val="right" w:pos="9360"/>
      </w:tabs>
      <w:suppressAutoHyphens/>
      <w:spacing w:line="227" w:lineRule="auto"/>
      <w:jc w:val="both"/>
      <w:rPr>
        <w:rFonts w:ascii="Calisto MT" w:hAnsi="Calisto MT"/>
        <w:spacing w:val="-2"/>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RPr="00504897">
    <w:pPr>
      <w:pStyle w:val="Heading2"/>
      <w:spacing w:line="240" w:lineRule="auto"/>
      <w:rPr>
        <w:rFonts w:ascii="CG Times" w:hAnsi="CG Times"/>
        <w:b/>
        <w:color w:val="000000"/>
        <w:szCs w:val="24"/>
      </w:rPr>
    </w:pPr>
    <w:r>
      <w:rPr>
        <w:rFonts w:ascii="CG Times" w:hAnsi="CG Times"/>
        <w:b/>
        <w:noProof/>
        <w:snapToGrid/>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9.3pt;height:64.8pt;margin-top:2pt;margin-left:-24.8pt;mso-wrap-edited:f;position:absolute;visibility:visible;z-index:251658240" o:oleicon="f" o:allowincell="f" filled="t" fillcolor="#3cc">
          <v:imagedata r:id="rId1" o:title="" gain="69719f"/>
        </v:shape>
        <o:OLEObject Type="Embed" ProgID="Word.Picture.8" ShapeID="_x0000_s2049" DrawAspect="Content" ObjectID="_1592985657" r:id="rId2"/>
      </w:pict>
    </w:r>
    <w:r w:rsidRPr="00504897" w:rsidR="0092040F">
      <w:rPr>
        <w:rFonts w:ascii="CG Times" w:hAnsi="CG Times"/>
        <w:b/>
        <w:color w:val="000000"/>
        <w:szCs w:val="24"/>
      </w:rPr>
      <w:t>Federal Communications Commission</w:t>
    </w:r>
  </w:p>
  <w:p w:rsidR="00BF6E58" w:rsidRPr="00504897">
    <w:pPr>
      <w:jc w:val="center"/>
      <w:rPr>
        <w:rFonts w:ascii="CG Times" w:hAnsi="CG Times"/>
        <w:b/>
        <w:color w:val="000000"/>
        <w:spacing w:val="-2"/>
        <w:sz w:val="28"/>
      </w:rPr>
    </w:pPr>
    <w:r w:rsidRPr="00504897">
      <w:rPr>
        <w:rFonts w:ascii="CG Times" w:hAnsi="CG Times"/>
        <w:b/>
        <w:color w:val="000000"/>
        <w:spacing w:val="-2"/>
        <w:szCs w:val="24"/>
      </w:rPr>
      <w:t>Washington, D.C. 20554</w:t>
    </w:r>
  </w:p>
  <w:p w:rsidR="00BF6E58" w:rsidP="00BF6E58">
    <w:pPr>
      <w:rPr>
        <w:spacing w:val="-2"/>
        <w:sz w:val="22"/>
        <w:szCs w:val="22"/>
      </w:rPr>
    </w:pPr>
  </w:p>
  <w:p w:rsidR="00BF6E5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Appel note de bas de p,FR,Footnote Reference/,Style 12,Style 124,Style 13,Style 17,Style 3,Style 4,Style 6,Style 7,fr,o"/>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Style2">
    <w:name w:val="Style2"/>
    <w:basedOn w:val="DefaultParagraphFont"/>
    <w:uiPriority w:val="1"/>
    <w:rsid w:val="00456E08"/>
    <w:rPr>
      <w:rFonts w:ascii="Times New Roman" w:hAnsi="Times New Roman"/>
      <w:b/>
      <w:sz w:val="22"/>
    </w:rPr>
  </w:style>
  <w:style w:type="paragraph" w:styleId="EndnoteText">
    <w:name w:val="endnote text"/>
    <w:basedOn w:val="Normal"/>
    <w:link w:val="EndnoteTextChar"/>
    <w:semiHidden/>
    <w:rsid w:val="00544604"/>
    <w:rPr>
      <w:kern w:val="28"/>
      <w:sz w:val="20"/>
    </w:rPr>
  </w:style>
  <w:style w:type="character" w:customStyle="1" w:styleId="EndnoteTextChar">
    <w:name w:val="Endnote Text Char"/>
    <w:basedOn w:val="DefaultParagraphFont"/>
    <w:link w:val="EndnoteText"/>
    <w:semiHidden/>
    <w:rsid w:val="00544604"/>
    <w:rPr>
      <w:rFonts w:ascii="Times New Roman" w:eastAsia="Times New Roman" w:hAnsi="Times New Roman" w:cs="Times New Roman"/>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Thomas.Nessinger\Documents\Custom%20Office%20Templates\MB-AD%20Letter%20Template%20(unpub).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MB-AD Letter Template (unpub)</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