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7672A" w:rsidRPr="00EB26EB" w:rsidP="0077672A" w14:paraId="4AF9A32B" w14:textId="77777777">
      <w:pPr>
        <w:rPr>
          <w:rFonts w:ascii="Times New Roman" w:hAnsi="Times New Roman"/>
          <w:szCs w:val="24"/>
        </w:rPr>
      </w:pPr>
      <w:bookmarkStart w:id="0" w:name="_GoBack"/>
      <w:bookmarkEnd w:id="0"/>
    </w:p>
    <w:p w:rsidR="0077672A" w:rsidRPr="00EB26EB" w:rsidP="0077672A" w14:paraId="65F58335" w14:textId="77777777">
      <w:pPr>
        <w:rPr>
          <w:rFonts w:ascii="Times New Roman" w:hAnsi="Times New Roman"/>
          <w:i/>
          <w:sz w:val="22"/>
          <w:szCs w:val="22"/>
        </w:rPr>
      </w:pPr>
    </w:p>
    <w:p w:rsidR="0077672A" w:rsidRPr="00EB26EB" w:rsidP="0077672A" w14:paraId="16B77940" w14:textId="77777777">
      <w:pPr>
        <w:rPr>
          <w:rFonts w:ascii="Times New Roman" w:hAnsi="Times New Roman"/>
          <w:sz w:val="22"/>
          <w:szCs w:val="22"/>
        </w:rPr>
      </w:pPr>
    </w:p>
    <w:p w:rsidR="0077672A" w:rsidRPr="000669D2" w:rsidP="0077672A" w14:paraId="17B33C6F" w14:textId="3FA923DB">
      <w:pPr>
        <w:rPr>
          <w:rFonts w:ascii="Times New Roman" w:hAnsi="Times New Roman"/>
          <w:b/>
          <w:sz w:val="22"/>
          <w:szCs w:val="22"/>
        </w:rPr>
      </w:pP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0669D2">
        <w:rPr>
          <w:rFonts w:ascii="Times New Roman" w:hAnsi="Times New Roman"/>
          <w:b/>
          <w:sz w:val="22"/>
          <w:szCs w:val="22"/>
        </w:rPr>
        <w:t xml:space="preserve">DA </w:t>
      </w:r>
      <w:r w:rsidR="00455134">
        <w:rPr>
          <w:rFonts w:ascii="Times New Roman" w:hAnsi="Times New Roman"/>
          <w:b/>
          <w:sz w:val="22"/>
          <w:szCs w:val="22"/>
        </w:rPr>
        <w:t>18-73</w:t>
      </w:r>
    </w:p>
    <w:p w:rsidR="0077672A" w:rsidRPr="000669D2" w:rsidP="0077672A" w14:paraId="522219EF" w14:textId="68C7D4C6">
      <w:pPr>
        <w:rPr>
          <w:rFonts w:ascii="Times New Roman" w:hAnsi="Times New Roman"/>
          <w:b/>
          <w:sz w:val="22"/>
          <w:szCs w:val="22"/>
        </w:rPr>
      </w:pP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t xml:space="preserve">Released: January </w:t>
      </w:r>
      <w:r w:rsidR="00455134">
        <w:rPr>
          <w:rFonts w:ascii="Times New Roman" w:hAnsi="Times New Roman"/>
          <w:b/>
          <w:sz w:val="22"/>
          <w:szCs w:val="22"/>
        </w:rPr>
        <w:t>25</w:t>
      </w:r>
      <w:r w:rsidRPr="000669D2">
        <w:rPr>
          <w:rFonts w:ascii="Times New Roman" w:hAnsi="Times New Roman"/>
          <w:b/>
          <w:sz w:val="22"/>
          <w:szCs w:val="22"/>
        </w:rPr>
        <w:t>, 2018</w:t>
      </w:r>
    </w:p>
    <w:p w:rsidR="0077672A" w:rsidRPr="005564C3" w:rsidP="0077672A" w14:paraId="0149B4BA" w14:textId="77777777">
      <w:pPr>
        <w:rPr>
          <w:rFonts w:ascii="Times New Roman" w:hAnsi="Times New Roman"/>
          <w:i/>
          <w:sz w:val="22"/>
          <w:szCs w:val="22"/>
        </w:rPr>
      </w:pPr>
    </w:p>
    <w:p w:rsidR="0077672A" w:rsidRPr="005564C3" w:rsidP="0077672A" w14:paraId="03A70151" w14:textId="77777777">
      <w:pPr>
        <w:rPr>
          <w:rFonts w:ascii="Times New Roman" w:hAnsi="Times New Roman"/>
          <w:i/>
          <w:sz w:val="22"/>
          <w:szCs w:val="22"/>
        </w:rPr>
      </w:pPr>
    </w:p>
    <w:p w:rsidR="0077672A" w:rsidRPr="005564C3" w:rsidP="0077672A" w14:paraId="38EA2751" w14:textId="77777777">
      <w:pPr>
        <w:rPr>
          <w:rFonts w:ascii="Times New Roman" w:hAnsi="Times New Roman"/>
          <w:sz w:val="22"/>
          <w:szCs w:val="22"/>
        </w:rPr>
      </w:pPr>
      <w:r w:rsidRPr="005564C3">
        <w:rPr>
          <w:rFonts w:ascii="Times New Roman" w:hAnsi="Times New Roman"/>
          <w:i/>
          <w:sz w:val="22"/>
          <w:szCs w:val="22"/>
        </w:rPr>
        <w:t>Via Electronic Mail</w:t>
      </w:r>
    </w:p>
    <w:p w:rsidR="0077672A" w:rsidRPr="005564C3" w:rsidP="0077672A" w14:paraId="09F317D1" w14:textId="77777777">
      <w:pPr>
        <w:rPr>
          <w:sz w:val="22"/>
          <w:szCs w:val="22"/>
        </w:rPr>
      </w:pPr>
    </w:p>
    <w:p w:rsidR="0077672A" w:rsidRPr="000669D2" w:rsidP="0077672A" w14:paraId="4DE568CB" w14:textId="77777777">
      <w:pPr>
        <w:autoSpaceDE w:val="0"/>
        <w:autoSpaceDN w:val="0"/>
        <w:adjustRightInd w:val="0"/>
        <w:rPr>
          <w:rFonts w:ascii="Times New Roman" w:hAnsi="Times New Roman"/>
          <w:sz w:val="22"/>
          <w:szCs w:val="22"/>
        </w:rPr>
      </w:pPr>
      <w:r w:rsidRPr="000669D2">
        <w:rPr>
          <w:rFonts w:ascii="Times New Roman" w:hAnsi="Times New Roman"/>
          <w:sz w:val="22"/>
          <w:szCs w:val="22"/>
        </w:rPr>
        <w:t>Meredith S. Senter, Jr.</w:t>
      </w:r>
    </w:p>
    <w:p w:rsidR="0077672A" w:rsidRPr="000669D2" w:rsidP="0077672A" w14:paraId="74F2129A" w14:textId="77777777">
      <w:pPr>
        <w:autoSpaceDE w:val="0"/>
        <w:autoSpaceDN w:val="0"/>
        <w:adjustRightInd w:val="0"/>
        <w:rPr>
          <w:rFonts w:ascii="Times New Roman" w:hAnsi="Times New Roman"/>
          <w:sz w:val="22"/>
          <w:szCs w:val="22"/>
        </w:rPr>
      </w:pPr>
      <w:r w:rsidRPr="000669D2">
        <w:rPr>
          <w:rFonts w:ascii="Times New Roman" w:hAnsi="Times New Roman"/>
          <w:sz w:val="22"/>
          <w:szCs w:val="22"/>
        </w:rPr>
        <w:t>Lerman Senter PLLC</w:t>
      </w:r>
    </w:p>
    <w:p w:rsidR="0077672A" w:rsidRPr="000669D2" w:rsidP="0077672A" w14:paraId="05C09C81" w14:textId="77777777">
      <w:pPr>
        <w:autoSpaceDE w:val="0"/>
        <w:autoSpaceDN w:val="0"/>
        <w:adjustRightInd w:val="0"/>
        <w:rPr>
          <w:rFonts w:ascii="Times New Roman" w:hAnsi="Times New Roman"/>
          <w:sz w:val="22"/>
          <w:szCs w:val="22"/>
        </w:rPr>
      </w:pPr>
      <w:r w:rsidRPr="000669D2">
        <w:rPr>
          <w:rFonts w:ascii="Times New Roman" w:hAnsi="Times New Roman"/>
          <w:sz w:val="22"/>
          <w:szCs w:val="22"/>
        </w:rPr>
        <w:t>2001 L Street, NW, Suite 400</w:t>
      </w:r>
    </w:p>
    <w:p w:rsidR="0077672A" w:rsidRPr="000669D2" w:rsidP="0077672A" w14:paraId="4940AC65" w14:textId="77777777">
      <w:pPr>
        <w:autoSpaceDE w:val="0"/>
        <w:autoSpaceDN w:val="0"/>
        <w:adjustRightInd w:val="0"/>
        <w:rPr>
          <w:rFonts w:ascii="Times New Roman" w:hAnsi="Times New Roman"/>
          <w:sz w:val="22"/>
          <w:szCs w:val="22"/>
        </w:rPr>
      </w:pPr>
      <w:r w:rsidRPr="000669D2">
        <w:rPr>
          <w:rFonts w:ascii="Times New Roman" w:hAnsi="Times New Roman"/>
          <w:sz w:val="22"/>
          <w:szCs w:val="22"/>
        </w:rPr>
        <w:t>Washington, DC 20036</w:t>
      </w:r>
    </w:p>
    <w:p w:rsidR="0077672A" w:rsidRPr="005564C3" w:rsidP="0077672A" w14:paraId="51228CFC" w14:textId="77777777">
      <w:pPr>
        <w:rPr>
          <w:rFonts w:ascii="Times New Roman" w:hAnsi="Times New Roman"/>
          <w:sz w:val="22"/>
          <w:szCs w:val="22"/>
        </w:rPr>
      </w:pPr>
      <w:r w:rsidRPr="000669D2">
        <w:rPr>
          <w:rFonts w:ascii="Times New Roman" w:hAnsi="Times New Roman"/>
          <w:sz w:val="22"/>
          <w:szCs w:val="22"/>
        </w:rPr>
        <w:t>msenter@lermansenter.com</w:t>
      </w:r>
    </w:p>
    <w:p w:rsidR="0077672A" w:rsidRPr="005564C3" w:rsidP="0077672A" w14:paraId="358787C6" w14:textId="77777777">
      <w:pPr>
        <w:rPr>
          <w:rFonts w:ascii="Times New Roman" w:hAnsi="Times New Roman"/>
          <w:sz w:val="22"/>
          <w:szCs w:val="22"/>
        </w:rPr>
      </w:pPr>
    </w:p>
    <w:p w:rsidR="0077672A" w:rsidRPr="005564C3" w:rsidP="0077672A" w14:paraId="2B7083CF" w14:textId="77777777">
      <w:pPr>
        <w:rPr>
          <w:rFonts w:ascii="Times New Roman" w:hAnsi="Times New Roman"/>
          <w:sz w:val="22"/>
          <w:szCs w:val="22"/>
        </w:rPr>
      </w:pPr>
    </w:p>
    <w:p w:rsidR="0077672A" w:rsidRPr="005564C3" w:rsidP="0077672A" w14:paraId="167D5D9D" w14:textId="77777777">
      <w:pPr>
        <w:rPr>
          <w:rFonts w:ascii="Times New Roman" w:hAnsi="Times New Roman"/>
          <w:sz w:val="22"/>
          <w:szCs w:val="22"/>
        </w:rPr>
      </w:pPr>
    </w:p>
    <w:p w:rsidR="0077672A" w:rsidRPr="005564C3" w:rsidP="0077672A" w14:paraId="627D1977" w14:textId="77777777">
      <w:pPr>
        <w:ind w:left="1440" w:hanging="720"/>
        <w:rPr>
          <w:rFonts w:ascii="Times New Roman" w:hAnsi="Times New Roman"/>
          <w:sz w:val="22"/>
          <w:szCs w:val="22"/>
        </w:rPr>
      </w:pPr>
      <w:r w:rsidRPr="005564C3">
        <w:rPr>
          <w:rFonts w:ascii="Times New Roman" w:hAnsi="Times New Roman"/>
          <w:b/>
          <w:sz w:val="22"/>
          <w:szCs w:val="22"/>
        </w:rPr>
        <w:t>Re:</w:t>
      </w:r>
      <w:r w:rsidRPr="005564C3">
        <w:rPr>
          <w:rFonts w:ascii="Times New Roman" w:hAnsi="Times New Roman"/>
          <w:b/>
          <w:sz w:val="22"/>
          <w:szCs w:val="22"/>
        </w:rPr>
        <w:tab/>
        <w:t xml:space="preserve">Petition for Declaratory Ruling by Spanish Broadcasting System, Inc. </w:t>
      </w:r>
      <w:r>
        <w:rPr>
          <w:rFonts w:ascii="Times New Roman" w:hAnsi="Times New Roman"/>
          <w:b/>
          <w:sz w:val="22"/>
          <w:szCs w:val="22"/>
        </w:rPr>
        <w:t>P</w:t>
      </w:r>
      <w:r w:rsidRPr="005564C3">
        <w:rPr>
          <w:rFonts w:ascii="Times New Roman" w:hAnsi="Times New Roman"/>
          <w:b/>
          <w:sz w:val="22"/>
          <w:szCs w:val="22"/>
        </w:rPr>
        <w:t xml:space="preserve">ursuant to </w:t>
      </w:r>
      <w:bookmarkStart w:id="1" w:name="_Hlk501524492"/>
      <w:r w:rsidRPr="005564C3">
        <w:rPr>
          <w:rFonts w:ascii="Times New Roman" w:hAnsi="Times New Roman"/>
          <w:b/>
          <w:sz w:val="22"/>
          <w:szCs w:val="22"/>
        </w:rPr>
        <w:t>47 C.F.R. § 1.5004(f)(3)</w:t>
      </w:r>
      <w:bookmarkEnd w:id="1"/>
      <w:r w:rsidRPr="005564C3">
        <w:rPr>
          <w:rFonts w:ascii="Times New Roman" w:hAnsi="Times New Roman"/>
          <w:b/>
          <w:sz w:val="22"/>
          <w:szCs w:val="22"/>
        </w:rPr>
        <w:t>.</w:t>
      </w:r>
    </w:p>
    <w:p w:rsidR="0077672A" w:rsidRPr="005564C3" w:rsidP="0077672A" w14:paraId="7446C45E" w14:textId="77777777">
      <w:pPr>
        <w:rPr>
          <w:rFonts w:ascii="Times New Roman" w:hAnsi="Times New Roman"/>
          <w:sz w:val="22"/>
          <w:szCs w:val="22"/>
        </w:rPr>
      </w:pPr>
    </w:p>
    <w:p w:rsidR="0077672A" w:rsidRPr="005564C3" w:rsidP="0077672A" w14:paraId="59E837B1" w14:textId="77777777">
      <w:pPr>
        <w:rPr>
          <w:rFonts w:ascii="Times New Roman" w:hAnsi="Times New Roman"/>
          <w:sz w:val="22"/>
          <w:szCs w:val="22"/>
        </w:rPr>
      </w:pPr>
      <w:r w:rsidRPr="005564C3">
        <w:rPr>
          <w:rFonts w:ascii="Times New Roman" w:hAnsi="Times New Roman"/>
          <w:sz w:val="22"/>
          <w:szCs w:val="22"/>
        </w:rPr>
        <w:t>Dear Counsel:</w:t>
      </w:r>
    </w:p>
    <w:p w:rsidR="0077672A" w:rsidRPr="00913ED4" w:rsidP="0077672A" w14:paraId="3CAD70B8" w14:textId="77777777">
      <w:pPr>
        <w:rPr>
          <w:rFonts w:ascii="Times New Roman" w:hAnsi="Times New Roman"/>
          <w:sz w:val="22"/>
          <w:szCs w:val="22"/>
        </w:rPr>
      </w:pPr>
    </w:p>
    <w:p w:rsidR="0077672A" w:rsidRPr="00913ED4" w:rsidP="0077672A" w14:paraId="64CA2081" w14:textId="77777777">
      <w:pPr>
        <w:spacing w:after="220"/>
        <w:ind w:firstLine="720"/>
        <w:rPr>
          <w:rFonts w:ascii="Times New Roman" w:hAnsi="Times New Roman"/>
          <w:sz w:val="22"/>
          <w:szCs w:val="22"/>
        </w:rPr>
      </w:pPr>
      <w:r w:rsidRPr="00913ED4">
        <w:rPr>
          <w:rFonts w:ascii="Times New Roman" w:hAnsi="Times New Roman"/>
          <w:sz w:val="22"/>
          <w:szCs w:val="22"/>
        </w:rPr>
        <w:t>This is in regard to the remedial petition for declaratory ruling filed by Spanish Broadcasting System, Inc. (SBS) seeking Commission approval to exceed the foreign ownership benchmark in Section 310(b)(4) of the Communications Act of 1934, as Amended</w:t>
      </w:r>
      <w:r>
        <w:rPr>
          <w:rStyle w:val="FootnoteReference"/>
          <w:rFonts w:ascii="Times New Roman" w:hAnsi="Times New Roman"/>
          <w:sz w:val="22"/>
          <w:szCs w:val="22"/>
        </w:rPr>
        <w:footnoteReference w:id="2"/>
      </w:r>
      <w:r w:rsidRPr="00913ED4">
        <w:rPr>
          <w:rFonts w:ascii="Times New Roman" w:hAnsi="Times New Roman"/>
          <w:sz w:val="22"/>
          <w:szCs w:val="22"/>
        </w:rPr>
        <w:t xml:space="preserve"> (the Act) or, in the alternative, to find that the remedial actions SBS has taken to come into compliance with Section 310(b)(4) are sufficient.</w:t>
      </w:r>
      <w:r>
        <w:rPr>
          <w:rStyle w:val="FootnoteReference"/>
          <w:rFonts w:ascii="Times New Roman" w:hAnsi="Times New Roman"/>
          <w:sz w:val="22"/>
          <w:szCs w:val="22"/>
        </w:rPr>
        <w:footnoteReference w:id="3"/>
      </w:r>
      <w:r w:rsidRPr="00913ED4">
        <w:rPr>
          <w:rFonts w:ascii="Times New Roman" w:hAnsi="Times New Roman"/>
          <w:sz w:val="22"/>
          <w:szCs w:val="22"/>
        </w:rPr>
        <w:t xml:space="preserve">  For the reasons stated below, we find that SBS’s PDR requires additional information that is essential for our review.  </w:t>
      </w:r>
    </w:p>
    <w:p w:rsidR="0077672A" w:rsidRPr="00913ED4" w:rsidP="0077672A" w14:paraId="394DD0A7" w14:textId="77777777">
      <w:pPr>
        <w:spacing w:after="220"/>
        <w:ind w:firstLine="720"/>
        <w:rPr>
          <w:rFonts w:ascii="Times New Roman" w:hAnsi="Times New Roman"/>
          <w:sz w:val="22"/>
          <w:szCs w:val="22"/>
        </w:rPr>
      </w:pPr>
      <w:r>
        <w:rPr>
          <w:rFonts w:ascii="Times New Roman" w:hAnsi="Times New Roman"/>
          <w:i/>
          <w:sz w:val="22"/>
          <w:szCs w:val="22"/>
        </w:rPr>
        <w:t xml:space="preserve">Background.  </w:t>
      </w:r>
      <w:r w:rsidRPr="00913ED4">
        <w:rPr>
          <w:rFonts w:ascii="Times New Roman" w:hAnsi="Times New Roman"/>
          <w:sz w:val="22"/>
          <w:szCs w:val="22"/>
        </w:rPr>
        <w:t>On November 13, 2017, SBS, the parent company of entities holding television and radio broadcast licenses, filed a notice</w:t>
      </w:r>
      <w:r>
        <w:rPr>
          <w:rStyle w:val="FootnoteReference"/>
          <w:rFonts w:ascii="Times New Roman" w:hAnsi="Times New Roman"/>
          <w:sz w:val="22"/>
          <w:szCs w:val="22"/>
        </w:rPr>
        <w:footnoteReference w:id="4"/>
      </w:r>
      <w:r w:rsidRPr="00913ED4">
        <w:rPr>
          <w:rFonts w:ascii="Times New Roman" w:hAnsi="Times New Roman"/>
          <w:sz w:val="22"/>
          <w:szCs w:val="22"/>
        </w:rPr>
        <w:t xml:space="preserve"> with the Media Bureau pursuant to § 1.5004(f)(3)(i) of our Rules,</w:t>
      </w:r>
      <w:r>
        <w:rPr>
          <w:rStyle w:val="FootnoteReference"/>
          <w:rFonts w:ascii="Times New Roman" w:hAnsi="Times New Roman"/>
          <w:sz w:val="22"/>
          <w:szCs w:val="22"/>
        </w:rPr>
        <w:footnoteReference w:id="5"/>
      </w:r>
      <w:r w:rsidRPr="00913ED4">
        <w:rPr>
          <w:rFonts w:ascii="Times New Roman" w:hAnsi="Times New Roman"/>
          <w:sz w:val="22"/>
          <w:szCs w:val="22"/>
        </w:rPr>
        <w:t xml:space="preserve"> which requires a licensee to inform the Commission within 10 days if it discovers that it is out of compliance with the foreign ownership restrictions of the Act.  </w:t>
      </w:r>
      <w:r>
        <w:rPr>
          <w:rFonts w:ascii="Times New Roman" w:hAnsi="Times New Roman"/>
          <w:sz w:val="22"/>
          <w:szCs w:val="22"/>
        </w:rPr>
        <w:t xml:space="preserve">In the Notice, SBS claims that it learned that it could be out of compliance with the Commission’s foreign ownership rules after it was served with </w:t>
      </w:r>
      <w:r w:rsidRPr="00913ED4">
        <w:rPr>
          <w:rFonts w:ascii="Times New Roman" w:hAnsi="Times New Roman"/>
          <w:sz w:val="22"/>
          <w:szCs w:val="22"/>
        </w:rPr>
        <w:t>a lawsuit</w:t>
      </w:r>
      <w:r>
        <w:rPr>
          <w:rStyle w:val="FootnoteReference"/>
          <w:rFonts w:ascii="Times New Roman" w:hAnsi="Times New Roman"/>
          <w:sz w:val="22"/>
          <w:szCs w:val="22"/>
        </w:rPr>
        <w:footnoteReference w:id="6"/>
      </w:r>
      <w:r w:rsidRPr="00913ED4">
        <w:rPr>
          <w:rFonts w:ascii="Times New Roman" w:hAnsi="Times New Roman"/>
          <w:sz w:val="22"/>
          <w:szCs w:val="22"/>
        </w:rPr>
        <w:t xml:space="preserve"> (the Complaint) filed in the Delaware Chancery Court by </w:t>
      </w:r>
      <w:r>
        <w:rPr>
          <w:rFonts w:ascii="Times New Roman" w:hAnsi="Times New Roman"/>
          <w:sz w:val="22"/>
          <w:szCs w:val="22"/>
        </w:rPr>
        <w:t xml:space="preserve">certain </w:t>
      </w:r>
      <w:r w:rsidRPr="00913ED4">
        <w:rPr>
          <w:rFonts w:ascii="Times New Roman" w:hAnsi="Times New Roman"/>
          <w:sz w:val="22"/>
          <w:szCs w:val="22"/>
        </w:rPr>
        <w:t xml:space="preserve">holders of its Series B Cumulative Exchangeable Redeemable Preferred Stock </w:t>
      </w:r>
      <w:r>
        <w:rPr>
          <w:rFonts w:ascii="Times New Roman" w:hAnsi="Times New Roman"/>
          <w:sz w:val="22"/>
          <w:szCs w:val="22"/>
        </w:rPr>
        <w:t>(Dissident Shareholders)</w:t>
      </w:r>
      <w:r w:rsidRPr="00913ED4">
        <w:rPr>
          <w:rFonts w:ascii="Times New Roman" w:hAnsi="Times New Roman"/>
          <w:sz w:val="22"/>
          <w:szCs w:val="22"/>
        </w:rPr>
        <w:t>.</w:t>
      </w:r>
      <w:r>
        <w:rPr>
          <w:rStyle w:val="FootnoteReference"/>
          <w:rFonts w:ascii="Times New Roman" w:hAnsi="Times New Roman"/>
          <w:sz w:val="22"/>
          <w:szCs w:val="22"/>
        </w:rPr>
        <w:footnoteReference w:id="7"/>
      </w:r>
      <w:r>
        <w:rPr>
          <w:rFonts w:ascii="Times New Roman" w:hAnsi="Times New Roman"/>
          <w:sz w:val="22"/>
          <w:szCs w:val="22"/>
        </w:rPr>
        <w:t xml:space="preserve"> </w:t>
      </w:r>
      <w:r w:rsidRPr="00913ED4">
        <w:rPr>
          <w:rFonts w:ascii="Times New Roman" w:hAnsi="Times New Roman"/>
          <w:sz w:val="22"/>
          <w:szCs w:val="22"/>
        </w:rPr>
        <w:t xml:space="preserve">On November 28, 2017, SBS filed an SEC Form 8-K, in which it explained that it had notified the </w:t>
      </w:r>
      <w:bookmarkStart w:id="2" w:name="_Hlk504479631"/>
      <w:r w:rsidRPr="00913ED4">
        <w:rPr>
          <w:rFonts w:ascii="Times New Roman" w:hAnsi="Times New Roman"/>
          <w:sz w:val="22"/>
          <w:szCs w:val="22"/>
        </w:rPr>
        <w:t>holders of its Series B Cumulative Exchangeable Redeemable Preferred Stock</w:t>
      </w:r>
      <w:bookmarkEnd w:id="2"/>
      <w:r w:rsidRPr="00913ED4">
        <w:rPr>
          <w:rFonts w:ascii="Times New Roman" w:hAnsi="Times New Roman"/>
          <w:sz w:val="22"/>
          <w:szCs w:val="22"/>
        </w:rPr>
        <w:t xml:space="preserve"> (Series B Shareholders) that it had suspended all of their rights other than the right to transfer their shares to a citizen of the United States.</w:t>
      </w:r>
      <w:r>
        <w:rPr>
          <w:rStyle w:val="FootnoteReference"/>
          <w:rFonts w:ascii="Times New Roman" w:hAnsi="Times New Roman"/>
          <w:sz w:val="22"/>
          <w:szCs w:val="22"/>
        </w:rPr>
        <w:footnoteReference w:id="8"/>
      </w:r>
      <w:r w:rsidRPr="00913ED4">
        <w:rPr>
          <w:rFonts w:ascii="Times New Roman" w:hAnsi="Times New Roman"/>
          <w:sz w:val="22"/>
          <w:szCs w:val="22"/>
        </w:rPr>
        <w:t xml:space="preserve">  In its SEC filing, SBS said that those shares had been exchanged for “Foreign Share Certificates.”</w:t>
      </w:r>
      <w:r>
        <w:rPr>
          <w:rStyle w:val="FootnoteReference"/>
          <w:rFonts w:ascii="Times New Roman" w:hAnsi="Times New Roman"/>
          <w:sz w:val="22"/>
          <w:szCs w:val="22"/>
        </w:rPr>
        <w:footnoteReference w:id="9"/>
      </w:r>
      <w:r w:rsidRPr="00913ED4">
        <w:rPr>
          <w:rFonts w:ascii="Times New Roman" w:hAnsi="Times New Roman"/>
          <w:sz w:val="22"/>
          <w:szCs w:val="22"/>
        </w:rPr>
        <w:t xml:space="preserve"> According to SBS, the holder of a Foreign Share Certificate has no rights other</w:t>
      </w:r>
      <w:r>
        <w:rPr>
          <w:rFonts w:ascii="Times New Roman" w:hAnsi="Times New Roman"/>
          <w:sz w:val="22"/>
          <w:szCs w:val="22"/>
        </w:rPr>
        <w:t xml:space="preserve"> than</w:t>
      </w:r>
      <w:r w:rsidRPr="00913ED4">
        <w:rPr>
          <w:rFonts w:ascii="Times New Roman" w:hAnsi="Times New Roman"/>
          <w:sz w:val="22"/>
          <w:szCs w:val="22"/>
        </w:rPr>
        <w:t xml:space="preserve"> </w:t>
      </w:r>
      <w:r>
        <w:rPr>
          <w:rFonts w:ascii="Times New Roman" w:hAnsi="Times New Roman"/>
          <w:sz w:val="22"/>
          <w:szCs w:val="22"/>
        </w:rPr>
        <w:t>to (1) provide SBS with information sufficient to establish that the shareholder is a U.S. citizen; or (2) transfer the shares to a U.S. citizen</w:t>
      </w:r>
      <w:r w:rsidRPr="00913ED4">
        <w:rPr>
          <w:rFonts w:ascii="Times New Roman" w:hAnsi="Times New Roman"/>
          <w:sz w:val="22"/>
          <w:szCs w:val="22"/>
        </w:rPr>
        <w:t>.</w:t>
      </w:r>
      <w:r>
        <w:rPr>
          <w:rStyle w:val="FootnoteReference"/>
          <w:rFonts w:ascii="Times New Roman" w:hAnsi="Times New Roman"/>
          <w:sz w:val="22"/>
          <w:szCs w:val="22"/>
        </w:rPr>
        <w:footnoteReference w:id="10"/>
      </w:r>
      <w:r w:rsidRPr="00913ED4">
        <w:rPr>
          <w:rFonts w:ascii="Times New Roman" w:hAnsi="Times New Roman"/>
          <w:sz w:val="22"/>
          <w:szCs w:val="22"/>
        </w:rPr>
        <w:t xml:space="preserve">  Holders of Foreign Share Certificates had until December 4, 2017, to provide certain information, including citizenship or place of incorporation, to SBS.</w:t>
      </w:r>
      <w:r w:rsidRPr="00913ED4">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11"/>
      </w:r>
      <w:r w:rsidRPr="00913ED4">
        <w:rPr>
          <w:rFonts w:ascii="Times New Roman" w:hAnsi="Times New Roman"/>
          <w:sz w:val="22"/>
          <w:szCs w:val="22"/>
        </w:rPr>
        <w:t xml:space="preserve">  If the holder of the Foreign Share Certificate refused to provide the requested information, SBS stated in the Form 8-K that it reserved the right to take further action.</w:t>
      </w:r>
      <w:r>
        <w:rPr>
          <w:rStyle w:val="FootnoteReference"/>
          <w:rFonts w:ascii="Times New Roman" w:hAnsi="Times New Roman"/>
          <w:sz w:val="22"/>
          <w:szCs w:val="22"/>
        </w:rPr>
        <w:footnoteReference w:id="12"/>
      </w:r>
      <w:r w:rsidRPr="00913ED4">
        <w:rPr>
          <w:rFonts w:ascii="Times New Roman" w:hAnsi="Times New Roman"/>
          <w:sz w:val="22"/>
          <w:szCs w:val="22"/>
        </w:rPr>
        <w:t xml:space="preserve">  According to SBS, the suspension of rights generally will only be lifted once the level of foreign ownership in the company falls below 25% and SBS is in compliance with 310(b)(4).</w:t>
      </w:r>
      <w:r>
        <w:rPr>
          <w:rStyle w:val="FootnoteReference"/>
          <w:rFonts w:ascii="Times New Roman" w:hAnsi="Times New Roman"/>
          <w:sz w:val="22"/>
          <w:szCs w:val="22"/>
        </w:rPr>
        <w:footnoteReference w:id="13"/>
      </w:r>
      <w:r w:rsidRPr="00913ED4">
        <w:rPr>
          <w:rFonts w:ascii="Times New Roman" w:hAnsi="Times New Roman"/>
          <w:sz w:val="22"/>
          <w:szCs w:val="22"/>
        </w:rPr>
        <w:t xml:space="preserve">  In its PDR, SBS also states that it has requested that its stock transfer agent coordinate with the Depository Trust Corporation (DTC) to suspend all trading in the Series B Shares.</w:t>
      </w:r>
      <w:r>
        <w:rPr>
          <w:rStyle w:val="FootnoteReference"/>
          <w:rFonts w:ascii="Times New Roman" w:hAnsi="Times New Roman"/>
          <w:sz w:val="22"/>
          <w:szCs w:val="22"/>
        </w:rPr>
        <w:footnoteReference w:id="14"/>
      </w:r>
    </w:p>
    <w:p w:rsidR="0077672A" w:rsidRPr="00913ED4" w:rsidP="0077672A" w14:paraId="794A5DB2" w14:textId="28DC5765">
      <w:pPr>
        <w:spacing w:after="220"/>
        <w:ind w:firstLine="720"/>
        <w:rPr>
          <w:rFonts w:ascii="Times New Roman" w:hAnsi="Times New Roman"/>
          <w:sz w:val="22"/>
          <w:szCs w:val="22"/>
        </w:rPr>
      </w:pPr>
      <w:r w:rsidRPr="00913ED4">
        <w:rPr>
          <w:rFonts w:ascii="Times New Roman" w:hAnsi="Times New Roman"/>
          <w:sz w:val="22"/>
          <w:szCs w:val="22"/>
        </w:rPr>
        <w:t xml:space="preserve">On December 4, 2017, SBS filed </w:t>
      </w:r>
      <w:r>
        <w:rPr>
          <w:rFonts w:ascii="Times New Roman" w:hAnsi="Times New Roman"/>
          <w:sz w:val="22"/>
          <w:szCs w:val="22"/>
        </w:rPr>
        <w:t>its</w:t>
      </w:r>
      <w:r w:rsidRPr="00913ED4">
        <w:rPr>
          <w:rFonts w:ascii="Times New Roman" w:hAnsi="Times New Roman"/>
          <w:sz w:val="22"/>
          <w:szCs w:val="22"/>
        </w:rPr>
        <w:t xml:space="preserve"> remedial</w:t>
      </w:r>
      <w:r>
        <w:rPr>
          <w:rFonts w:ascii="Times New Roman" w:hAnsi="Times New Roman"/>
          <w:sz w:val="22"/>
          <w:szCs w:val="22"/>
        </w:rPr>
        <w:t xml:space="preserve"> PDR</w:t>
      </w:r>
      <w:r w:rsidRPr="00913ED4">
        <w:rPr>
          <w:rFonts w:ascii="Times New Roman" w:hAnsi="Times New Roman"/>
          <w:sz w:val="22"/>
          <w:szCs w:val="22"/>
        </w:rPr>
        <w:t xml:space="preserve"> under </w:t>
      </w:r>
      <w:bookmarkStart w:id="3" w:name="_Hlk501542837"/>
      <w:r w:rsidRPr="00913ED4">
        <w:rPr>
          <w:rFonts w:ascii="Times New Roman" w:hAnsi="Times New Roman"/>
          <w:sz w:val="22"/>
          <w:szCs w:val="22"/>
        </w:rPr>
        <w:t>47 C.F.R.§1.5000(a)(1</w:t>
      </w:r>
      <w:bookmarkEnd w:id="3"/>
      <w:r w:rsidRPr="00913ED4">
        <w:rPr>
          <w:rFonts w:ascii="Times New Roman" w:hAnsi="Times New Roman"/>
          <w:sz w:val="22"/>
          <w:szCs w:val="22"/>
        </w:rPr>
        <w:t>),</w:t>
      </w:r>
      <w:r>
        <w:rPr>
          <w:rStyle w:val="FootnoteReference"/>
          <w:rFonts w:ascii="Times New Roman" w:hAnsi="Times New Roman"/>
          <w:sz w:val="22"/>
          <w:szCs w:val="22"/>
        </w:rPr>
        <w:footnoteReference w:id="15"/>
      </w:r>
      <w:r w:rsidRPr="00913ED4">
        <w:rPr>
          <w:rFonts w:ascii="Times New Roman" w:hAnsi="Times New Roman"/>
          <w:sz w:val="22"/>
          <w:szCs w:val="22"/>
        </w:rPr>
        <w:t xml:space="preserve"> as permitted by 1.5004(f)(3),</w:t>
      </w:r>
      <w:r>
        <w:rPr>
          <w:rStyle w:val="FootnoteReference"/>
          <w:rFonts w:ascii="Times New Roman" w:hAnsi="Times New Roman"/>
          <w:sz w:val="22"/>
          <w:szCs w:val="22"/>
        </w:rPr>
        <w:footnoteReference w:id="16"/>
      </w:r>
      <w:r w:rsidRPr="00913ED4">
        <w:rPr>
          <w:rFonts w:ascii="Times New Roman" w:hAnsi="Times New Roman"/>
          <w:sz w:val="22"/>
          <w:szCs w:val="22"/>
        </w:rPr>
        <w:t xml:space="preserve"> seeking permission to temporarily exceed the limits of Section 310(b)(4) or, in the </w:t>
      </w:r>
      <w:r w:rsidRPr="00913ED4">
        <w:rPr>
          <w:rFonts w:ascii="Times New Roman" w:hAnsi="Times New Roman"/>
          <w:sz w:val="22"/>
          <w:szCs w:val="22"/>
        </w:rPr>
        <w:t>alternative, for the Commission to find that its remedial action suspending the rights of the Series B Shareholders and exchanging their shares for Foreign Share Certificates had brought it into compliance with the Act.</w:t>
      </w:r>
      <w:r>
        <w:rPr>
          <w:rStyle w:val="FootnoteReference"/>
          <w:rFonts w:ascii="Times New Roman" w:hAnsi="Times New Roman"/>
          <w:sz w:val="22"/>
          <w:szCs w:val="22"/>
        </w:rPr>
        <w:footnoteReference w:id="17"/>
      </w:r>
      <w:r w:rsidRPr="00913ED4">
        <w:rPr>
          <w:rFonts w:ascii="Times New Roman" w:hAnsi="Times New Roman"/>
          <w:sz w:val="22"/>
          <w:szCs w:val="22"/>
        </w:rPr>
        <w:t xml:space="preserve">  SBS asserts that prior to being served with </w:t>
      </w:r>
      <w:r>
        <w:rPr>
          <w:rFonts w:ascii="Times New Roman" w:hAnsi="Times New Roman"/>
          <w:sz w:val="22"/>
          <w:szCs w:val="22"/>
        </w:rPr>
        <w:t>the Complaint,</w:t>
      </w:r>
      <w:r w:rsidRPr="00913ED4">
        <w:rPr>
          <w:rFonts w:ascii="Times New Roman" w:hAnsi="Times New Roman"/>
          <w:sz w:val="22"/>
          <w:szCs w:val="22"/>
        </w:rPr>
        <w:t xml:space="preserve"> it did not know the identity of the Dissident Shareholders.</w:t>
      </w:r>
      <w:r>
        <w:rPr>
          <w:rStyle w:val="FootnoteReference"/>
          <w:rFonts w:ascii="Times New Roman" w:hAnsi="Times New Roman"/>
          <w:sz w:val="22"/>
          <w:szCs w:val="22"/>
        </w:rPr>
        <w:footnoteReference w:id="18"/>
      </w:r>
      <w:r w:rsidRPr="00913ED4">
        <w:rPr>
          <w:rFonts w:ascii="Times New Roman" w:hAnsi="Times New Roman"/>
          <w:sz w:val="22"/>
          <w:szCs w:val="22"/>
        </w:rPr>
        <w:t xml:space="preserve">  On December 29, 2017, the Commission received a letter filed on behalf of </w:t>
      </w:r>
      <w:r>
        <w:rPr>
          <w:rFonts w:ascii="Times New Roman" w:hAnsi="Times New Roman"/>
          <w:sz w:val="22"/>
          <w:szCs w:val="22"/>
        </w:rPr>
        <w:t>the Dissident Shareholders</w:t>
      </w:r>
      <w:r w:rsidRPr="00913ED4">
        <w:rPr>
          <w:rFonts w:ascii="Times New Roman" w:hAnsi="Times New Roman"/>
          <w:sz w:val="22"/>
          <w:szCs w:val="22"/>
        </w:rPr>
        <w:t xml:space="preserve"> </w:t>
      </w:r>
      <w:r>
        <w:rPr>
          <w:rFonts w:ascii="Times New Roman" w:hAnsi="Times New Roman"/>
          <w:sz w:val="22"/>
          <w:szCs w:val="22"/>
        </w:rPr>
        <w:t>asserting their right and intent to participate in this proceeding.</w:t>
      </w:r>
      <w:r>
        <w:rPr>
          <w:rStyle w:val="FootnoteReference"/>
          <w:rFonts w:ascii="Times New Roman" w:hAnsi="Times New Roman"/>
          <w:sz w:val="22"/>
          <w:szCs w:val="22"/>
        </w:rPr>
        <w:footnoteReference w:id="19"/>
      </w:r>
      <w:r>
        <w:rPr>
          <w:rFonts w:ascii="Times New Roman" w:hAnsi="Times New Roman"/>
          <w:sz w:val="22"/>
          <w:szCs w:val="22"/>
        </w:rPr>
        <w:t xml:space="preserve"> The </w:t>
      </w:r>
      <w:r>
        <w:rPr>
          <w:rFonts w:ascii="Times New Roman" w:hAnsi="Times New Roman"/>
          <w:i/>
          <w:sz w:val="22"/>
          <w:szCs w:val="22"/>
        </w:rPr>
        <w:t>December 29</w:t>
      </w:r>
      <w:r w:rsidRPr="00A52C53">
        <w:rPr>
          <w:rFonts w:ascii="Times New Roman" w:hAnsi="Times New Roman"/>
          <w:i/>
          <w:sz w:val="22"/>
          <w:szCs w:val="22"/>
          <w:vertAlign w:val="superscript"/>
        </w:rPr>
        <w:t>th</w:t>
      </w:r>
      <w:r>
        <w:rPr>
          <w:rFonts w:ascii="Times New Roman" w:hAnsi="Times New Roman"/>
          <w:i/>
          <w:sz w:val="22"/>
          <w:szCs w:val="22"/>
        </w:rPr>
        <w:t xml:space="preserve"> Letter,</w:t>
      </w:r>
      <w:r w:rsidRPr="00913ED4">
        <w:rPr>
          <w:rFonts w:ascii="Times New Roman" w:hAnsi="Times New Roman"/>
          <w:sz w:val="22"/>
          <w:szCs w:val="22"/>
        </w:rPr>
        <w:t xml:space="preserve"> which</w:t>
      </w:r>
      <w:r>
        <w:rPr>
          <w:rFonts w:ascii="Times New Roman" w:hAnsi="Times New Roman"/>
          <w:sz w:val="22"/>
          <w:szCs w:val="22"/>
        </w:rPr>
        <w:t xml:space="preserve"> states that, although the Dissident Shareholders, “disagree that their individual or collective interests cause SBS to exceed the 25% benchmark in 310(b)(4),” they </w:t>
      </w:r>
      <w:r w:rsidRPr="00913ED4">
        <w:rPr>
          <w:rFonts w:ascii="Times New Roman" w:hAnsi="Times New Roman"/>
          <w:sz w:val="22"/>
          <w:szCs w:val="22"/>
        </w:rPr>
        <w:t>“intend to cooperate in ensuring that SBS complies with the FCC’s foreign ownership rules.”</w:t>
      </w:r>
      <w:r>
        <w:rPr>
          <w:rStyle w:val="FootnoteReference"/>
          <w:rFonts w:ascii="Times New Roman" w:hAnsi="Times New Roman"/>
          <w:sz w:val="22"/>
          <w:szCs w:val="22"/>
        </w:rPr>
        <w:footnoteReference w:id="20"/>
      </w:r>
      <w:r w:rsidRPr="00913ED4">
        <w:rPr>
          <w:rFonts w:ascii="Times New Roman" w:hAnsi="Times New Roman"/>
          <w:sz w:val="22"/>
          <w:szCs w:val="22"/>
        </w:rPr>
        <w:t xml:space="preserve">  </w:t>
      </w:r>
      <w:r>
        <w:rPr>
          <w:rFonts w:ascii="Times New Roman" w:hAnsi="Times New Roman"/>
          <w:sz w:val="22"/>
          <w:szCs w:val="22"/>
        </w:rPr>
        <w:t>The letter also states that the Dissident Shareholders plan to file comments or other requests in response to SBS allegations.</w:t>
      </w:r>
      <w:r>
        <w:rPr>
          <w:rStyle w:val="FootnoteReference"/>
          <w:rFonts w:ascii="Times New Roman" w:hAnsi="Times New Roman"/>
          <w:sz w:val="22"/>
          <w:szCs w:val="22"/>
        </w:rPr>
        <w:footnoteReference w:id="21"/>
      </w:r>
      <w:r>
        <w:rPr>
          <w:rFonts w:ascii="Times New Roman" w:hAnsi="Times New Roman"/>
          <w:sz w:val="22"/>
          <w:szCs w:val="22"/>
        </w:rPr>
        <w:t xml:space="preserve"> </w:t>
      </w:r>
    </w:p>
    <w:p w:rsidR="0077672A" w:rsidRPr="00913ED4" w:rsidP="0077672A" w14:paraId="34F97D5C" w14:textId="5ADE5331">
      <w:pPr>
        <w:spacing w:after="220"/>
        <w:ind w:firstLine="720"/>
        <w:rPr>
          <w:rFonts w:ascii="Times New Roman" w:hAnsi="Times New Roman"/>
          <w:sz w:val="22"/>
          <w:szCs w:val="22"/>
        </w:rPr>
      </w:pPr>
      <w:r>
        <w:rPr>
          <w:rFonts w:ascii="Times New Roman" w:hAnsi="Times New Roman"/>
          <w:i/>
          <w:sz w:val="22"/>
          <w:szCs w:val="22"/>
        </w:rPr>
        <w:t xml:space="preserve">Discussion.  </w:t>
      </w:r>
      <w:r w:rsidRPr="00913ED4">
        <w:rPr>
          <w:rFonts w:ascii="Times New Roman" w:hAnsi="Times New Roman"/>
          <w:sz w:val="22"/>
          <w:szCs w:val="22"/>
        </w:rPr>
        <w:t>The PDR does not provide enough information for us to proceed with a comprehensive review or to address SBS’s prayer for relief.  SBS states that it requested ownership information from the Dissident Shareholders and that they failed to provide it.</w:t>
      </w:r>
      <w:r>
        <w:rPr>
          <w:rStyle w:val="FootnoteReference"/>
          <w:rFonts w:ascii="Times New Roman" w:hAnsi="Times New Roman"/>
          <w:sz w:val="22"/>
          <w:szCs w:val="22"/>
        </w:rPr>
        <w:footnoteReference w:id="22"/>
      </w:r>
      <w:r w:rsidRPr="00913ED4">
        <w:rPr>
          <w:rFonts w:ascii="Times New Roman" w:hAnsi="Times New Roman"/>
          <w:sz w:val="22"/>
          <w:szCs w:val="22"/>
        </w:rPr>
        <w:t xml:space="preserve">  Because of their alleged lack of cooperation, </w:t>
      </w:r>
      <w:r w:rsidR="00A56543">
        <w:rPr>
          <w:rFonts w:ascii="Times New Roman" w:hAnsi="Times New Roman"/>
          <w:sz w:val="22"/>
          <w:szCs w:val="22"/>
        </w:rPr>
        <w:t xml:space="preserve">SBS claims </w:t>
      </w:r>
      <w:r w:rsidRPr="00913ED4">
        <w:rPr>
          <w:rFonts w:ascii="Times New Roman" w:hAnsi="Times New Roman"/>
          <w:sz w:val="22"/>
          <w:szCs w:val="22"/>
        </w:rPr>
        <w:t>the only ownership information it had available regarding these shareholders came from the Complaint</w:t>
      </w:r>
      <w:r w:rsidR="00A56543">
        <w:rPr>
          <w:rFonts w:ascii="Times New Roman" w:hAnsi="Times New Roman"/>
          <w:sz w:val="22"/>
          <w:szCs w:val="22"/>
        </w:rPr>
        <w:t>,</w:t>
      </w:r>
      <w:r>
        <w:rPr>
          <w:rFonts w:ascii="Times New Roman" w:hAnsi="Times New Roman"/>
          <w:sz w:val="22"/>
          <w:szCs w:val="22"/>
        </w:rPr>
        <w:t xml:space="preserve"> and SBS does not concede the truth of the statements in the Complaint.</w:t>
      </w:r>
      <w:r>
        <w:rPr>
          <w:rStyle w:val="FootnoteReference"/>
          <w:rFonts w:ascii="Times New Roman" w:hAnsi="Times New Roman"/>
          <w:sz w:val="22"/>
          <w:szCs w:val="22"/>
        </w:rPr>
        <w:footnoteReference w:id="23"/>
      </w:r>
      <w:r w:rsidRPr="00913ED4">
        <w:rPr>
          <w:rFonts w:ascii="Times New Roman" w:hAnsi="Times New Roman"/>
          <w:sz w:val="22"/>
          <w:szCs w:val="22"/>
        </w:rPr>
        <w:t xml:space="preserve">  Even if the ownership information in the Complaint is accurate, the PDR, </w:t>
      </w:r>
      <w:r w:rsidRPr="00913ED4">
        <w:rPr>
          <w:rFonts w:ascii="Times New Roman" w:hAnsi="Times New Roman"/>
          <w:i/>
          <w:sz w:val="22"/>
          <w:szCs w:val="22"/>
        </w:rPr>
        <w:t>inter alia</w:t>
      </w:r>
      <w:r w:rsidRPr="00913ED4">
        <w:rPr>
          <w:rFonts w:ascii="Times New Roman" w:hAnsi="Times New Roman"/>
          <w:sz w:val="22"/>
          <w:szCs w:val="22"/>
        </w:rPr>
        <w:t xml:space="preserve">: </w:t>
      </w:r>
    </w:p>
    <w:p w:rsidR="0077672A" w:rsidRPr="00913ED4" w:rsidP="0077672A" w14:paraId="624B0A76" w14:textId="2CC16B65">
      <w:pPr>
        <w:pStyle w:val="ListParagraph"/>
        <w:numPr>
          <w:ilvl w:val="0"/>
          <w:numId w:val="2"/>
        </w:numPr>
        <w:spacing w:after="220"/>
        <w:rPr>
          <w:rFonts w:ascii="Times New Roman" w:hAnsi="Times New Roman"/>
        </w:rPr>
      </w:pPr>
      <w:r w:rsidRPr="00913ED4">
        <w:rPr>
          <w:rFonts w:ascii="Times New Roman" w:hAnsi="Times New Roman"/>
        </w:rPr>
        <w:t xml:space="preserve">Does not </w:t>
      </w:r>
      <w:r>
        <w:rPr>
          <w:rFonts w:ascii="Times New Roman" w:hAnsi="Times New Roman"/>
        </w:rPr>
        <w:t xml:space="preserve">provide an estimate of </w:t>
      </w:r>
      <w:r w:rsidR="00A56543">
        <w:rPr>
          <w:rFonts w:ascii="Times New Roman" w:hAnsi="Times New Roman"/>
        </w:rPr>
        <w:t xml:space="preserve">the </w:t>
      </w:r>
      <w:r w:rsidRPr="00913ED4">
        <w:rPr>
          <w:rFonts w:ascii="Times New Roman" w:hAnsi="Times New Roman"/>
        </w:rPr>
        <w:t xml:space="preserve">overall level of foreign ownership in SBS; </w:t>
      </w:r>
    </w:p>
    <w:p w:rsidR="0077672A" w:rsidRPr="00913ED4" w:rsidP="0077672A" w14:paraId="73DD3B1D" w14:textId="77777777">
      <w:pPr>
        <w:pStyle w:val="ListParagraph"/>
        <w:numPr>
          <w:ilvl w:val="0"/>
          <w:numId w:val="2"/>
        </w:numPr>
        <w:spacing w:after="220"/>
        <w:rPr>
          <w:rFonts w:ascii="Times New Roman" w:hAnsi="Times New Roman"/>
        </w:rPr>
      </w:pPr>
      <w:r w:rsidRPr="00913ED4">
        <w:rPr>
          <w:rFonts w:ascii="Times New Roman" w:hAnsi="Times New Roman"/>
        </w:rPr>
        <w:t xml:space="preserve">Does not identify and give the necessary information regarding the disclosable interest holders in SBS, including any disclosable interest holders that may need to be identified within the Dissident Shareholders, </w:t>
      </w:r>
      <w:r w:rsidRPr="006000AE">
        <w:rPr>
          <w:rFonts w:ascii="Times New Roman" w:hAnsi="Times New Roman"/>
        </w:rPr>
        <w:t>and the actual voting status of any</w:t>
      </w:r>
      <w:r>
        <w:rPr>
          <w:rFonts w:ascii="Times New Roman" w:hAnsi="Times New Roman"/>
        </w:rPr>
        <w:t xml:space="preserve"> such</w:t>
      </w:r>
      <w:r w:rsidRPr="006000AE">
        <w:rPr>
          <w:rFonts w:ascii="Times New Roman" w:hAnsi="Times New Roman"/>
        </w:rPr>
        <w:t xml:space="preserve"> disclosable interest holders</w:t>
      </w:r>
      <w:r w:rsidRPr="00913ED4">
        <w:rPr>
          <w:rFonts w:ascii="Times New Roman" w:hAnsi="Times New Roman"/>
        </w:rPr>
        <w:t>;</w:t>
      </w:r>
    </w:p>
    <w:p w:rsidR="0077672A" w:rsidRPr="00913ED4" w:rsidP="0077672A" w14:paraId="0931B71B" w14:textId="77777777">
      <w:pPr>
        <w:pStyle w:val="ListParagraph"/>
        <w:numPr>
          <w:ilvl w:val="0"/>
          <w:numId w:val="2"/>
        </w:numPr>
        <w:spacing w:after="220"/>
        <w:rPr>
          <w:rFonts w:ascii="Times New Roman" w:hAnsi="Times New Roman"/>
        </w:rPr>
      </w:pPr>
      <w:r w:rsidRPr="00913ED4">
        <w:rPr>
          <w:rFonts w:ascii="Times New Roman" w:hAnsi="Times New Roman"/>
        </w:rPr>
        <w:t>Does not</w:t>
      </w:r>
      <w:r>
        <w:rPr>
          <w:rFonts w:ascii="Times New Roman" w:hAnsi="Times New Roman"/>
        </w:rPr>
        <w:t xml:space="preserve"> address whether</w:t>
      </w:r>
      <w:r w:rsidRPr="00913ED4">
        <w:rPr>
          <w:rFonts w:ascii="Times New Roman" w:hAnsi="Times New Roman"/>
        </w:rPr>
        <w:t xml:space="preserve"> any individuals or entities require specific approval</w:t>
      </w:r>
      <w:r>
        <w:rPr>
          <w:rFonts w:ascii="Times New Roman" w:hAnsi="Times New Roman"/>
        </w:rPr>
        <w:t>.</w:t>
      </w:r>
    </w:p>
    <w:p w:rsidR="0077672A" w:rsidRPr="00913ED4" w:rsidP="0077672A" w14:paraId="534A4C1E" w14:textId="77777777">
      <w:pPr>
        <w:spacing w:after="220"/>
        <w:rPr>
          <w:rFonts w:ascii="Times New Roman" w:hAnsi="Times New Roman"/>
          <w:sz w:val="22"/>
          <w:szCs w:val="22"/>
        </w:rPr>
      </w:pPr>
      <w:r w:rsidRPr="00913ED4">
        <w:rPr>
          <w:rFonts w:ascii="Times New Roman" w:hAnsi="Times New Roman"/>
          <w:sz w:val="22"/>
          <w:szCs w:val="22"/>
        </w:rPr>
        <w:t xml:space="preserve">Therefore, we require that the PDR be amended before we begin our review.  We do not believe this is a burdensome requirement because the Dissident Shareholders indicated in the </w:t>
      </w:r>
      <w:r w:rsidRPr="00913ED4">
        <w:rPr>
          <w:rFonts w:ascii="Times New Roman" w:hAnsi="Times New Roman"/>
          <w:i/>
          <w:sz w:val="22"/>
          <w:szCs w:val="22"/>
        </w:rPr>
        <w:t>December 29</w:t>
      </w:r>
      <w:r w:rsidRPr="00913ED4">
        <w:rPr>
          <w:rFonts w:ascii="Times New Roman" w:hAnsi="Times New Roman"/>
          <w:i/>
          <w:sz w:val="22"/>
          <w:szCs w:val="22"/>
          <w:vertAlign w:val="superscript"/>
        </w:rPr>
        <w:t>th</w:t>
      </w:r>
      <w:r w:rsidRPr="00913ED4">
        <w:rPr>
          <w:rFonts w:ascii="Times New Roman" w:hAnsi="Times New Roman"/>
          <w:i/>
          <w:sz w:val="22"/>
          <w:szCs w:val="22"/>
        </w:rPr>
        <w:t xml:space="preserve"> Letter</w:t>
      </w:r>
      <w:r w:rsidRPr="00913ED4">
        <w:rPr>
          <w:rFonts w:ascii="Times New Roman" w:hAnsi="Times New Roman"/>
          <w:sz w:val="22"/>
          <w:szCs w:val="22"/>
        </w:rPr>
        <w:t xml:space="preserve"> that they would cooperate with SBS’s foreign ownership compliance</w:t>
      </w:r>
      <w:r>
        <w:rPr>
          <w:rFonts w:ascii="Times New Roman" w:hAnsi="Times New Roman"/>
          <w:sz w:val="22"/>
          <w:szCs w:val="22"/>
        </w:rPr>
        <w:t xml:space="preserve"> efforts</w:t>
      </w:r>
      <w:r w:rsidRPr="00913ED4">
        <w:rPr>
          <w:rFonts w:ascii="Times New Roman" w:hAnsi="Times New Roman"/>
          <w:sz w:val="22"/>
          <w:szCs w:val="22"/>
        </w:rPr>
        <w:t>.</w:t>
      </w:r>
      <w:r>
        <w:rPr>
          <w:rStyle w:val="FootnoteReference"/>
          <w:rFonts w:ascii="Times New Roman" w:hAnsi="Times New Roman"/>
          <w:sz w:val="22"/>
          <w:szCs w:val="22"/>
        </w:rPr>
        <w:footnoteReference w:id="24"/>
      </w:r>
      <w:r w:rsidRPr="00913ED4">
        <w:rPr>
          <w:rFonts w:ascii="Times New Roman" w:hAnsi="Times New Roman"/>
          <w:sz w:val="22"/>
          <w:szCs w:val="22"/>
        </w:rPr>
        <w:t xml:space="preserve">   </w:t>
      </w:r>
    </w:p>
    <w:p w:rsidR="0077672A" w:rsidP="0077672A" w14:paraId="6456F569" w14:textId="39783C06">
      <w:pPr>
        <w:spacing w:after="220"/>
        <w:rPr>
          <w:rFonts w:ascii="Times New Roman" w:hAnsi="Times New Roman"/>
          <w:sz w:val="22"/>
          <w:szCs w:val="22"/>
        </w:rPr>
      </w:pPr>
      <w:r w:rsidRPr="00913ED4">
        <w:rPr>
          <w:rFonts w:ascii="Times New Roman" w:hAnsi="Times New Roman"/>
          <w:sz w:val="22"/>
          <w:szCs w:val="22"/>
        </w:rPr>
        <w:tab/>
        <w:t xml:space="preserve">As you know, broadcast licensees must self-monitor their compliance with Section 310(b)(4).  While it is not clear at what point SBS </w:t>
      </w:r>
      <w:r>
        <w:rPr>
          <w:rFonts w:ascii="Times New Roman" w:hAnsi="Times New Roman"/>
          <w:sz w:val="22"/>
          <w:szCs w:val="22"/>
        </w:rPr>
        <w:t>had</w:t>
      </w:r>
      <w:r w:rsidRPr="00913ED4">
        <w:rPr>
          <w:rFonts w:ascii="Times New Roman" w:hAnsi="Times New Roman"/>
          <w:sz w:val="22"/>
          <w:szCs w:val="22"/>
        </w:rPr>
        <w:t xml:space="preserve"> or </w:t>
      </w:r>
      <w:r>
        <w:rPr>
          <w:rFonts w:ascii="Times New Roman" w:hAnsi="Times New Roman"/>
          <w:sz w:val="22"/>
          <w:szCs w:val="22"/>
        </w:rPr>
        <w:t xml:space="preserve">reasonably </w:t>
      </w:r>
      <w:r w:rsidRPr="00913ED4">
        <w:rPr>
          <w:rFonts w:ascii="Times New Roman" w:hAnsi="Times New Roman"/>
          <w:sz w:val="22"/>
          <w:szCs w:val="22"/>
        </w:rPr>
        <w:t xml:space="preserve">should have had knowledge of its foreign ownership composition, based on the </w:t>
      </w:r>
      <w:r w:rsidRPr="00913ED4">
        <w:rPr>
          <w:rFonts w:ascii="Times New Roman" w:hAnsi="Times New Roman"/>
          <w:i/>
          <w:sz w:val="22"/>
          <w:szCs w:val="22"/>
        </w:rPr>
        <w:t>December 29</w:t>
      </w:r>
      <w:r w:rsidRPr="00913ED4">
        <w:rPr>
          <w:rFonts w:ascii="Times New Roman" w:hAnsi="Times New Roman"/>
          <w:i/>
          <w:sz w:val="22"/>
          <w:szCs w:val="22"/>
          <w:vertAlign w:val="superscript"/>
        </w:rPr>
        <w:t>th</w:t>
      </w:r>
      <w:r w:rsidRPr="00913ED4">
        <w:rPr>
          <w:rFonts w:ascii="Times New Roman" w:hAnsi="Times New Roman"/>
          <w:i/>
          <w:sz w:val="22"/>
          <w:szCs w:val="22"/>
        </w:rPr>
        <w:t xml:space="preserve"> Letter,</w:t>
      </w:r>
      <w:r w:rsidRPr="00913ED4">
        <w:rPr>
          <w:rFonts w:ascii="Times New Roman" w:hAnsi="Times New Roman"/>
          <w:sz w:val="22"/>
          <w:szCs w:val="22"/>
        </w:rPr>
        <w:t xml:space="preserve"> SBS should now be in a position to obtain any information that it needs from the Dissident Shareholders.  Given that, it is reasonable to provide further time to SBS to obtain the additional information needed to make a full and complete foreign ownership showing and to amend its PDR.  As provided in the </w:t>
      </w:r>
      <w:r>
        <w:rPr>
          <w:rFonts w:ascii="Times New Roman" w:hAnsi="Times New Roman"/>
          <w:sz w:val="22"/>
          <w:szCs w:val="22"/>
        </w:rPr>
        <w:t>Commission’s</w:t>
      </w:r>
      <w:r w:rsidRPr="00913ED4">
        <w:rPr>
          <w:rFonts w:ascii="Times New Roman" w:hAnsi="Times New Roman"/>
          <w:sz w:val="22"/>
          <w:szCs w:val="22"/>
        </w:rPr>
        <w:t xml:space="preserve"> </w:t>
      </w:r>
      <w:r w:rsidR="00A56543">
        <w:rPr>
          <w:rFonts w:ascii="Times New Roman" w:hAnsi="Times New Roman"/>
          <w:sz w:val="22"/>
          <w:szCs w:val="22"/>
        </w:rPr>
        <w:t>r</w:t>
      </w:r>
      <w:r w:rsidRPr="00913ED4" w:rsidR="00A56543">
        <w:rPr>
          <w:rFonts w:ascii="Times New Roman" w:hAnsi="Times New Roman"/>
          <w:sz w:val="22"/>
          <w:szCs w:val="22"/>
        </w:rPr>
        <w:t>ules</w:t>
      </w:r>
      <w:r w:rsidRPr="00913ED4">
        <w:rPr>
          <w:rFonts w:ascii="Times New Roman" w:hAnsi="Times New Roman"/>
          <w:sz w:val="22"/>
          <w:szCs w:val="22"/>
        </w:rPr>
        <w:t>, SBS will not be required to redeem the non-compliant foreign interest or to remedy the non-compliance while its PDR is pending.</w:t>
      </w:r>
      <w:r>
        <w:rPr>
          <w:rStyle w:val="FootnoteReference"/>
          <w:rFonts w:ascii="Times New Roman" w:hAnsi="Times New Roman"/>
          <w:sz w:val="22"/>
          <w:szCs w:val="22"/>
        </w:rPr>
        <w:footnoteReference w:id="25"/>
      </w:r>
      <w:r w:rsidRPr="00913ED4">
        <w:rPr>
          <w:rFonts w:ascii="Times New Roman" w:hAnsi="Times New Roman"/>
          <w:sz w:val="22"/>
          <w:szCs w:val="22"/>
        </w:rPr>
        <w:t xml:space="preserve">  However, it </w:t>
      </w:r>
      <w:r>
        <w:rPr>
          <w:rFonts w:ascii="Times New Roman" w:hAnsi="Times New Roman"/>
          <w:sz w:val="22"/>
          <w:szCs w:val="22"/>
        </w:rPr>
        <w:t>must</w:t>
      </w:r>
      <w:r w:rsidRPr="00913ED4">
        <w:rPr>
          <w:rFonts w:ascii="Times New Roman" w:hAnsi="Times New Roman"/>
          <w:sz w:val="22"/>
          <w:szCs w:val="22"/>
        </w:rPr>
        <w:t xml:space="preserve"> have a mechanism in place to come into compliance within thirty (30) days following an adverse decision on its PDR.</w:t>
      </w:r>
      <w:r>
        <w:rPr>
          <w:rStyle w:val="FootnoteReference"/>
          <w:rFonts w:ascii="Times New Roman" w:hAnsi="Times New Roman"/>
          <w:sz w:val="22"/>
          <w:szCs w:val="22"/>
        </w:rPr>
        <w:footnoteReference w:id="26"/>
      </w:r>
      <w:r w:rsidRPr="00913ED4">
        <w:rPr>
          <w:rFonts w:ascii="Times New Roman" w:hAnsi="Times New Roman"/>
          <w:sz w:val="22"/>
          <w:szCs w:val="22"/>
        </w:rPr>
        <w:t xml:space="preserve">  We expect the Dissident Shareholders to cooperate with SBS in providing the necessary information to the Commission in order to keep the licensee from breaching the Commission’s rules and the Act.  Furthermore, we will not put the PDR on public notice at this time, in part</w:t>
      </w:r>
      <w:r>
        <w:rPr>
          <w:rFonts w:ascii="Times New Roman" w:hAnsi="Times New Roman"/>
          <w:sz w:val="22"/>
          <w:szCs w:val="22"/>
        </w:rPr>
        <w:t xml:space="preserve">, because doing </w:t>
      </w:r>
      <w:r w:rsidRPr="00913ED4">
        <w:rPr>
          <w:rFonts w:ascii="Times New Roman" w:hAnsi="Times New Roman"/>
          <w:sz w:val="22"/>
          <w:szCs w:val="22"/>
        </w:rPr>
        <w:t xml:space="preserve">so would trigger Executive Branch review, which would waste government resources as such review could not be completed until the identities of </w:t>
      </w:r>
      <w:r>
        <w:rPr>
          <w:rFonts w:ascii="Times New Roman" w:hAnsi="Times New Roman"/>
          <w:sz w:val="22"/>
          <w:szCs w:val="22"/>
        </w:rPr>
        <w:t xml:space="preserve">any </w:t>
      </w:r>
      <w:r w:rsidRPr="00913ED4">
        <w:rPr>
          <w:rFonts w:ascii="Times New Roman" w:hAnsi="Times New Roman"/>
          <w:sz w:val="22"/>
          <w:szCs w:val="22"/>
        </w:rPr>
        <w:t xml:space="preserve">parties needing specific approval are known.  </w:t>
      </w:r>
    </w:p>
    <w:p w:rsidR="0077672A" w:rsidP="0077672A" w14:paraId="7711A72A" w14:textId="2DA47F83">
      <w:pPr>
        <w:spacing w:after="220"/>
        <w:ind w:firstLine="720"/>
        <w:rPr>
          <w:rFonts w:ascii="Times New Roman" w:hAnsi="Times New Roman"/>
          <w:sz w:val="22"/>
          <w:szCs w:val="22"/>
        </w:rPr>
      </w:pPr>
      <w:r>
        <w:rPr>
          <w:rFonts w:ascii="Times New Roman" w:hAnsi="Times New Roman"/>
          <w:sz w:val="22"/>
          <w:szCs w:val="22"/>
        </w:rPr>
        <w:t xml:space="preserve">We remind all involved parties, that, although it is unambiguously the duty of SBS to be able to demonstrate that it is in compliance with 310(b)(4) and the Commission’s foreign ownership rules under the “known or reasonably should have known” standard as explained in the </w:t>
      </w:r>
      <w:r>
        <w:rPr>
          <w:rFonts w:ascii="Times New Roman" w:hAnsi="Times New Roman"/>
          <w:i/>
          <w:sz w:val="22"/>
          <w:szCs w:val="22"/>
        </w:rPr>
        <w:t>Foreign Ownership Order</w:t>
      </w:r>
      <w:r>
        <w:rPr>
          <w:rFonts w:ascii="Times New Roman" w:hAnsi="Times New Roman"/>
          <w:sz w:val="22"/>
          <w:szCs w:val="22"/>
        </w:rPr>
        <w:t>, that order contemplated that investors generally would cooperate with the licensee.</w:t>
      </w:r>
      <w:r w:rsidRPr="004660EF">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27"/>
      </w:r>
      <w:r>
        <w:rPr>
          <w:rFonts w:ascii="Times New Roman" w:hAnsi="Times New Roman"/>
          <w:sz w:val="22"/>
          <w:szCs w:val="22"/>
        </w:rPr>
        <w:t xml:space="preserve"> </w:t>
      </w:r>
      <w:r>
        <w:rPr>
          <w:rFonts w:ascii="Times New Roman" w:hAnsi="Times New Roman"/>
          <w:i/>
          <w:sz w:val="22"/>
          <w:szCs w:val="22"/>
        </w:rPr>
        <w:t xml:space="preserve"> </w:t>
      </w:r>
      <w:r>
        <w:rPr>
          <w:rFonts w:ascii="Times New Roman" w:hAnsi="Times New Roman"/>
          <w:sz w:val="22"/>
          <w:szCs w:val="22"/>
        </w:rPr>
        <w:t>As one of the numerous methods for determining the citizenship of its investors,</w:t>
      </w:r>
      <w:r>
        <w:rPr>
          <w:rFonts w:ascii="Times New Roman" w:hAnsi="Times New Roman"/>
          <w:i/>
          <w:sz w:val="22"/>
          <w:szCs w:val="22"/>
        </w:rPr>
        <w:t xml:space="preserve"> </w:t>
      </w:r>
      <w:r>
        <w:rPr>
          <w:rFonts w:ascii="Times New Roman" w:hAnsi="Times New Roman"/>
          <w:sz w:val="22"/>
          <w:szCs w:val="22"/>
        </w:rPr>
        <w:t xml:space="preserve">the </w:t>
      </w:r>
      <w:r>
        <w:rPr>
          <w:rFonts w:ascii="Times New Roman" w:hAnsi="Times New Roman"/>
          <w:i/>
          <w:sz w:val="22"/>
          <w:szCs w:val="22"/>
        </w:rPr>
        <w:t xml:space="preserve">Foreign Ownership Order </w:t>
      </w:r>
      <w:r>
        <w:rPr>
          <w:rFonts w:ascii="Times New Roman" w:hAnsi="Times New Roman"/>
          <w:sz w:val="22"/>
          <w:szCs w:val="22"/>
        </w:rPr>
        <w:t>states that a licensee “should make direct inquiries” to its identifiable interest holders as part of its citizenship analysis as necessary and encourages licensees to inform the Commission if those inquiries are not productive.</w:t>
      </w:r>
      <w:r>
        <w:rPr>
          <w:rStyle w:val="FootnoteReference"/>
          <w:rFonts w:ascii="Times New Roman" w:hAnsi="Times New Roman"/>
          <w:sz w:val="22"/>
          <w:szCs w:val="22"/>
        </w:rPr>
        <w:footnoteReference w:id="28"/>
      </w:r>
      <w:r>
        <w:rPr>
          <w:rFonts w:ascii="Times New Roman" w:hAnsi="Times New Roman"/>
          <w:sz w:val="22"/>
          <w:szCs w:val="22"/>
        </w:rPr>
        <w:t xml:space="preserve">  In doing so, the Commission demonstrated its concern that foreign investors might try to avoid the impact of 310(b)(4) by being uncooperative.  That concern is even greater where the potential foreign investor is a disclosable interest holder or where it could require specific approval.  Therefore, if, within a reasonable time, either SBS’s inquiries to the Dissident Shareholders in this case are not productive or if SBS is unable to determine their citizenship by other means, SBS should advise us and we reserve the right, if needed,</w:t>
      </w:r>
      <w:r w:rsidRPr="00913ED4">
        <w:rPr>
          <w:rFonts w:ascii="Times New Roman" w:hAnsi="Times New Roman"/>
          <w:sz w:val="22"/>
          <w:szCs w:val="22"/>
        </w:rPr>
        <w:t xml:space="preserve"> to</w:t>
      </w:r>
      <w:r>
        <w:rPr>
          <w:rFonts w:ascii="Times New Roman" w:hAnsi="Times New Roman"/>
          <w:sz w:val="22"/>
          <w:szCs w:val="22"/>
        </w:rPr>
        <w:t xml:space="preserve"> direct SBS to</w:t>
      </w:r>
      <w:r w:rsidRPr="00913ED4">
        <w:rPr>
          <w:rFonts w:ascii="Times New Roman" w:hAnsi="Times New Roman"/>
          <w:sz w:val="22"/>
          <w:szCs w:val="22"/>
        </w:rPr>
        <w:t xml:space="preserve"> regard all non-responsive </w:t>
      </w:r>
      <w:r>
        <w:rPr>
          <w:rFonts w:ascii="Times New Roman" w:hAnsi="Times New Roman"/>
          <w:sz w:val="22"/>
          <w:szCs w:val="22"/>
        </w:rPr>
        <w:t>Dissident Investors</w:t>
      </w:r>
      <w:r w:rsidRPr="00913ED4">
        <w:rPr>
          <w:rFonts w:ascii="Times New Roman" w:hAnsi="Times New Roman"/>
          <w:sz w:val="22"/>
          <w:szCs w:val="22"/>
        </w:rPr>
        <w:t xml:space="preserve"> as alien for both equity and voting purposes</w:t>
      </w:r>
      <w:r>
        <w:rPr>
          <w:rFonts w:ascii="Times New Roman" w:hAnsi="Times New Roman"/>
          <w:sz w:val="22"/>
          <w:szCs w:val="22"/>
        </w:rPr>
        <w:t xml:space="preserve"> in preparing its amended PDR.</w:t>
      </w:r>
    </w:p>
    <w:p w:rsidR="0077672A" w:rsidP="0077672A" w14:paraId="7B46F748" w14:textId="77777777">
      <w:pPr>
        <w:spacing w:after="220"/>
        <w:ind w:firstLine="720"/>
        <w:rPr>
          <w:rFonts w:ascii="Times New Roman" w:hAnsi="Times New Roman"/>
          <w:sz w:val="22"/>
          <w:szCs w:val="22"/>
        </w:rPr>
      </w:pPr>
      <w:r>
        <w:rPr>
          <w:rFonts w:ascii="Times New Roman" w:hAnsi="Times New Roman"/>
          <w:sz w:val="22"/>
          <w:szCs w:val="22"/>
        </w:rPr>
        <w:t>Considering that petitions filed pursuant to § 1.5004(f)(3) are intended to correct an ongoing violation, it is incumbent on SBS to act as quickly as possible to make sure that its filing is complete.    To this end, we require SBS to file an amended PDR within thirty (30) days of this letter. If</w:t>
      </w:r>
      <w:r w:rsidRPr="00913ED4">
        <w:rPr>
          <w:rFonts w:ascii="Times New Roman" w:hAnsi="Times New Roman"/>
          <w:sz w:val="22"/>
          <w:szCs w:val="22"/>
        </w:rPr>
        <w:t xml:space="preserve"> SBS, notwithstanding affirmative efforts, cannot make a complete foreign ownership showing and submit its amended PDR within </w:t>
      </w:r>
      <w:r>
        <w:rPr>
          <w:rFonts w:ascii="Times New Roman" w:hAnsi="Times New Roman"/>
          <w:sz w:val="22"/>
          <w:szCs w:val="22"/>
        </w:rPr>
        <w:t>thirty (30) days</w:t>
      </w:r>
      <w:r w:rsidRPr="00913ED4">
        <w:rPr>
          <w:rFonts w:ascii="Times New Roman" w:hAnsi="Times New Roman"/>
          <w:sz w:val="22"/>
          <w:szCs w:val="22"/>
        </w:rPr>
        <w:t xml:space="preserve">, </w:t>
      </w:r>
      <w:r>
        <w:rPr>
          <w:rFonts w:ascii="Times New Roman" w:hAnsi="Times New Roman"/>
          <w:sz w:val="22"/>
          <w:szCs w:val="22"/>
        </w:rPr>
        <w:t xml:space="preserve">it must instead </w:t>
      </w:r>
      <w:r w:rsidRPr="00913ED4">
        <w:rPr>
          <w:rFonts w:ascii="Times New Roman" w:hAnsi="Times New Roman"/>
          <w:sz w:val="22"/>
          <w:szCs w:val="22"/>
        </w:rPr>
        <w:t xml:space="preserve">file a written status report (Report) </w:t>
      </w:r>
      <w:r>
        <w:rPr>
          <w:rFonts w:ascii="Times New Roman" w:hAnsi="Times New Roman"/>
          <w:sz w:val="22"/>
          <w:szCs w:val="22"/>
        </w:rPr>
        <w:t xml:space="preserve">in </w:t>
      </w:r>
      <w:r w:rsidRPr="00913ED4">
        <w:rPr>
          <w:rFonts w:ascii="Times New Roman" w:hAnsi="Times New Roman"/>
          <w:sz w:val="22"/>
          <w:szCs w:val="22"/>
        </w:rPr>
        <w:t>(30) days on the progress of its efforts to obtain the information necessary to make a full and complete foreign ownership</w:t>
      </w:r>
      <w:r>
        <w:rPr>
          <w:rFonts w:ascii="Times New Roman" w:hAnsi="Times New Roman"/>
          <w:sz w:val="22"/>
          <w:szCs w:val="22"/>
        </w:rPr>
        <w:t xml:space="preserve"> showing.</w:t>
      </w:r>
      <w:r w:rsidRPr="00913ED4">
        <w:rPr>
          <w:rFonts w:ascii="Times New Roman" w:hAnsi="Times New Roman"/>
          <w:sz w:val="22"/>
          <w:szCs w:val="22"/>
        </w:rPr>
        <w:t xml:space="preserve"> The Report should also provide an update on status of the pending litigation between SBS and the Dissident Shareholders.  Copies of the </w:t>
      </w:r>
      <w:r>
        <w:rPr>
          <w:rFonts w:ascii="Times New Roman" w:hAnsi="Times New Roman"/>
          <w:sz w:val="22"/>
          <w:szCs w:val="22"/>
        </w:rPr>
        <w:t xml:space="preserve">amended PDR and /or </w:t>
      </w:r>
      <w:r w:rsidRPr="00913ED4">
        <w:rPr>
          <w:rFonts w:ascii="Times New Roman" w:hAnsi="Times New Roman"/>
          <w:sz w:val="22"/>
          <w:szCs w:val="22"/>
        </w:rPr>
        <w:t xml:space="preserve">Report </w:t>
      </w:r>
      <w:r>
        <w:rPr>
          <w:rFonts w:ascii="Times New Roman" w:hAnsi="Times New Roman"/>
          <w:sz w:val="22"/>
          <w:szCs w:val="22"/>
        </w:rPr>
        <w:t>should</w:t>
      </w:r>
      <w:r w:rsidRPr="00913ED4">
        <w:rPr>
          <w:rFonts w:ascii="Times New Roman" w:hAnsi="Times New Roman"/>
          <w:sz w:val="22"/>
          <w:szCs w:val="22"/>
        </w:rPr>
        <w:t xml:space="preserve"> be sent to David Roberts, Attorney-Advisor, Video Division; Christine Goepp, Attorney-Advisor, Audio Division; and Jamila Bess Johnson, Senior Legal Advisor, Industry Analysis Division.</w:t>
      </w:r>
      <w:r>
        <w:rPr>
          <w:rFonts w:ascii="Times New Roman" w:hAnsi="Times New Roman"/>
          <w:sz w:val="22"/>
          <w:szCs w:val="22"/>
        </w:rPr>
        <w:t xml:space="preserve">  To the extent that this matter cannot be resolved in a timely fashion, we reserve the right to take appropriate enforcement action.</w:t>
      </w:r>
    </w:p>
    <w:p w:rsidR="0077672A" w:rsidRPr="00913ED4" w:rsidP="0077672A" w14:paraId="6C897D44" w14:textId="77777777">
      <w:pPr>
        <w:spacing w:after="220"/>
        <w:ind w:firstLine="720"/>
        <w:rPr>
          <w:rFonts w:ascii="Times New Roman" w:hAnsi="Times New Roman"/>
          <w:sz w:val="22"/>
          <w:szCs w:val="22"/>
        </w:rPr>
      </w:pPr>
      <w:r w:rsidRPr="00913ED4">
        <w:rPr>
          <w:rFonts w:ascii="Times New Roman" w:hAnsi="Times New Roman"/>
          <w:sz w:val="22"/>
          <w:szCs w:val="22"/>
        </w:rPr>
        <w:t>If you have any questions regarding this matter, please contact David Brown, Deputy Chief, Video Division, Media Bureau, at (202) 418-1645 or David Roberts, Video Division, Media Bureau, at (202) 418-1618.</w:t>
      </w:r>
    </w:p>
    <w:p w:rsidR="0077672A" w:rsidRPr="00913ED4" w:rsidP="0077672A" w14:paraId="71977A22" w14:textId="77777777">
      <w:pPr>
        <w:spacing w:after="220"/>
        <w:ind w:left="4320"/>
        <w:rPr>
          <w:rFonts w:ascii="Times New Roman" w:hAnsi="Times New Roman"/>
          <w:sz w:val="22"/>
          <w:szCs w:val="22"/>
        </w:rPr>
      </w:pPr>
      <w:r w:rsidRPr="00913ED4">
        <w:rPr>
          <w:rFonts w:ascii="Times New Roman" w:hAnsi="Times New Roman"/>
          <w:sz w:val="22"/>
          <w:szCs w:val="22"/>
        </w:rPr>
        <w:t>Sincerely,</w:t>
      </w:r>
    </w:p>
    <w:p w:rsidR="0077672A" w:rsidRPr="00913ED4" w:rsidP="0077672A" w14:paraId="5B3561DC" w14:textId="77777777">
      <w:pPr>
        <w:spacing w:after="220"/>
        <w:ind w:left="4320"/>
        <w:rPr>
          <w:rFonts w:ascii="Times New Roman" w:hAnsi="Times New Roman"/>
          <w:sz w:val="22"/>
          <w:szCs w:val="22"/>
        </w:rPr>
      </w:pPr>
    </w:p>
    <w:p w:rsidR="0077672A" w:rsidRPr="00913ED4" w:rsidP="0077672A" w14:paraId="29F82A56" w14:textId="22B60BCF">
      <w:pPr>
        <w:ind w:left="4320"/>
        <w:rPr>
          <w:rFonts w:ascii="Times New Roman" w:hAnsi="Times New Roman"/>
          <w:sz w:val="22"/>
          <w:szCs w:val="22"/>
        </w:rPr>
      </w:pPr>
      <w:r w:rsidRPr="00913ED4">
        <w:rPr>
          <w:rFonts w:ascii="Times New Roman" w:hAnsi="Times New Roman"/>
          <w:sz w:val="22"/>
          <w:szCs w:val="22"/>
        </w:rPr>
        <w:t>Michelle M. Carey</w:t>
      </w:r>
      <w:r w:rsidRPr="00913ED4">
        <w:rPr>
          <w:rFonts w:ascii="Times New Roman" w:hAnsi="Times New Roman"/>
          <w:sz w:val="22"/>
          <w:szCs w:val="22"/>
        </w:rPr>
        <w:br/>
        <w:t>Chief</w:t>
      </w:r>
      <w:r w:rsidR="00A56543">
        <w:rPr>
          <w:rFonts w:ascii="Times New Roman" w:hAnsi="Times New Roman"/>
          <w:sz w:val="22"/>
          <w:szCs w:val="22"/>
        </w:rPr>
        <w:t>, Media Bureau</w:t>
      </w:r>
    </w:p>
    <w:p w:rsidR="0077672A" w:rsidRPr="00913ED4" w:rsidP="0077672A" w14:paraId="443352BE" w14:textId="77777777">
      <w:pPr>
        <w:spacing w:after="220"/>
        <w:ind w:left="4320"/>
        <w:rPr>
          <w:rFonts w:ascii="Times New Roman" w:hAnsi="Times New Roman"/>
          <w:sz w:val="22"/>
          <w:szCs w:val="22"/>
        </w:rPr>
      </w:pPr>
    </w:p>
    <w:p w:rsidR="0077672A" w:rsidRPr="00913ED4" w:rsidP="0077672A" w14:paraId="7FFA2806" w14:textId="77777777">
      <w:pPr>
        <w:spacing w:after="220"/>
        <w:jc w:val="both"/>
        <w:rPr>
          <w:rFonts w:ascii="Times New Roman" w:hAnsi="Times New Roman"/>
          <w:sz w:val="22"/>
          <w:szCs w:val="22"/>
        </w:rPr>
      </w:pPr>
      <w:r w:rsidRPr="00913ED4">
        <w:rPr>
          <w:rFonts w:ascii="Times New Roman" w:hAnsi="Times New Roman"/>
          <w:sz w:val="22"/>
          <w:szCs w:val="22"/>
        </w:rPr>
        <w:t>cc:  Mark D. Schneider</w:t>
      </w:r>
    </w:p>
    <w:p w:rsidR="0077672A" w:rsidP="0077672A" w14:paraId="3ADE68B0" w14:textId="77777777">
      <w:pPr>
        <w:rPr>
          <w:sz w:val="22"/>
          <w:szCs w:val="22"/>
        </w:rPr>
      </w:pPr>
    </w:p>
    <w:p w:rsidR="0077672A" w:rsidP="0077672A" w14:paraId="0163012E" w14:textId="77777777">
      <w:pPr>
        <w:rPr>
          <w:sz w:val="22"/>
          <w:szCs w:val="22"/>
        </w:rPr>
      </w:pPr>
    </w:p>
    <w:p w:rsidR="0077672A" w:rsidRPr="008B357D" w:rsidP="0077672A" w14:paraId="4E310200" w14:textId="77777777">
      <w:pPr>
        <w:rPr>
          <w:rFonts w:ascii="Times New Roman" w:hAnsi="Times New Roman"/>
          <w:szCs w:val="24"/>
        </w:rPr>
      </w:pPr>
    </w:p>
    <w:p w:rsidR="00EB26EB" w:rsidRPr="008B357D" w:rsidP="008B357D" w14:paraId="1B49644D" w14:textId="77777777">
      <w:pPr>
        <w:rPr>
          <w:rFonts w:ascii="Times New Roman" w:hAnsi="Times New Roman"/>
          <w:szCs w:val="24"/>
        </w:rPr>
      </w:pPr>
    </w:p>
    <w:sectPr w:rsidSect="00AC7BB4">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5AF" w14:paraId="1A4D04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91" w:rsidRPr="009B3891" w14:paraId="433CDCA6" w14:textId="5BE04C86">
    <w:pPr>
      <w:pStyle w:val="Footer"/>
      <w:jc w:val="center"/>
      <w:rPr>
        <w:rFonts w:ascii="Times New Roman" w:hAnsi="Times New Roman"/>
        <w:sz w:val="18"/>
        <w:szCs w:val="18"/>
      </w:rPr>
    </w:pPr>
    <w:r w:rsidRPr="009B3891">
      <w:rPr>
        <w:rFonts w:ascii="Times New Roman" w:hAnsi="Times New Roman"/>
        <w:sz w:val="18"/>
        <w:szCs w:val="18"/>
      </w:rPr>
      <w:fldChar w:fldCharType="begin"/>
    </w:r>
    <w:r w:rsidRPr="009B3891">
      <w:rPr>
        <w:rFonts w:ascii="Times New Roman" w:hAnsi="Times New Roman"/>
        <w:sz w:val="18"/>
        <w:szCs w:val="18"/>
      </w:rPr>
      <w:instrText xml:space="preserve"> PAGE   \* MERGEFORMAT </w:instrText>
    </w:r>
    <w:r w:rsidRPr="009B3891">
      <w:rPr>
        <w:rFonts w:ascii="Times New Roman" w:hAnsi="Times New Roman"/>
        <w:sz w:val="18"/>
        <w:szCs w:val="18"/>
      </w:rPr>
      <w:fldChar w:fldCharType="separate"/>
    </w:r>
    <w:r w:rsidR="008D05AF">
      <w:rPr>
        <w:rFonts w:ascii="Times New Roman" w:hAnsi="Times New Roman"/>
        <w:noProof/>
        <w:sz w:val="18"/>
        <w:szCs w:val="18"/>
      </w:rPr>
      <w:t>2</w:t>
    </w:r>
    <w:r w:rsidRPr="009B3891">
      <w:rPr>
        <w:rFonts w:ascii="Times New Roman" w:hAnsi="Times New Roman"/>
        <w:noProof/>
        <w:sz w:val="18"/>
        <w:szCs w:val="18"/>
      </w:rPr>
      <w:fldChar w:fldCharType="end"/>
    </w:r>
  </w:p>
  <w:p w:rsidR="00AC7BB4" w:rsidRPr="009B3891" w14:paraId="10E99F07" w14:textId="77777777">
    <w:pPr>
      <w:pStyle w:val="Foo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45E" w:rsidRPr="009B3891" w14:paraId="2C700407" w14:textId="50023CD3">
    <w:pPr>
      <w:pStyle w:val="Footer"/>
      <w:jc w:val="center"/>
      <w:rPr>
        <w:rFonts w:ascii="Times New Roman" w:hAnsi="Times New Roman"/>
        <w:sz w:val="18"/>
        <w:szCs w:val="18"/>
      </w:rPr>
    </w:pPr>
    <w:r w:rsidRPr="009B3891">
      <w:rPr>
        <w:rFonts w:ascii="Times New Roman" w:hAnsi="Times New Roman"/>
        <w:sz w:val="18"/>
        <w:szCs w:val="18"/>
      </w:rPr>
      <w:fldChar w:fldCharType="begin"/>
    </w:r>
    <w:r w:rsidRPr="009B3891">
      <w:rPr>
        <w:rFonts w:ascii="Times New Roman" w:hAnsi="Times New Roman"/>
        <w:sz w:val="18"/>
        <w:szCs w:val="18"/>
      </w:rPr>
      <w:instrText xml:space="preserve"> PAGE   \* MERGEFORMAT </w:instrText>
    </w:r>
    <w:r w:rsidRPr="009B3891">
      <w:rPr>
        <w:rFonts w:ascii="Times New Roman" w:hAnsi="Times New Roman"/>
        <w:sz w:val="18"/>
        <w:szCs w:val="18"/>
      </w:rPr>
      <w:fldChar w:fldCharType="separate"/>
    </w:r>
    <w:r w:rsidR="008D05AF">
      <w:rPr>
        <w:rFonts w:ascii="Times New Roman" w:hAnsi="Times New Roman"/>
        <w:noProof/>
        <w:sz w:val="18"/>
        <w:szCs w:val="18"/>
      </w:rPr>
      <w:t>1</w:t>
    </w:r>
    <w:r w:rsidRPr="009B3891">
      <w:rPr>
        <w:rFonts w:ascii="Times New Roman" w:hAnsi="Times New Roman"/>
        <w:noProof/>
        <w:sz w:val="18"/>
        <w:szCs w:val="18"/>
      </w:rPr>
      <w:fldChar w:fldCharType="end"/>
    </w:r>
  </w:p>
  <w:p w:rsidR="00AC7BB4" w14:paraId="60573B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1E01" w14:paraId="0D876914" w14:textId="77777777">
      <w:r>
        <w:separator/>
      </w:r>
    </w:p>
  </w:footnote>
  <w:footnote w:type="continuationSeparator" w:id="1">
    <w:p w:rsidR="000A1E01" w14:paraId="1ED6CB4E" w14:textId="77777777">
      <w:r>
        <w:continuationSeparator/>
      </w:r>
    </w:p>
  </w:footnote>
  <w:footnote w:id="2">
    <w:p w:rsidR="0077672A" w:rsidP="0077672A" w14:paraId="67224654" w14:textId="77777777">
      <w:pPr>
        <w:pStyle w:val="FootnoteText"/>
        <w:spacing w:after="120"/>
      </w:pPr>
      <w:r>
        <w:rPr>
          <w:rStyle w:val="FootnoteReference"/>
        </w:rPr>
        <w:footnoteRef/>
      </w:r>
      <w:r>
        <w:t xml:space="preserve"> </w:t>
      </w:r>
      <w:r w:rsidRPr="00EF0AC2">
        <w:t>47 U.S.C. § 310(b)(4)</w:t>
      </w:r>
      <w:r>
        <w:t xml:space="preserve"> </w:t>
      </w:r>
      <w:r w:rsidRPr="00EF0AC2">
        <w:t>(“No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3">
    <w:p w:rsidR="0077672A" w:rsidP="0077672A" w14:paraId="28F0E46D" w14:textId="77777777">
      <w:pPr>
        <w:pStyle w:val="FootnoteText"/>
        <w:spacing w:after="120"/>
      </w:pPr>
      <w:r>
        <w:rPr>
          <w:rStyle w:val="FootnoteReference"/>
        </w:rPr>
        <w:footnoteRef/>
      </w:r>
      <w:r>
        <w:t xml:space="preserve"> Spanish Broadcasting System, Inc., Petition for Declaratory Ruling, filed December 4, 2017 (PDR) at 1.</w:t>
      </w:r>
    </w:p>
  </w:footnote>
  <w:footnote w:id="4">
    <w:p w:rsidR="0077672A" w:rsidP="0077672A" w14:paraId="3C77F041" w14:textId="77777777">
      <w:pPr>
        <w:pStyle w:val="FootnoteText"/>
        <w:spacing w:after="120"/>
      </w:pPr>
      <w:r>
        <w:rPr>
          <w:rStyle w:val="FootnoteReference"/>
        </w:rPr>
        <w:footnoteRef/>
      </w:r>
      <w:r>
        <w:t xml:space="preserve"> </w:t>
      </w:r>
      <w:r w:rsidRPr="009870DF">
        <w:rPr>
          <w:i/>
        </w:rPr>
        <w:t>Letter to Michelle M. Carey, Chief, Media Bureau, from Meredith Senter</w:t>
      </w:r>
      <w:r>
        <w:t xml:space="preserve">, dated November 13, 2017 (Notice). </w:t>
      </w:r>
    </w:p>
  </w:footnote>
  <w:footnote w:id="5">
    <w:p w:rsidR="0077672A" w:rsidP="0077672A" w14:paraId="6048D277" w14:textId="77777777">
      <w:pPr>
        <w:pStyle w:val="FootnoteText"/>
        <w:spacing w:after="120"/>
      </w:pPr>
      <w:r>
        <w:rPr>
          <w:rStyle w:val="FootnoteReference"/>
        </w:rPr>
        <w:footnoteRef/>
      </w:r>
      <w:r>
        <w:t xml:space="preserve"> </w:t>
      </w:r>
      <w:r w:rsidRPr="001067F9">
        <w:t>47 C.F.R. § 1.5004(f)(3)(i)</w:t>
      </w:r>
      <w:r>
        <w:rPr>
          <w:sz w:val="22"/>
          <w:szCs w:val="22"/>
        </w:rPr>
        <w:t xml:space="preserve"> </w:t>
      </w:r>
      <w:r w:rsidRPr="005C53E4">
        <w:t>(“</w:t>
      </w:r>
      <w:r w:rsidRPr="00033B42">
        <w:rPr>
          <w:szCs w:val="22"/>
        </w:rPr>
        <w:t>The licensee shall notify the relevant Bureau by letter no later than 10 days after learning of the investment(s) that rendered the licensee non-compliant with its foreign ownership ruling or the Commission’s rules relating to foreign ownership and specify in the letter that it will file a petition for declaratory ruling under § 1.5000(a)(1) or, alternatively, take remedial action to come into compliance within 30 days of the date it learned of the non-compliant foreign interest(s).</w:t>
      </w:r>
      <w:r>
        <w:rPr>
          <w:szCs w:val="22"/>
        </w:rPr>
        <w:t>”).</w:t>
      </w:r>
    </w:p>
  </w:footnote>
  <w:footnote w:id="6">
    <w:p w:rsidR="0077672A" w:rsidP="0077672A" w14:paraId="64BF0BCD" w14:textId="77777777">
      <w:pPr>
        <w:pStyle w:val="FootnoteText"/>
        <w:spacing w:after="120"/>
      </w:pPr>
      <w:r>
        <w:rPr>
          <w:rStyle w:val="FootnoteReference"/>
        </w:rPr>
        <w:footnoteRef/>
      </w:r>
      <w:r>
        <w:t xml:space="preserve"> Verified Complaint, Cedarview Opportunities Master Fund, L.P., et al. v. Spanish Broadcasting System, Inc., C.A. No. 2017-0785 (Del. Chanc. Nov. 2, 2017), 2017 WL 575691. (Complaint).</w:t>
      </w:r>
    </w:p>
  </w:footnote>
  <w:footnote w:id="7">
    <w:p w:rsidR="0077672A" w:rsidRPr="00E22544" w:rsidP="0077672A" w14:paraId="103498E2" w14:textId="77777777">
      <w:pPr>
        <w:pStyle w:val="FootnoteText"/>
        <w:spacing w:after="120"/>
      </w:pPr>
      <w:r>
        <w:rPr>
          <w:rStyle w:val="FootnoteReference"/>
        </w:rPr>
        <w:footnoteRef/>
      </w:r>
      <w:r>
        <w:t xml:space="preserve"> Notice at 2.  SBS says that it was served with the lawsuit on November 4, 2017.  </w:t>
      </w:r>
      <w:r>
        <w:rPr>
          <w:i/>
        </w:rPr>
        <w:t>Id.</w:t>
      </w:r>
    </w:p>
  </w:footnote>
  <w:footnote w:id="8">
    <w:p w:rsidR="0077672A" w:rsidP="0077672A" w14:paraId="4CD9CEAC" w14:textId="77777777">
      <w:pPr>
        <w:pStyle w:val="FootnoteText"/>
        <w:spacing w:after="120"/>
      </w:pPr>
      <w:r>
        <w:rPr>
          <w:rStyle w:val="FootnoteReference"/>
        </w:rPr>
        <w:footnoteRef/>
      </w:r>
      <w:r>
        <w:t xml:space="preserve"> Spanish Broadcasting System, Inc., SEC Form 8-K, November 28, 2017 (SBS Form 8-K).</w:t>
      </w:r>
    </w:p>
  </w:footnote>
  <w:footnote w:id="9">
    <w:p w:rsidR="0077672A" w:rsidRPr="007E789F" w:rsidP="0077672A" w14:paraId="5ADA7BA4" w14:textId="77777777">
      <w:pPr>
        <w:pStyle w:val="FootnoteText"/>
        <w:spacing w:after="120"/>
      </w:pPr>
      <w:r>
        <w:rPr>
          <w:rStyle w:val="FootnoteReference"/>
        </w:rPr>
        <w:footnoteRef/>
      </w:r>
      <w:r>
        <w:t xml:space="preserve"> </w:t>
      </w:r>
      <w:r>
        <w:rPr>
          <w:i/>
        </w:rPr>
        <w:t xml:space="preserve">Id. </w:t>
      </w:r>
    </w:p>
  </w:footnote>
  <w:footnote w:id="10">
    <w:p w:rsidR="0077672A" w:rsidP="0077672A" w14:paraId="0AC636A5" w14:textId="77777777">
      <w:pPr>
        <w:pStyle w:val="FootnoteText"/>
        <w:spacing w:after="120"/>
      </w:pPr>
      <w:r>
        <w:rPr>
          <w:rStyle w:val="FootnoteReference"/>
        </w:rPr>
        <w:footnoteRef/>
      </w:r>
      <w:r>
        <w:t xml:space="preserve"> PDR at 6.</w:t>
      </w:r>
    </w:p>
  </w:footnote>
  <w:footnote w:id="11">
    <w:p w:rsidR="0077672A" w:rsidP="0077672A" w14:paraId="712B1947" w14:textId="77777777">
      <w:pPr>
        <w:pStyle w:val="FootnoteText"/>
        <w:spacing w:after="120"/>
      </w:pPr>
      <w:r>
        <w:rPr>
          <w:rStyle w:val="FootnoteReference"/>
        </w:rPr>
        <w:footnoteRef/>
      </w:r>
      <w:r>
        <w:t xml:space="preserve"> SBS Form 8-K.</w:t>
      </w:r>
    </w:p>
  </w:footnote>
  <w:footnote w:id="12">
    <w:p w:rsidR="0077672A" w:rsidRPr="007E789F" w:rsidP="0077672A" w14:paraId="1D75A19F" w14:textId="77777777">
      <w:pPr>
        <w:pStyle w:val="FootnoteText"/>
        <w:spacing w:after="120"/>
      </w:pPr>
      <w:r>
        <w:rPr>
          <w:rStyle w:val="FootnoteReference"/>
        </w:rPr>
        <w:footnoteRef/>
      </w:r>
      <w:r>
        <w:t xml:space="preserve"> </w:t>
      </w:r>
      <w:r>
        <w:rPr>
          <w:i/>
        </w:rPr>
        <w:t>Id.</w:t>
      </w:r>
    </w:p>
  </w:footnote>
  <w:footnote w:id="13">
    <w:p w:rsidR="0077672A" w:rsidP="0077672A" w14:paraId="44C608BC" w14:textId="77777777">
      <w:pPr>
        <w:pStyle w:val="FootnoteText"/>
        <w:spacing w:after="120"/>
      </w:pPr>
      <w:r>
        <w:rPr>
          <w:rStyle w:val="FootnoteReference"/>
        </w:rPr>
        <w:footnoteRef/>
      </w:r>
      <w:r>
        <w:t xml:space="preserve"> PDR at 6.</w:t>
      </w:r>
    </w:p>
  </w:footnote>
  <w:footnote w:id="14">
    <w:p w:rsidR="0077672A" w:rsidRPr="004D240C" w:rsidP="0077672A" w14:paraId="7C49E212" w14:textId="77777777">
      <w:pPr>
        <w:pStyle w:val="FootnoteText"/>
        <w:spacing w:after="120"/>
      </w:pPr>
      <w:r>
        <w:rPr>
          <w:rStyle w:val="FootnoteReference"/>
        </w:rPr>
        <w:footnoteRef/>
      </w:r>
      <w:r>
        <w:t xml:space="preserve"> </w:t>
      </w:r>
      <w:r>
        <w:rPr>
          <w:i/>
        </w:rPr>
        <w:t>Id.</w:t>
      </w:r>
    </w:p>
  </w:footnote>
  <w:footnote w:id="15">
    <w:p w:rsidR="0077672A" w:rsidP="0077672A" w14:paraId="3972BB35" w14:textId="77777777">
      <w:pPr>
        <w:pStyle w:val="FootnoteText"/>
        <w:spacing w:after="120"/>
      </w:pPr>
      <w:r>
        <w:rPr>
          <w:rStyle w:val="FootnoteReference"/>
        </w:rPr>
        <w:footnoteRef/>
      </w:r>
      <w:r>
        <w:t xml:space="preserve"> </w:t>
      </w:r>
      <w:bookmarkStart w:id="4" w:name="_Hlk501542935"/>
      <w:r w:rsidRPr="005C53E4">
        <w:t>47 C.F.R.§1.5000(</w:t>
      </w:r>
      <w:bookmarkEnd w:id="4"/>
      <w:r w:rsidRPr="005C53E4">
        <w:t>a)(1)</w:t>
      </w:r>
      <w:r>
        <w:rPr>
          <w:sz w:val="22"/>
          <w:szCs w:val="22"/>
        </w:rPr>
        <w:t xml:space="preserve"> (“</w:t>
      </w:r>
      <w:r w:rsidRPr="00033B42">
        <w:rPr>
          <w:szCs w:val="22"/>
        </w:rPr>
        <w:t>A broadcast, common carrier, aeronautical en route or aeronautical fixed radio station licensee or common carrier spectrum lessee shall file a petition for declaratory ruling to obtain Commission approval under section 310(b)(4) of the Act, and obtain such approval, before the aggregate foreign ownership of any controlling, U.S.-organized parent company exceeds, directly and/or indirectly, 25 percent of the U.S. parent’s equity interests and/or 25 percent of its voting interests. An applicant for a broadcast, common carrier, aeronautical en route or aeronautical fixed radio station license or common carrier spectrum leasing arrangement shall file the petition for declaratory ruling required by this paragraph at the same time that it files its application.</w:t>
      </w:r>
      <w:r>
        <w:rPr>
          <w:szCs w:val="22"/>
        </w:rPr>
        <w:t>”)</w:t>
      </w:r>
    </w:p>
  </w:footnote>
  <w:footnote w:id="16">
    <w:p w:rsidR="0077672A" w:rsidP="0077672A" w14:paraId="0184C509" w14:textId="3E8202EE">
      <w:pPr>
        <w:pStyle w:val="FootnoteText"/>
        <w:spacing w:after="120"/>
      </w:pPr>
      <w:r>
        <w:rPr>
          <w:rStyle w:val="FootnoteReference"/>
        </w:rPr>
        <w:footnoteRef/>
      </w:r>
      <w:r>
        <w:t xml:space="preserve"> </w:t>
      </w:r>
      <w:r w:rsidRPr="005C53E4">
        <w:t>47 C.F.R.§1.5000(f)(3)</w:t>
      </w:r>
      <w:r>
        <w:rPr>
          <w:sz w:val="22"/>
          <w:szCs w:val="22"/>
        </w:rPr>
        <w:t xml:space="preserve"> (“</w:t>
      </w:r>
      <w:r w:rsidRPr="00033B42">
        <w:rPr>
          <w:szCs w:val="22"/>
        </w:rPr>
        <w:t>Where the controlling U.S. parent of a broadcast, common carrier, aeronautical en route, or aeronautical fixed radio station licensee or common carrier spectrum lessee is an eligible U.S. public company within the meaning of § 1.5000(e), the licensee may file a remedial petition for declaratory ruling under §1.5000(a)(1) seeking approval of particular foreign equity and/or voting interests that are non-compliant with the licensee’s foreign ownership ruling or the Commission's rules relating to foreign ownership; or, alternatively, the licensee may remedy the non-compliance by, for example, redeeming the foreign interest(s) that rendered the licensee non-compliant with the licensee’s existing foreign ownership ruling. In either case, the Commission does not expect to take enforcement action related to the non-compliance subject to the requirements specified in paragraphs (f)(3)(i) and (f)(3)(ii) of this section and except as otherwise provided in paragraph (f)(3)(iii) of this section.</w:t>
      </w:r>
      <w:r>
        <w:rPr>
          <w:szCs w:val="22"/>
        </w:rPr>
        <w:t>”)</w:t>
      </w:r>
    </w:p>
  </w:footnote>
  <w:footnote w:id="17">
    <w:p w:rsidR="0077672A" w:rsidP="0077672A" w14:paraId="5D87A982" w14:textId="77777777">
      <w:pPr>
        <w:pStyle w:val="FootnoteText"/>
        <w:spacing w:after="120"/>
      </w:pPr>
      <w:r>
        <w:rPr>
          <w:rStyle w:val="FootnoteReference"/>
        </w:rPr>
        <w:footnoteRef/>
      </w:r>
      <w:r>
        <w:t xml:space="preserve"> PDR at 1.  The Commission’s foreign ownership rules do not provide for the Commission to grant a “temporary” waiver to exceed 310(b)(4).  When SBS amends its PDR, it will need to clarify that it is asking for a declaratory ruling that asks the Commission to find that it is in the public interest for SBS to exceed the 310(b)(4) benchmark as permitted by the Commission’s order in </w:t>
      </w:r>
      <w:r>
        <w:rPr>
          <w:i/>
        </w:rPr>
        <w:t>Review of Foreign Ownership Policies for Broadcast, Common Carrier and Aeronautical Radio Licensees under Section 310(b)(4) of the Communications Act of 1934, as Amended,</w:t>
      </w:r>
      <w:r>
        <w:t xml:space="preserve"> Report and Order, 31 FCC Rcd 11272, GN Docket 15-236 (2016)(</w:t>
      </w:r>
      <w:r>
        <w:rPr>
          <w:i/>
        </w:rPr>
        <w:t>Foreign Ownership Order</w:t>
      </w:r>
      <w:r>
        <w:t>), accompanied by a full showing as required under the rules, including all necessary requests for specific approval.  This showing was not sufficient in the PDR.  We will also defer action on the question of whether SBS’s action of exchanging its Series B Shareholders’ stock for Foreign Share Certificates, was sufficient to bring it into compliance with § 310(b)(4) until SBS has amended its showing and provided a complete PDR.</w:t>
      </w:r>
    </w:p>
  </w:footnote>
  <w:footnote w:id="18">
    <w:p w:rsidR="0077672A" w:rsidRPr="00577382" w:rsidP="0077672A" w14:paraId="387EC5C2" w14:textId="77777777">
      <w:pPr>
        <w:pStyle w:val="FootnoteText"/>
        <w:spacing w:after="120"/>
      </w:pPr>
      <w:r>
        <w:rPr>
          <w:rStyle w:val="FootnoteReference"/>
        </w:rPr>
        <w:footnoteRef/>
      </w:r>
      <w:r>
        <w:t xml:space="preserve"> Notice at 1.  </w:t>
      </w:r>
      <w:r w:rsidRPr="00577382">
        <w:t>The Complaint alleges that SBS’s failure to pay dividends to the Dissident Shareholders and other Series B Shareholders was a Voting Rights Triggering Event, subjecting SBS to restrictive covenants and giving specified rights to the Series B Shareholders.</w:t>
      </w:r>
      <w:r>
        <w:t xml:space="preserve"> </w:t>
      </w:r>
      <w:r w:rsidRPr="00577382">
        <w:t xml:space="preserve"> Complaint at 2</w:t>
      </w:r>
      <w:r>
        <w:t xml:space="preserve">.  </w:t>
      </w:r>
      <w:r w:rsidRPr="002203BD">
        <w:t>The pending litigation in the Delaware Chancery Court raises issues that involve the alleged rights of the Series B Shareholders and alleged breaches of those rights by SBS.  We take no position on the outcome of any issue in that litigation and defer to the Court and its conclusions.</w:t>
      </w:r>
      <w:r w:rsidRPr="00913ED4">
        <w:rPr>
          <w:sz w:val="22"/>
          <w:szCs w:val="22"/>
        </w:rPr>
        <w:t xml:space="preserve">  </w:t>
      </w:r>
    </w:p>
  </w:footnote>
  <w:footnote w:id="19">
    <w:p w:rsidR="0077672A" w:rsidRPr="00832DA8" w:rsidP="0077672A" w14:paraId="72756722" w14:textId="77777777">
      <w:pPr>
        <w:pStyle w:val="FootnoteText"/>
        <w:spacing w:after="120"/>
      </w:pPr>
      <w:r>
        <w:rPr>
          <w:rStyle w:val="FootnoteReference"/>
        </w:rPr>
        <w:footnoteRef/>
      </w:r>
      <w:r>
        <w:t xml:space="preserve"> </w:t>
      </w:r>
      <w:r>
        <w:rPr>
          <w:i/>
        </w:rPr>
        <w:t xml:space="preserve">Letter from Mark D. Schneider to Michelle M. Carey, Chief, Media Bureau, </w:t>
      </w:r>
      <w:r>
        <w:t>dated December 29, 2017 (</w:t>
      </w:r>
      <w:r>
        <w:rPr>
          <w:i/>
        </w:rPr>
        <w:t>December 29th Letter</w:t>
      </w:r>
      <w:r>
        <w:t>).</w:t>
      </w:r>
    </w:p>
  </w:footnote>
  <w:footnote w:id="20">
    <w:p w:rsidR="0077672A" w:rsidRPr="00A16004" w:rsidP="0077672A" w14:paraId="1D028461" w14:textId="77777777">
      <w:pPr>
        <w:pStyle w:val="FootnoteText"/>
        <w:spacing w:after="120"/>
      </w:pPr>
      <w:r>
        <w:rPr>
          <w:rStyle w:val="FootnoteReference"/>
        </w:rPr>
        <w:footnoteRef/>
      </w:r>
      <w:r>
        <w:t xml:space="preserve"> </w:t>
      </w:r>
      <w:r>
        <w:rPr>
          <w:i/>
        </w:rPr>
        <w:t>Id.</w:t>
      </w:r>
    </w:p>
  </w:footnote>
  <w:footnote w:id="21">
    <w:p w:rsidR="0077672A" w:rsidRPr="00A16004" w:rsidP="0077672A" w14:paraId="049D4EFD" w14:textId="77777777">
      <w:pPr>
        <w:pStyle w:val="FootnoteText"/>
        <w:spacing w:after="120"/>
      </w:pPr>
      <w:r>
        <w:rPr>
          <w:rStyle w:val="FootnoteReference"/>
        </w:rPr>
        <w:footnoteRef/>
      </w:r>
      <w:r>
        <w:t xml:space="preserve"> </w:t>
      </w:r>
      <w:r>
        <w:rPr>
          <w:i/>
        </w:rPr>
        <w:t>Id.</w:t>
      </w:r>
    </w:p>
  </w:footnote>
  <w:footnote w:id="22">
    <w:p w:rsidR="0077672A" w:rsidP="0077672A" w14:paraId="21EBF9E8" w14:textId="77777777">
      <w:pPr>
        <w:pStyle w:val="FootnoteText"/>
        <w:spacing w:after="120"/>
      </w:pPr>
      <w:r>
        <w:rPr>
          <w:rStyle w:val="FootnoteReference"/>
        </w:rPr>
        <w:footnoteRef/>
      </w:r>
      <w:r>
        <w:t xml:space="preserve"> Notice at 2.</w:t>
      </w:r>
    </w:p>
  </w:footnote>
  <w:footnote w:id="23">
    <w:p w:rsidR="0077672A" w:rsidP="0077672A" w14:paraId="74DF0362" w14:textId="77777777">
      <w:pPr>
        <w:pStyle w:val="FootnoteText"/>
        <w:spacing w:after="120"/>
      </w:pPr>
      <w:r>
        <w:rPr>
          <w:rStyle w:val="FootnoteReference"/>
        </w:rPr>
        <w:footnoteRef/>
      </w:r>
      <w:r>
        <w:t xml:space="preserve"> PDR 5-6.</w:t>
      </w:r>
    </w:p>
  </w:footnote>
  <w:footnote w:id="24">
    <w:p w:rsidR="0077672A" w:rsidRPr="00F81C06" w:rsidP="0077672A" w14:paraId="2A91B918" w14:textId="77777777">
      <w:pPr>
        <w:pStyle w:val="FootnoteText"/>
        <w:spacing w:after="120"/>
      </w:pPr>
      <w:r>
        <w:rPr>
          <w:rStyle w:val="FootnoteReference"/>
        </w:rPr>
        <w:footnoteRef/>
      </w:r>
      <w:r>
        <w:t xml:space="preserve"> </w:t>
      </w:r>
      <w:r>
        <w:rPr>
          <w:i/>
        </w:rPr>
        <w:t>December 29</w:t>
      </w:r>
      <w:r w:rsidRPr="00F81C06">
        <w:rPr>
          <w:i/>
          <w:vertAlign w:val="superscript"/>
        </w:rPr>
        <w:t>th</w:t>
      </w:r>
      <w:r>
        <w:rPr>
          <w:i/>
        </w:rPr>
        <w:t xml:space="preserve"> Letter </w:t>
      </w:r>
      <w:r>
        <w:t>at 1.</w:t>
      </w:r>
    </w:p>
  </w:footnote>
  <w:footnote w:id="25">
    <w:p w:rsidR="0077672A" w:rsidP="0077672A" w14:paraId="3376962D" w14:textId="01FD83B7">
      <w:pPr>
        <w:pStyle w:val="FootnoteText"/>
        <w:spacing w:after="120"/>
      </w:pPr>
      <w:r>
        <w:rPr>
          <w:rStyle w:val="FootnoteReference"/>
        </w:rPr>
        <w:footnoteRef/>
      </w:r>
      <w:r>
        <w:t xml:space="preserve"> 47 C.F.R. § 1.5004(f)(3)(iii) (“</w:t>
      </w:r>
      <w:r w:rsidRPr="00EF0AC2">
        <w:t>Where the licensee has opted to file a petition for declaratory ruling under §1.5000(a)(1), the Commission will not, as a general rule, require that the licensee redeem the non-compliant foreign interest(s) or take other action to remedy the non-compliance during the pendency of its petition.  If the Commission ultimately declines to approve the petition, however, the licensee must have a mechanism available to come into compliance with the terms of its existing ruling within 30 days following the Commission’s decision. The Commission reserves the right to require immediate remedial action by the licensee where the Commission finds in a particular case that the public interest requires such action—for example, where, after consultation with the relevant Executive Branch agencies, the Commission finds that the non-compliant foreign interest presents national security or other significant concerns that require immediate mitigation.</w:t>
      </w:r>
      <w:r>
        <w:t>”)</w:t>
      </w:r>
    </w:p>
  </w:footnote>
  <w:footnote w:id="26">
    <w:p w:rsidR="0077672A" w:rsidRPr="00C26909" w:rsidP="0077672A" w14:paraId="676C089F" w14:textId="77777777">
      <w:pPr>
        <w:pStyle w:val="FootnoteText"/>
        <w:spacing w:after="120"/>
      </w:pPr>
      <w:r>
        <w:rPr>
          <w:rStyle w:val="FootnoteReference"/>
        </w:rPr>
        <w:footnoteRef/>
      </w:r>
      <w:r>
        <w:t xml:space="preserve"> </w:t>
      </w:r>
      <w:r>
        <w:rPr>
          <w:i/>
        </w:rPr>
        <w:t>Id.</w:t>
      </w:r>
    </w:p>
  </w:footnote>
  <w:footnote w:id="27">
    <w:p w:rsidR="0077672A" w:rsidRPr="00B50541" w:rsidP="0077672A" w14:paraId="3693B885" w14:textId="77777777">
      <w:pPr>
        <w:pStyle w:val="FootnoteText"/>
        <w:spacing w:after="120"/>
      </w:pPr>
      <w:r>
        <w:rPr>
          <w:rStyle w:val="FootnoteReference"/>
        </w:rPr>
        <w:footnoteRef/>
      </w:r>
      <w:r>
        <w:t xml:space="preserve"> </w:t>
      </w:r>
      <w:r>
        <w:rPr>
          <w:i/>
        </w:rPr>
        <w:t>Foreign Ownership Order</w:t>
      </w:r>
      <w:r>
        <w:t>, 15 FCC Rcd at 11293-11305.</w:t>
      </w:r>
    </w:p>
  </w:footnote>
  <w:footnote w:id="28">
    <w:p w:rsidR="0077672A" w:rsidRPr="006867E3" w:rsidP="0077672A" w14:paraId="5C1A8A5A" w14:textId="77777777">
      <w:pPr>
        <w:pStyle w:val="FootnoteText"/>
      </w:pPr>
      <w:r>
        <w:rPr>
          <w:rStyle w:val="FootnoteReference"/>
        </w:rPr>
        <w:footnoteRef/>
      </w:r>
      <w:r>
        <w:t xml:space="preserve"> </w:t>
      </w:r>
      <w:r>
        <w:rPr>
          <w:i/>
        </w:rPr>
        <w:t xml:space="preserve">Id. </w:t>
      </w:r>
      <w:r>
        <w:t>at 11305.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5AF" w14:paraId="5A77AB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5AF" w14:paraId="1518D2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7C1" w14:paraId="5F6B054F"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78379859" r:id="rId2"/>
      </w:pict>
    </w:r>
    <w:r>
      <w:rPr>
        <w:rFonts w:ascii="CG Times (W1)" w:hAnsi="CG Times (W1)"/>
        <w:sz w:val="28"/>
      </w:rPr>
      <w:t>Federal Communications Commission</w:t>
    </w:r>
    <w:r w:rsidR="00281E52">
      <w:rPr>
        <w:rFonts w:ascii="CG Times (W1)" w:hAnsi="CG Times (W1)"/>
        <w:sz w:val="28"/>
      </w:rPr>
      <w:t xml:space="preserve"> </w:t>
    </w:r>
  </w:p>
  <w:p w:rsidR="002C67C1" w14:paraId="795BB8B6"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2C67C1" w14:paraId="4ECA0BE3"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DA0220"/>
    <w:multiLevelType w:val="hybridMultilevel"/>
    <w:tmpl w:val="4C98F4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72974D5A"/>
    <w:multiLevelType w:val="singleLevel"/>
    <w:tmpl w:val="61FEEC94"/>
    <w:lvl w:ilvl="0">
      <w:start w:val="1"/>
      <w:numFmt w:val="decimal"/>
      <w:pStyle w:val="GeneralNumb"/>
      <w:lvlText w:val="%1.  "/>
      <w:lvlJc w:val="left"/>
      <w:pPr>
        <w:tabs>
          <w:tab w:val="num" w:pos="1080"/>
        </w:tabs>
        <w:ind w:left="360" w:firstLine="360"/>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D3"/>
    <w:rsid w:val="00020421"/>
    <w:rsid w:val="00033B42"/>
    <w:rsid w:val="000669D2"/>
    <w:rsid w:val="000A1E01"/>
    <w:rsid w:val="000F3C82"/>
    <w:rsid w:val="001067F9"/>
    <w:rsid w:val="00121645"/>
    <w:rsid w:val="00165943"/>
    <w:rsid w:val="00200135"/>
    <w:rsid w:val="002044BA"/>
    <w:rsid w:val="002203BD"/>
    <w:rsid w:val="00262F67"/>
    <w:rsid w:val="00281E52"/>
    <w:rsid w:val="002A58C7"/>
    <w:rsid w:val="002C67C1"/>
    <w:rsid w:val="00377E4D"/>
    <w:rsid w:val="003C4707"/>
    <w:rsid w:val="003D1709"/>
    <w:rsid w:val="00455134"/>
    <w:rsid w:val="004660EF"/>
    <w:rsid w:val="00466DA2"/>
    <w:rsid w:val="004D240C"/>
    <w:rsid w:val="00547213"/>
    <w:rsid w:val="005564C3"/>
    <w:rsid w:val="00577382"/>
    <w:rsid w:val="005C53E4"/>
    <w:rsid w:val="006000AE"/>
    <w:rsid w:val="0065145E"/>
    <w:rsid w:val="006867E3"/>
    <w:rsid w:val="006E3118"/>
    <w:rsid w:val="006F682F"/>
    <w:rsid w:val="0077672A"/>
    <w:rsid w:val="007D560A"/>
    <w:rsid w:val="007E533C"/>
    <w:rsid w:val="007E789F"/>
    <w:rsid w:val="007F183E"/>
    <w:rsid w:val="00832DA8"/>
    <w:rsid w:val="00875811"/>
    <w:rsid w:val="008A7E4D"/>
    <w:rsid w:val="008B357D"/>
    <w:rsid w:val="008D05AF"/>
    <w:rsid w:val="00913ED4"/>
    <w:rsid w:val="009870DF"/>
    <w:rsid w:val="009B3891"/>
    <w:rsid w:val="009D6B56"/>
    <w:rsid w:val="00A16004"/>
    <w:rsid w:val="00A373D3"/>
    <w:rsid w:val="00A52C53"/>
    <w:rsid w:val="00A56543"/>
    <w:rsid w:val="00A7417A"/>
    <w:rsid w:val="00AC7BB4"/>
    <w:rsid w:val="00B2615F"/>
    <w:rsid w:val="00B50541"/>
    <w:rsid w:val="00C26909"/>
    <w:rsid w:val="00CD1DE6"/>
    <w:rsid w:val="00CE6EDF"/>
    <w:rsid w:val="00CF261A"/>
    <w:rsid w:val="00DF6CE8"/>
    <w:rsid w:val="00E22544"/>
    <w:rsid w:val="00E81B45"/>
    <w:rsid w:val="00E834E4"/>
    <w:rsid w:val="00EB26EB"/>
    <w:rsid w:val="00EF0AC2"/>
    <w:rsid w:val="00F448BD"/>
    <w:rsid w:val="00F81C06"/>
    <w:rsid w:val="00FD43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rsid w:val="00DF6CE8"/>
    <w:pPr>
      <w:widowControl w:val="0"/>
    </w:pPr>
    <w:rPr>
      <w:rFonts w:ascii="Letter Gothic" w:hAnsi="Letter Gothic"/>
    </w:rPr>
  </w:style>
  <w:style w:type="paragraph" w:styleId="BalloonText">
    <w:name w:val="Balloon Text"/>
    <w:basedOn w:val="Normal"/>
    <w:semiHidden/>
    <w:rsid w:val="00DF6CE8"/>
    <w:rPr>
      <w:rFonts w:ascii="Tahoma" w:hAnsi="Tahoma" w:cs="Tahoma"/>
      <w:sz w:val="16"/>
      <w:szCs w:val="16"/>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rsid w:val="00281E52"/>
    <w:rPr>
      <w:rFonts w:ascii="Times New Roman" w:hAnsi="Times New Roman"/>
      <w:sz w:val="20"/>
    </w:rPr>
  </w:style>
  <w:style w:type="character" w:styleId="FootnoteReference">
    <w:name w:val="footnote reference"/>
    <w:aliases w:val="(NECG) Footnote Reference,Appel note de bas de p,FR,Style 12,Style 124,Style 17,Style 3,fr,o"/>
    <w:semiHidden/>
    <w:rsid w:val="00281E52"/>
    <w:rPr>
      <w:vertAlign w:val="superscript"/>
    </w:rPr>
  </w:style>
  <w:style w:type="paragraph" w:customStyle="1" w:styleId="GeneralNumb">
    <w:name w:val="General Numb."/>
    <w:basedOn w:val="Normal"/>
    <w:rsid w:val="00281E52"/>
    <w:pPr>
      <w:numPr>
        <w:numId w:val="1"/>
      </w:numPr>
      <w:spacing w:before="240"/>
    </w:pPr>
    <w:rPr>
      <w:rFonts w:ascii="Times New Roman" w:hAnsi="Times New Roman"/>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uiPriority w:val="99"/>
    <w:semiHidden/>
    <w:rsid w:val="00EB26EB"/>
  </w:style>
  <w:style w:type="paragraph" w:customStyle="1" w:styleId="Default">
    <w:name w:val="Default"/>
    <w:rsid w:val="00EB26EB"/>
    <w:pPr>
      <w:autoSpaceDE w:val="0"/>
      <w:autoSpaceDN w:val="0"/>
      <w:adjustRightInd w:val="0"/>
    </w:pPr>
    <w:rPr>
      <w:color w:val="000000"/>
      <w:sz w:val="24"/>
      <w:szCs w:val="24"/>
    </w:rPr>
  </w:style>
  <w:style w:type="paragraph" w:styleId="ListParagraph">
    <w:name w:val="List Paragraph"/>
    <w:basedOn w:val="Normal"/>
    <w:uiPriority w:val="34"/>
    <w:qFormat/>
    <w:rsid w:val="00913ED4"/>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AC7BB4"/>
    <w:rPr>
      <w:rFonts w:ascii="Arial" w:hAnsi="Arial"/>
      <w:sz w:val="24"/>
    </w:rPr>
  </w:style>
  <w:style w:type="character" w:customStyle="1" w:styleId="HeaderChar">
    <w:name w:val="Header Char"/>
    <w:link w:val="Header"/>
    <w:uiPriority w:val="99"/>
    <w:rsid w:val="00AC7BB4"/>
    <w:rPr>
      <w:rFonts w:ascii="Arial" w:hAnsi="Arial"/>
      <w:sz w:val="24"/>
    </w:rPr>
  </w:style>
  <w:style w:type="character" w:styleId="CommentReference">
    <w:name w:val="annotation reference"/>
    <w:rsid w:val="006F682F"/>
    <w:rPr>
      <w:sz w:val="16"/>
      <w:szCs w:val="16"/>
    </w:rPr>
  </w:style>
  <w:style w:type="paragraph" w:styleId="CommentText">
    <w:name w:val="annotation text"/>
    <w:basedOn w:val="Normal"/>
    <w:link w:val="CommentTextChar"/>
    <w:rsid w:val="006F682F"/>
    <w:rPr>
      <w:sz w:val="20"/>
    </w:rPr>
  </w:style>
  <w:style w:type="character" w:customStyle="1" w:styleId="CommentTextChar">
    <w:name w:val="Comment Text Char"/>
    <w:link w:val="CommentText"/>
    <w:rsid w:val="006F682F"/>
    <w:rPr>
      <w:rFonts w:ascii="Arial" w:hAnsi="Arial"/>
    </w:rPr>
  </w:style>
  <w:style w:type="paragraph" w:styleId="CommentSubject">
    <w:name w:val="annotation subject"/>
    <w:basedOn w:val="CommentText"/>
    <w:next w:val="CommentText"/>
    <w:link w:val="CommentSubjectChar"/>
    <w:rsid w:val="006F682F"/>
    <w:rPr>
      <w:b/>
      <w:bCs/>
    </w:rPr>
  </w:style>
  <w:style w:type="character" w:customStyle="1" w:styleId="CommentSubjectChar">
    <w:name w:val="Comment Subject Char"/>
    <w:link w:val="CommentSubject"/>
    <w:rsid w:val="006F682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70F5-7F97-4ED0-BD56-77E8E85D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Letter</Template>
  <TotalTime>0</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KGAN Licensee, L</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2018-01-25T15:05:00Z</dcterms:created>
  <dcterms:modified xsi:type="dcterms:W3CDTF">2018-01-25T15:05:00Z</dcterms:modified>
</cp:coreProperties>
</file>