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6FA4" w:rsidRPr="004F7405" w:rsidP="00016FA4">
      <w:pPr>
        <w:widowControl/>
        <w:suppressAutoHyphens/>
        <w:jc w:val="right"/>
        <w:rPr>
          <w:b/>
          <w:color w:val="000000"/>
        </w:rPr>
      </w:pPr>
      <w:r>
        <w:rPr>
          <w:b/>
          <w:color w:val="000000"/>
        </w:rPr>
        <w:t>DA 18-</w:t>
      </w:r>
      <w:r w:rsidR="005D795C">
        <w:rPr>
          <w:b/>
          <w:color w:val="000000"/>
        </w:rPr>
        <w:t>742</w:t>
      </w:r>
      <w:bookmarkStart w:id="0" w:name="_GoBack"/>
      <w:bookmarkEnd w:id="0"/>
    </w:p>
    <w:p w:rsidR="00016FA4" w:rsidRPr="004F7405" w:rsidP="00016FA4">
      <w:pPr>
        <w:widowControl/>
        <w:suppressAutoHyphens/>
        <w:spacing w:after="240"/>
        <w:jc w:val="right"/>
        <w:rPr>
          <w:b/>
          <w:color w:val="000000"/>
        </w:rPr>
      </w:pPr>
      <w:r>
        <w:rPr>
          <w:b/>
          <w:color w:val="000000"/>
        </w:rPr>
        <w:t xml:space="preserve"> Released: July 18, 2018</w:t>
      </w:r>
    </w:p>
    <w:p w:rsidR="00016FA4" w:rsidRPr="004F7405" w:rsidP="00016FA4">
      <w:pPr>
        <w:widowControl/>
        <w:suppressAutoHyphens/>
        <w:jc w:val="center"/>
        <w:rPr>
          <w:b/>
          <w:szCs w:val="22"/>
        </w:rPr>
      </w:pPr>
      <w:r w:rsidRPr="004F7405">
        <w:rPr>
          <w:b/>
          <w:szCs w:val="22"/>
        </w:rPr>
        <w:t>DOMESTIC SECTION 214 APPLICATION</w:t>
      </w:r>
      <w:r>
        <w:rPr>
          <w:b/>
          <w:szCs w:val="22"/>
        </w:rPr>
        <w:t>S</w:t>
      </w:r>
      <w:r w:rsidRPr="004F7405">
        <w:rPr>
          <w:b/>
          <w:szCs w:val="22"/>
        </w:rPr>
        <w:t xml:space="preserve"> GRANTED</w:t>
      </w:r>
      <w:r>
        <w:rPr>
          <w:b/>
          <w:szCs w:val="22"/>
        </w:rPr>
        <w:t xml:space="preserve"> SUBJECT TO CONDITION</w:t>
      </w:r>
    </w:p>
    <w:p w:rsidR="00016FA4" w:rsidRPr="004F7405" w:rsidP="00016FA4">
      <w:pPr>
        <w:widowControl/>
        <w:suppressAutoHyphens/>
        <w:jc w:val="center"/>
        <w:rPr>
          <w:b/>
          <w:color w:val="000000"/>
          <w:szCs w:val="22"/>
        </w:rPr>
      </w:pPr>
    </w:p>
    <w:p w:rsidR="00016FA4" w:rsidRPr="001761B2" w:rsidP="00016FA4">
      <w:pPr>
        <w:widowControl/>
        <w:suppressAutoHyphens/>
        <w:spacing w:after="240"/>
        <w:jc w:val="center"/>
        <w:rPr>
          <w:b/>
          <w:color w:val="000000"/>
          <w:szCs w:val="22"/>
        </w:rPr>
      </w:pPr>
      <w:r w:rsidRPr="004F7405">
        <w:rPr>
          <w:b/>
          <w:color w:val="000000"/>
          <w:szCs w:val="22"/>
        </w:rPr>
        <w:t>WC Docket No</w:t>
      </w:r>
      <w:r>
        <w:rPr>
          <w:b/>
          <w:color w:val="000000"/>
          <w:szCs w:val="22"/>
        </w:rPr>
        <w:t>s</w:t>
      </w:r>
      <w:r w:rsidRPr="004F7405">
        <w:rPr>
          <w:b/>
          <w:color w:val="000000"/>
          <w:szCs w:val="22"/>
        </w:rPr>
        <w:t xml:space="preserve">. </w:t>
      </w:r>
      <w:r>
        <w:rPr>
          <w:b/>
          <w:color w:val="000000"/>
          <w:szCs w:val="22"/>
        </w:rPr>
        <w:t xml:space="preserve">17-101, </w:t>
      </w:r>
      <w:r w:rsidRPr="004F7405">
        <w:rPr>
          <w:b/>
          <w:color w:val="000000"/>
          <w:szCs w:val="22"/>
        </w:rPr>
        <w:t>1</w:t>
      </w:r>
      <w:r>
        <w:rPr>
          <w:b/>
          <w:color w:val="000000"/>
          <w:szCs w:val="22"/>
        </w:rPr>
        <w:t>7-365, 18-68, 18-94, 18-95, 18-177</w:t>
      </w:r>
    </w:p>
    <w:p w:rsidR="00016FA4" w:rsidP="00016FA4">
      <w:pPr>
        <w:widowControl/>
        <w:autoSpaceDE w:val="0"/>
        <w:autoSpaceDN w:val="0"/>
        <w:adjustRightInd w:val="0"/>
        <w:ind w:firstLine="720"/>
        <w:rPr>
          <w:snapToGrid/>
          <w:kern w:val="0"/>
          <w:szCs w:val="22"/>
        </w:rPr>
      </w:pPr>
      <w:r>
        <w:rPr>
          <w:snapToGrid/>
          <w:color w:val="231F20"/>
          <w:kern w:val="0"/>
          <w:szCs w:val="22"/>
        </w:rPr>
        <w:t>By this Public Notice, the Wireline Competition Bureau (Bureau) grants the following applications</w:t>
      </w:r>
      <w:r>
        <w:rPr>
          <w:snapToGrid/>
          <w:kern w:val="0"/>
          <w:szCs w:val="22"/>
        </w:rPr>
        <w:t>,</w:t>
      </w:r>
      <w:r w:rsidRPr="00C16D24">
        <w:rPr>
          <w:snapToGrid/>
          <w:kern w:val="0"/>
          <w:szCs w:val="22"/>
        </w:rPr>
        <w:t xml:space="preserve"> </w:t>
      </w:r>
      <w:r>
        <w:rPr>
          <w:snapToGrid/>
          <w:kern w:val="0"/>
          <w:szCs w:val="22"/>
        </w:rPr>
        <w:t>as conditioned and pursuant to s</w:t>
      </w:r>
      <w:r w:rsidRPr="00C16D24">
        <w:rPr>
          <w:snapToGrid/>
          <w:kern w:val="0"/>
          <w:szCs w:val="22"/>
        </w:rPr>
        <w:t>ection 214 of the Communication</w:t>
      </w:r>
      <w:r>
        <w:rPr>
          <w:snapToGrid/>
          <w:kern w:val="0"/>
          <w:szCs w:val="22"/>
        </w:rPr>
        <w:t>s Act of 1934, as amended, and s</w:t>
      </w:r>
      <w:r w:rsidRPr="00C16D24">
        <w:rPr>
          <w:snapToGrid/>
          <w:kern w:val="0"/>
          <w:szCs w:val="22"/>
        </w:rPr>
        <w:t>ection</w:t>
      </w:r>
      <w:r>
        <w:rPr>
          <w:snapToGrid/>
          <w:kern w:val="0"/>
          <w:szCs w:val="22"/>
        </w:rPr>
        <w:t>s</w:t>
      </w:r>
      <w:r w:rsidRPr="00C16D24">
        <w:rPr>
          <w:snapToGrid/>
          <w:kern w:val="0"/>
          <w:szCs w:val="22"/>
        </w:rPr>
        <w:t xml:space="preserve"> 63.03 </w:t>
      </w:r>
      <w:r>
        <w:rPr>
          <w:snapToGrid/>
          <w:kern w:val="0"/>
          <w:szCs w:val="22"/>
        </w:rPr>
        <w:t xml:space="preserve">and 63.04 </w:t>
      </w:r>
      <w:r w:rsidRPr="00C16D24">
        <w:rPr>
          <w:snapToGrid/>
          <w:kern w:val="0"/>
          <w:szCs w:val="22"/>
        </w:rPr>
        <w:t>of the Commission’s rules.</w:t>
      </w:r>
      <w:r>
        <w:rPr>
          <w:snapToGrid/>
          <w:kern w:val="0"/>
          <w:szCs w:val="22"/>
          <w:vertAlign w:val="superscript"/>
        </w:rPr>
        <w:footnoteReference w:id="3"/>
      </w:r>
      <w:r>
        <w:rPr>
          <w:snapToGrid/>
          <w:kern w:val="0"/>
          <w:szCs w:val="22"/>
        </w:rPr>
        <w:t xml:space="preserve">  The Bureau received no comments in opposition to a grant of the applications. </w:t>
      </w:r>
    </w:p>
    <w:p w:rsidR="00016FA4" w:rsidRPr="004F7405" w:rsidP="00016FA4">
      <w:pPr>
        <w:jc w:val="both"/>
        <w:rPr>
          <w:szCs w:val="22"/>
        </w:rPr>
      </w:pPr>
    </w:p>
    <w:p w:rsidR="00016FA4" w:rsidP="00016FA4">
      <w:pPr>
        <w:widowControl/>
        <w:ind w:firstLine="720"/>
        <w:rPr>
          <w:snapToGrid/>
          <w:kern w:val="0"/>
          <w:szCs w:val="22"/>
        </w:rPr>
      </w:pPr>
      <w:bookmarkStart w:id="2" w:name="_Hlk515353472"/>
      <w:r w:rsidRPr="005C3880">
        <w:rPr>
          <w:b/>
        </w:rPr>
        <w:t xml:space="preserve">Domestic Section 214 Application Filed for the Transfer of Control </w:t>
      </w:r>
      <w:r>
        <w:rPr>
          <w:b/>
        </w:rPr>
        <w:t xml:space="preserve">of Westphalia Telephone Company and Westphalia Broadband, Inc. to Chapin Communications Corporation, WC Docket No. 17-101 (filed Apr. 18, 2017).  </w:t>
      </w:r>
      <w:r w:rsidRPr="004F7405">
        <w:rPr>
          <w:szCs w:val="22"/>
        </w:rPr>
        <w:t xml:space="preserve">On </w:t>
      </w:r>
      <w:r>
        <w:rPr>
          <w:szCs w:val="22"/>
        </w:rPr>
        <w:t>May 12, 2017</w:t>
      </w:r>
      <w:r w:rsidRPr="004F7405">
        <w:rPr>
          <w:szCs w:val="22"/>
        </w:rPr>
        <w:t>, the Bureau released a Public No</w:t>
      </w:r>
      <w:r>
        <w:rPr>
          <w:szCs w:val="22"/>
        </w:rPr>
        <w:t>tice requesting comment on an a</w:t>
      </w:r>
      <w:r w:rsidRPr="004F7405">
        <w:rPr>
          <w:szCs w:val="22"/>
        </w:rPr>
        <w:t>pplication</w:t>
      </w:r>
      <w:r w:rsidRPr="00706977">
        <w:rPr>
          <w:szCs w:val="22"/>
        </w:rPr>
        <w:t xml:space="preserve"> filed by</w:t>
      </w:r>
      <w:r>
        <w:rPr>
          <w:szCs w:val="22"/>
        </w:rPr>
        <w:t xml:space="preserve"> </w:t>
      </w:r>
      <w:r w:rsidRPr="00872C6A">
        <w:rPr>
          <w:snapToGrid/>
          <w:kern w:val="0"/>
          <w:szCs w:val="22"/>
        </w:rPr>
        <w:t>Clinton County Telephone Company (Clinton), Westphalia Telephone Company (WTC), Westphalia Broadband, Inc. (WBI), and Chapin Communications Corporation (Chapin) requesting approval for the transfer of control of WTC and WBI to Chapin.</w:t>
      </w:r>
      <w:r>
        <w:rPr>
          <w:rStyle w:val="FootnoteReference"/>
          <w:snapToGrid/>
          <w:kern w:val="0"/>
          <w:szCs w:val="22"/>
        </w:rPr>
        <w:footnoteReference w:id="4"/>
      </w:r>
      <w:r>
        <w:rPr>
          <w:snapToGrid/>
          <w:kern w:val="0"/>
          <w:szCs w:val="22"/>
        </w:rPr>
        <w:t xml:space="preserve">  </w:t>
      </w:r>
      <w:r w:rsidRPr="00872C6A">
        <w:rPr>
          <w:snapToGrid/>
          <w:kern w:val="0"/>
          <w:szCs w:val="22"/>
        </w:rPr>
        <w:t>WTC and WBI are wholly</w:t>
      </w:r>
      <w:r>
        <w:rPr>
          <w:snapToGrid/>
          <w:kern w:val="0"/>
          <w:szCs w:val="22"/>
        </w:rPr>
        <w:t xml:space="preserve"> </w:t>
      </w:r>
      <w:r w:rsidRPr="00872C6A">
        <w:rPr>
          <w:snapToGrid/>
          <w:kern w:val="0"/>
          <w:szCs w:val="22"/>
        </w:rPr>
        <w:t>owned subsidiaries of Clinton.  WTC is a rural incumbent local exchange carrier (LEC) providing service in and around Westphalia, Michigan in portions of Clinton and Ionia Counties.</w:t>
      </w:r>
      <w:r>
        <w:rPr>
          <w:rStyle w:val="FootnoteReference"/>
          <w:snapToGrid/>
          <w:kern w:val="0"/>
          <w:szCs w:val="22"/>
        </w:rPr>
        <w:footnoteReference w:id="5"/>
      </w:r>
      <w:r w:rsidRPr="00872C6A">
        <w:rPr>
          <w:snapToGrid/>
          <w:kern w:val="0"/>
          <w:szCs w:val="22"/>
        </w:rPr>
        <w:t xml:space="preserve">  </w:t>
      </w:r>
      <w:r>
        <w:rPr>
          <w:snapToGrid/>
          <w:kern w:val="0"/>
          <w:szCs w:val="22"/>
        </w:rPr>
        <w:t>WTC voluntarily elected to receive universal service support under the Alternative Connect America Cost Model (A-CAM).</w:t>
      </w:r>
      <w:r>
        <w:rPr>
          <w:rStyle w:val="FootnoteReference"/>
          <w:snapToGrid/>
          <w:kern w:val="0"/>
          <w:szCs w:val="22"/>
        </w:rPr>
        <w:footnoteReference w:id="6"/>
      </w:r>
      <w:r>
        <w:rPr>
          <w:snapToGrid/>
          <w:kern w:val="0"/>
          <w:szCs w:val="22"/>
        </w:rPr>
        <w:t xml:space="preserve">  </w:t>
      </w:r>
      <w:r w:rsidRPr="00872C6A">
        <w:rPr>
          <w:snapToGrid/>
          <w:kern w:val="0"/>
          <w:szCs w:val="22"/>
        </w:rPr>
        <w:t>Chapin</w:t>
      </w:r>
      <w:r>
        <w:rPr>
          <w:snapToGrid/>
          <w:kern w:val="0"/>
          <w:szCs w:val="22"/>
        </w:rPr>
        <w:t>, a holding company,</w:t>
      </w:r>
      <w:r w:rsidRPr="00872C6A">
        <w:rPr>
          <w:snapToGrid/>
          <w:kern w:val="0"/>
          <w:szCs w:val="22"/>
        </w:rPr>
        <w:t xml:space="preserve"> wholly owns Farmers Mutual of Chapin d/b/a Chapin Telephone Company (CTC).  CTC is a rural incumbent LEC providing service in portions of Saginaw and Shiawassee Counties in central Michigan. </w:t>
      </w:r>
      <w:bookmarkStart w:id="3" w:name="_Hlk516045073"/>
      <w:r>
        <w:rPr>
          <w:snapToGrid/>
          <w:kern w:val="0"/>
          <w:szCs w:val="22"/>
        </w:rPr>
        <w:t xml:space="preserve"> </w:t>
      </w:r>
      <w:bookmarkStart w:id="4" w:name="_Hlk516134158"/>
      <w:r>
        <w:rPr>
          <w:snapToGrid/>
          <w:kern w:val="0"/>
          <w:szCs w:val="22"/>
        </w:rPr>
        <w:t>CTC did not elect to receive model-based support and currently receives support as an average schedule company</w:t>
      </w:r>
      <w:bookmarkEnd w:id="3"/>
      <w:r>
        <w:rPr>
          <w:snapToGrid/>
          <w:kern w:val="0"/>
          <w:szCs w:val="22"/>
        </w:rPr>
        <w:t>.</w:t>
      </w:r>
      <w:bookmarkEnd w:id="4"/>
      <w:r>
        <w:rPr>
          <w:rStyle w:val="FootnoteReference"/>
          <w:snapToGrid/>
          <w:kern w:val="0"/>
          <w:szCs w:val="22"/>
        </w:rPr>
        <w:footnoteReference w:id="7"/>
      </w:r>
      <w:r w:rsidRPr="00872C6A">
        <w:rPr>
          <w:snapToGrid/>
          <w:kern w:val="0"/>
          <w:szCs w:val="22"/>
        </w:rPr>
        <w:t xml:space="preserve">  </w:t>
      </w:r>
      <w:r>
        <w:rPr>
          <w:snapToGrid/>
          <w:kern w:val="0"/>
          <w:szCs w:val="22"/>
        </w:rPr>
        <w:t>T</w:t>
      </w:r>
      <w:r w:rsidRPr="00872C6A">
        <w:rPr>
          <w:snapToGrid/>
          <w:kern w:val="0"/>
          <w:szCs w:val="22"/>
        </w:rPr>
        <w:t xml:space="preserve">he incumbent LEC service territories of WTC and CTC are not overlapping or adjacent.  </w:t>
      </w:r>
    </w:p>
    <w:p w:rsidR="00016FA4" w:rsidP="00016FA4">
      <w:pPr>
        <w:ind w:firstLine="720"/>
        <w:rPr>
          <w:snapToGrid/>
          <w:kern w:val="0"/>
          <w:szCs w:val="22"/>
        </w:rPr>
      </w:pPr>
    </w:p>
    <w:p w:rsidR="00016FA4" w:rsidP="00016FA4">
      <w:pPr>
        <w:autoSpaceDE w:val="0"/>
        <w:autoSpaceDN w:val="0"/>
        <w:adjustRightInd w:val="0"/>
        <w:ind w:firstLine="720"/>
        <w:rPr>
          <w:szCs w:val="22"/>
        </w:rPr>
      </w:pPr>
      <w:r>
        <w:rPr>
          <w:b/>
        </w:rPr>
        <w:t xml:space="preserve"> </w:t>
      </w:r>
      <w:bookmarkEnd w:id="2"/>
      <w:r w:rsidRPr="005C3880">
        <w:rPr>
          <w:b/>
        </w:rPr>
        <w:t>Domestic Section 214 Application Filed for the Transfer of Control</w:t>
      </w:r>
      <w:r>
        <w:rPr>
          <w:b/>
        </w:rPr>
        <w:t xml:space="preserve"> of Scott-Rice Telephone Co. from Allstream Business US, LLC to New Ulm Telecom, Inc., WC Docket No. 18-68 </w:t>
      </w:r>
      <w:r w:rsidRPr="003870E8">
        <w:rPr>
          <w:b/>
        </w:rPr>
        <w:t>(filed Mar. 8, 2018).</w:t>
      </w:r>
      <w:r>
        <w:rPr>
          <w:b/>
        </w:rPr>
        <w:t xml:space="preserve">  </w:t>
      </w:r>
      <w:r w:rsidRPr="00C50EBF">
        <w:t xml:space="preserve">On March 14, 2018, </w:t>
      </w:r>
      <w:r w:rsidRPr="00950931">
        <w:rPr>
          <w:szCs w:val="22"/>
        </w:rPr>
        <w:t xml:space="preserve">the </w:t>
      </w:r>
      <w:r w:rsidRPr="004F7405">
        <w:rPr>
          <w:szCs w:val="22"/>
        </w:rPr>
        <w:t>Bureau released a Public No</w:t>
      </w:r>
      <w:r>
        <w:rPr>
          <w:szCs w:val="22"/>
        </w:rPr>
        <w:t>tice requesting comment</w:t>
      </w:r>
      <w:r w:rsidRPr="00950931">
        <w:rPr>
          <w:szCs w:val="22"/>
        </w:rPr>
        <w:t xml:space="preserve"> </w:t>
      </w:r>
      <w:r>
        <w:rPr>
          <w:szCs w:val="22"/>
        </w:rPr>
        <w:t xml:space="preserve">on </w:t>
      </w:r>
      <w:r w:rsidRPr="00950931">
        <w:rPr>
          <w:szCs w:val="22"/>
        </w:rPr>
        <w:t>an application filed by</w:t>
      </w:r>
      <w:r>
        <w:rPr>
          <w:szCs w:val="22"/>
        </w:rPr>
        <w:t xml:space="preserve"> Allstream Business US, LLC (formerly known as Electric Lightwave Holdings, Inc. and Allstream Business US, Inc.) (Allstream) and New Ulm Telecom, Inc. (New Ulm) </w:t>
      </w:r>
      <w:r>
        <w:rPr>
          <w:rFonts w:ascii="TimesNewRomanPSMT" w:hAnsi="TimesNewRomanPSMT" w:cs="TimesNewRomanPSMT"/>
          <w:szCs w:val="22"/>
        </w:rPr>
        <w:t>requesting approval for the transfer of control of Scott-Rice Telephone Co. (Scott-Rice) from Allstream to New Ulm.</w:t>
      </w:r>
      <w:r>
        <w:rPr>
          <w:szCs w:val="22"/>
          <w:vertAlign w:val="superscript"/>
        </w:rPr>
        <w:footnoteReference w:id="8"/>
      </w:r>
      <w:r>
        <w:rPr>
          <w:rFonts w:ascii="TimesNewRomanPSMT" w:hAnsi="TimesNewRomanPSMT" w:cs="TimesNewRomanPSMT"/>
          <w:szCs w:val="22"/>
        </w:rPr>
        <w:t xml:space="preserve">  Scott-Rice provides services as an incumbent LEC in the communities of Prior Lake, Savage, Webster, Elko, and New Market in Scott and Rice Counties in south central Minnesota</w:t>
      </w:r>
      <w:r w:rsidRPr="00D77AC7">
        <w:rPr>
          <w:rFonts w:ascii="TimesNewRomanPSMT" w:hAnsi="TimesNewRomanPSMT" w:cs="TimesNewRomanPSMT"/>
          <w:szCs w:val="22"/>
        </w:rPr>
        <w:t>.  Scott-Rice</w:t>
      </w:r>
      <w:r w:rsidRPr="00D77AC7">
        <w:rPr>
          <w:snapToGrid/>
          <w:kern w:val="0"/>
          <w:szCs w:val="22"/>
        </w:rPr>
        <w:t xml:space="preserve"> did not elect to receive model-based support and currently receives support as an average schedule company.</w:t>
      </w:r>
      <w:r>
        <w:rPr>
          <w:rStyle w:val="FootnoteReference"/>
          <w:snapToGrid/>
          <w:kern w:val="0"/>
          <w:szCs w:val="22"/>
        </w:rPr>
        <w:footnoteReference w:id="9"/>
      </w:r>
      <w:r>
        <w:rPr>
          <w:snapToGrid/>
          <w:kern w:val="0"/>
          <w:szCs w:val="22"/>
        </w:rPr>
        <w:t xml:space="preserve"> </w:t>
      </w:r>
      <w:r>
        <w:rPr>
          <w:rFonts w:ascii="TimesNewRomanPSMT" w:hAnsi="TimesNewRomanPSMT" w:cs="TimesNewRomanPSMT"/>
          <w:szCs w:val="22"/>
        </w:rPr>
        <w:t xml:space="preserve"> </w:t>
      </w:r>
      <w:r>
        <w:rPr>
          <w:szCs w:val="22"/>
        </w:rPr>
        <w:t>New Ulm provides services as an incumbent LEC in southern Minnesota and northern Iowa.  New Ulm</w:t>
      </w:r>
      <w:r>
        <w:rPr>
          <w:snapToGrid/>
          <w:kern w:val="0"/>
          <w:szCs w:val="22"/>
        </w:rPr>
        <w:t xml:space="preserve"> voluntarily elected to receive universal service support under the A-CAM.</w:t>
      </w:r>
      <w:r>
        <w:rPr>
          <w:rStyle w:val="FootnoteReference"/>
          <w:snapToGrid/>
          <w:kern w:val="0"/>
          <w:szCs w:val="22"/>
        </w:rPr>
        <w:footnoteReference w:id="10"/>
      </w:r>
      <w:r>
        <w:rPr>
          <w:snapToGrid/>
          <w:kern w:val="0"/>
          <w:szCs w:val="22"/>
        </w:rPr>
        <w:t xml:space="preserve"> </w:t>
      </w:r>
      <w:r>
        <w:rPr>
          <w:szCs w:val="22"/>
        </w:rPr>
        <w:t xml:space="preserve"> Scott-Rice and New Ulm</w:t>
      </w:r>
      <w:r>
        <w:rPr>
          <w:snapToGrid/>
          <w:kern w:val="0"/>
          <w:szCs w:val="22"/>
        </w:rPr>
        <w:t xml:space="preserve">, together with their affiliates, </w:t>
      </w:r>
      <w:r w:rsidRPr="00804B0E">
        <w:rPr>
          <w:snapToGrid/>
          <w:kern w:val="0"/>
          <w:szCs w:val="22"/>
        </w:rPr>
        <w:t xml:space="preserve">have no overlapping or adjacent </w:t>
      </w:r>
      <w:r>
        <w:rPr>
          <w:snapToGrid/>
          <w:kern w:val="0"/>
          <w:szCs w:val="22"/>
        </w:rPr>
        <w:t xml:space="preserve">incumbent LEC </w:t>
      </w:r>
      <w:r w:rsidRPr="00804B0E">
        <w:rPr>
          <w:snapToGrid/>
          <w:kern w:val="0"/>
          <w:szCs w:val="22"/>
        </w:rPr>
        <w:t>service areas.</w:t>
      </w:r>
    </w:p>
    <w:p w:rsidR="00016FA4" w:rsidP="00016FA4">
      <w:pPr>
        <w:ind w:firstLine="720"/>
        <w:rPr>
          <w:snapToGrid/>
          <w:kern w:val="0"/>
          <w:szCs w:val="22"/>
        </w:rPr>
      </w:pPr>
    </w:p>
    <w:p w:rsidR="00016FA4" w:rsidP="00016FA4">
      <w:pPr>
        <w:ind w:firstLine="720"/>
        <w:rPr>
          <w:szCs w:val="22"/>
        </w:rPr>
      </w:pPr>
      <w:bookmarkStart w:id="5" w:name="_Hlk515353792"/>
      <w:r w:rsidRPr="005C3880">
        <w:rPr>
          <w:b/>
        </w:rPr>
        <w:t xml:space="preserve">Domestic Section 214 Application Filed for the Transfer of Control of Peoples Mutual Telephone Company and Peoples Mutual Long Distance Company to </w:t>
      </w:r>
      <w:r w:rsidRPr="005C3880">
        <w:rPr>
          <w:b/>
        </w:rPr>
        <w:t>RiverStreet</w:t>
      </w:r>
      <w:r w:rsidRPr="005C3880">
        <w:rPr>
          <w:b/>
        </w:rPr>
        <w:t xml:space="preserve"> Management Services, LLC, WC Docket No. 17-365 (filed Jan. 12, 201</w:t>
      </w:r>
      <w:r>
        <w:rPr>
          <w:b/>
        </w:rPr>
        <w:t>8</w:t>
      </w:r>
      <w:r w:rsidRPr="005C3880">
        <w:rPr>
          <w:b/>
        </w:rPr>
        <w:t>)</w:t>
      </w:r>
      <w:r>
        <w:rPr>
          <w:b/>
        </w:rPr>
        <w:t xml:space="preserve">; </w:t>
      </w:r>
      <w:r w:rsidRPr="001365A4">
        <w:rPr>
          <w:szCs w:val="22"/>
        </w:rPr>
        <w:t xml:space="preserve"> </w:t>
      </w:r>
      <w:r w:rsidRPr="005C3880">
        <w:rPr>
          <w:b/>
        </w:rPr>
        <w:t xml:space="preserve">Domestic Section 214 Application Filed for the Transfer of Control of </w:t>
      </w:r>
      <w:bookmarkEnd w:id="5"/>
      <w:r>
        <w:rPr>
          <w:b/>
        </w:rPr>
        <w:t xml:space="preserve">Ellerbe Telephone Company, Inc. to </w:t>
      </w:r>
      <w:r>
        <w:rPr>
          <w:b/>
        </w:rPr>
        <w:t>RiverStreet</w:t>
      </w:r>
      <w:r>
        <w:rPr>
          <w:b/>
        </w:rPr>
        <w:t xml:space="preserve"> Management Services, LLC, WC Docket No. 18-94 (filed Mar. 26, 2018);  </w:t>
      </w:r>
      <w:r w:rsidRPr="005C3880">
        <w:rPr>
          <w:b/>
        </w:rPr>
        <w:t xml:space="preserve">Domestic Section 214 Application Filed for the Transfer of Control of </w:t>
      </w:r>
      <w:r>
        <w:rPr>
          <w:b/>
        </w:rPr>
        <w:t xml:space="preserve">Tri-County Telephone Membership Corporation to Wilkes Telephone Membership Corporation, WC Docket No. 18-95 (filed Mar. 26, 2018).  </w:t>
      </w:r>
      <w:r w:rsidRPr="004F7405">
        <w:rPr>
          <w:szCs w:val="22"/>
        </w:rPr>
        <w:t xml:space="preserve">On </w:t>
      </w:r>
      <w:r>
        <w:rPr>
          <w:szCs w:val="22"/>
        </w:rPr>
        <w:t>January 16, 2018</w:t>
      </w:r>
      <w:r w:rsidRPr="004F7405">
        <w:rPr>
          <w:szCs w:val="22"/>
        </w:rPr>
        <w:t xml:space="preserve">, the Bureau released a Public </w:t>
      </w:r>
      <w:r>
        <w:rPr>
          <w:szCs w:val="22"/>
        </w:rPr>
        <w:t>Notice requesting comment on an</w:t>
      </w:r>
      <w:r w:rsidRPr="004F7405">
        <w:rPr>
          <w:szCs w:val="22"/>
        </w:rPr>
        <w:t xml:space="preserve"> </w:t>
      </w:r>
      <w:r>
        <w:rPr>
          <w:szCs w:val="22"/>
        </w:rPr>
        <w:t>a</w:t>
      </w:r>
      <w:r w:rsidRPr="00F81DC7">
        <w:rPr>
          <w:szCs w:val="22"/>
        </w:rPr>
        <w:t xml:space="preserve">pplication filed by Consolidated Communications Holdings, Inc. (CCHI) and </w:t>
      </w:r>
      <w:r w:rsidRPr="00F81DC7">
        <w:rPr>
          <w:szCs w:val="22"/>
        </w:rPr>
        <w:t>RiverStreet</w:t>
      </w:r>
      <w:r w:rsidRPr="00F81DC7">
        <w:rPr>
          <w:szCs w:val="22"/>
        </w:rPr>
        <w:t xml:space="preserve"> Management Services, LLC (</w:t>
      </w:r>
      <w:r w:rsidRPr="00F81DC7">
        <w:rPr>
          <w:szCs w:val="22"/>
        </w:rPr>
        <w:t>RiverStreet</w:t>
      </w:r>
      <w:r w:rsidRPr="00F81DC7">
        <w:rPr>
          <w:szCs w:val="22"/>
        </w:rPr>
        <w:t xml:space="preserve">) </w:t>
      </w:r>
      <w:r w:rsidRPr="00F81DC7">
        <w:rPr>
          <w:rFonts w:ascii="TimesNewRomanPSMT" w:hAnsi="TimesNewRomanPSMT" w:cs="TimesNewRomanPSMT"/>
          <w:szCs w:val="22"/>
        </w:rPr>
        <w:t>requesting consent to transfer control of CCHI’s indirect subsidiaries, Peoples Mutual Telephone Company (PMTC</w:t>
      </w:r>
      <w:r>
        <w:rPr>
          <w:rFonts w:ascii="TimesNewRomanPSMT" w:hAnsi="TimesNewRomanPSMT" w:cs="TimesNewRomanPSMT"/>
          <w:szCs w:val="22"/>
        </w:rPr>
        <w:t>)</w:t>
      </w:r>
      <w:r w:rsidRPr="00F81DC7">
        <w:rPr>
          <w:rFonts w:ascii="TimesNewRomanPSMT" w:hAnsi="TimesNewRomanPSMT" w:cs="TimesNewRomanPSMT"/>
          <w:szCs w:val="22"/>
        </w:rPr>
        <w:t xml:space="preserve"> </w:t>
      </w:r>
      <w:r>
        <w:rPr>
          <w:rFonts w:ascii="TimesNewRomanPSMT" w:hAnsi="TimesNewRomanPSMT" w:cs="TimesNewRomanPSMT"/>
          <w:szCs w:val="22"/>
        </w:rPr>
        <w:t xml:space="preserve">and its wholly owned subsidiary, Peoples Mutual </w:t>
      </w:r>
      <w:r>
        <w:rPr>
          <w:rFonts w:ascii="TimesNewRomanPSMT" w:hAnsi="TimesNewRomanPSMT" w:cs="TimesNewRomanPSMT"/>
          <w:szCs w:val="22"/>
        </w:rPr>
        <w:t>Long Distance</w:t>
      </w:r>
      <w:r>
        <w:rPr>
          <w:rFonts w:ascii="TimesNewRomanPSMT" w:hAnsi="TimesNewRomanPSMT" w:cs="TimesNewRomanPSMT"/>
          <w:szCs w:val="22"/>
        </w:rPr>
        <w:t xml:space="preserve"> Company (PMLDC), </w:t>
      </w:r>
      <w:r w:rsidRPr="00F81DC7">
        <w:rPr>
          <w:rFonts w:ascii="TimesNewRomanPSMT" w:hAnsi="TimesNewRomanPSMT" w:cs="TimesNewRomanPSMT"/>
          <w:szCs w:val="22"/>
        </w:rPr>
        <w:t xml:space="preserve">to </w:t>
      </w:r>
      <w:r w:rsidRPr="00F81DC7">
        <w:rPr>
          <w:rFonts w:ascii="TimesNewRomanPSMT" w:hAnsi="TimesNewRomanPSMT" w:cs="TimesNewRomanPSMT"/>
          <w:szCs w:val="22"/>
        </w:rPr>
        <w:t>RiverStreet</w:t>
      </w:r>
      <w:r w:rsidRPr="004F7405">
        <w:rPr>
          <w:szCs w:val="22"/>
        </w:rPr>
        <w:t>.</w:t>
      </w:r>
      <w:r>
        <w:rPr>
          <w:szCs w:val="22"/>
          <w:vertAlign w:val="superscript"/>
        </w:rPr>
        <w:footnoteReference w:id="11"/>
      </w:r>
      <w:r w:rsidRPr="00F81DC7">
        <w:rPr>
          <w:rFonts w:ascii="TimesNewRomanPSMT" w:hAnsi="TimesNewRomanPSMT" w:cs="TimesNewRomanPSMT"/>
          <w:szCs w:val="22"/>
        </w:rPr>
        <w:t xml:space="preserve">  </w:t>
      </w:r>
      <w:r w:rsidRPr="00054D57">
        <w:rPr>
          <w:rFonts w:ascii="TimesNewRomanPSMT" w:hAnsi="TimesNewRomanPSMT" w:cs="TimesNewRomanPSMT"/>
          <w:szCs w:val="22"/>
        </w:rPr>
        <w:t xml:space="preserve">PMTC provides incumbent </w:t>
      </w:r>
      <w:r>
        <w:rPr>
          <w:rFonts w:ascii="TimesNewRomanPSMT" w:hAnsi="TimesNewRomanPSMT" w:cs="TimesNewRomanPSMT"/>
          <w:szCs w:val="22"/>
        </w:rPr>
        <w:t>LEC</w:t>
      </w:r>
      <w:r w:rsidRPr="00054D57">
        <w:rPr>
          <w:rFonts w:ascii="TimesNewRomanPSMT" w:hAnsi="TimesNewRomanPSMT" w:cs="TimesNewRomanPSMT"/>
          <w:szCs w:val="22"/>
        </w:rPr>
        <w:t xml:space="preserve"> service in Pittsylvania Co</w:t>
      </w:r>
      <w:r>
        <w:rPr>
          <w:rFonts w:ascii="TimesNewRomanPSMT" w:hAnsi="TimesNewRomanPSMT" w:cs="TimesNewRomanPSMT"/>
          <w:szCs w:val="22"/>
        </w:rPr>
        <w:t>.,</w:t>
      </w:r>
      <w:r w:rsidRPr="00054D57">
        <w:rPr>
          <w:rFonts w:ascii="TimesNewRomanPSMT" w:hAnsi="TimesNewRomanPSMT" w:cs="TimesNewRomanPSMT"/>
          <w:szCs w:val="22"/>
        </w:rPr>
        <w:t xml:space="preserve"> V</w:t>
      </w:r>
      <w:r>
        <w:rPr>
          <w:rFonts w:ascii="TimesNewRomanPSMT" w:hAnsi="TimesNewRomanPSMT" w:cs="TimesNewRomanPSMT"/>
          <w:szCs w:val="22"/>
        </w:rPr>
        <w:t>irginia</w:t>
      </w:r>
      <w:r w:rsidRPr="00054D57">
        <w:rPr>
          <w:rFonts w:ascii="TimesNewRomanPSMT" w:hAnsi="TimesNewRomanPSMT" w:cs="TimesNewRomanPSMT"/>
          <w:szCs w:val="22"/>
        </w:rPr>
        <w:t xml:space="preserve">.  </w:t>
      </w:r>
      <w:r>
        <w:rPr>
          <w:rFonts w:ascii="TimesNewRomanPSMT" w:hAnsi="TimesNewRomanPSMT" w:cs="TimesNewRomanPSMT"/>
          <w:szCs w:val="22"/>
        </w:rPr>
        <w:t>PMTC</w:t>
      </w:r>
      <w:r>
        <w:rPr>
          <w:snapToGrid/>
          <w:kern w:val="0"/>
          <w:szCs w:val="22"/>
        </w:rPr>
        <w:t xml:space="preserve"> voluntarily elected to receive universal service support under the Connect America Cost Model (CAM).</w:t>
      </w:r>
      <w:r>
        <w:rPr>
          <w:rStyle w:val="FootnoteReference"/>
          <w:snapToGrid/>
          <w:kern w:val="0"/>
          <w:szCs w:val="22"/>
        </w:rPr>
        <w:footnoteReference w:id="12"/>
      </w:r>
      <w:r>
        <w:rPr>
          <w:snapToGrid/>
          <w:kern w:val="0"/>
          <w:szCs w:val="22"/>
        </w:rPr>
        <w:t xml:space="preserve">  </w:t>
      </w:r>
      <w:r>
        <w:rPr>
          <w:rFonts w:ascii="TimesNewRomanPSMT" w:hAnsi="TimesNewRomanPSMT" w:cs="TimesNewRomanPSMT"/>
          <w:szCs w:val="22"/>
        </w:rPr>
        <w:t xml:space="preserve">PMLDC </w:t>
      </w:r>
      <w:r>
        <w:rPr>
          <w:rFonts w:ascii="TimesNewRomanPSMT" w:hAnsi="TimesNewRomanPSMT" w:cs="TimesNewRomanPSMT"/>
          <w:szCs w:val="22"/>
        </w:rPr>
        <w:t xml:space="preserve">provides interexchange services in and around PMTC’s service territory.  </w:t>
      </w:r>
      <w:r w:rsidRPr="001365A4">
        <w:rPr>
          <w:szCs w:val="22"/>
        </w:rPr>
        <w:t>RiverStreet</w:t>
      </w:r>
      <w:r>
        <w:rPr>
          <w:szCs w:val="22"/>
        </w:rPr>
        <w:t>,</w:t>
      </w:r>
      <w:r w:rsidRPr="001365A4">
        <w:rPr>
          <w:szCs w:val="22"/>
        </w:rPr>
        <w:t xml:space="preserve"> a holding company with no current operations</w:t>
      </w:r>
      <w:r>
        <w:rPr>
          <w:szCs w:val="22"/>
        </w:rPr>
        <w:t>,</w:t>
      </w:r>
      <w:r>
        <w:rPr>
          <w:rFonts w:ascii="TimesNewRomanPSMT" w:hAnsi="TimesNewRomanPSMT" w:cs="TimesNewRomanPSMT"/>
          <w:szCs w:val="22"/>
        </w:rPr>
        <w:t xml:space="preserve"> </w:t>
      </w:r>
      <w:r>
        <w:rPr>
          <w:szCs w:val="22"/>
        </w:rPr>
        <w:t xml:space="preserve">is a wholly owned subsidiary of Wilkes Telephone Membership Corporation (WTMC), which </w:t>
      </w:r>
      <w:r w:rsidRPr="001365A4">
        <w:rPr>
          <w:rFonts w:ascii="TimesNewRomanPSMT" w:hAnsi="TimesNewRomanPSMT" w:cs="TimesNewRomanPSMT"/>
          <w:szCs w:val="22"/>
        </w:rPr>
        <w:t xml:space="preserve">provides incumbent LEC services </w:t>
      </w:r>
      <w:r>
        <w:rPr>
          <w:rFonts w:ascii="TimesNewRomanPSMT" w:hAnsi="TimesNewRomanPSMT" w:cs="TimesNewRomanPSMT"/>
          <w:szCs w:val="22"/>
        </w:rPr>
        <w:t xml:space="preserve">in </w:t>
      </w:r>
      <w:r w:rsidRPr="001365A4">
        <w:rPr>
          <w:rFonts w:ascii="TimesNewRomanPSMT" w:hAnsi="TimesNewRomanPSMT" w:cs="TimesNewRomanPSMT"/>
          <w:szCs w:val="22"/>
        </w:rPr>
        <w:t>Wilkes County</w:t>
      </w:r>
      <w:r>
        <w:rPr>
          <w:rFonts w:ascii="TimesNewRomanPSMT" w:hAnsi="TimesNewRomanPSMT" w:cs="TimesNewRomanPSMT"/>
          <w:szCs w:val="22"/>
        </w:rPr>
        <w:t>, North Carolina</w:t>
      </w:r>
      <w:r w:rsidRPr="001365A4">
        <w:rPr>
          <w:rFonts w:ascii="TimesNewRomanPSMT" w:hAnsi="TimesNewRomanPSMT" w:cs="TimesNewRomanPSMT"/>
          <w:szCs w:val="22"/>
        </w:rPr>
        <w:t>.</w:t>
      </w:r>
      <w:r>
        <w:rPr>
          <w:rStyle w:val="FootnoteReference"/>
          <w:rFonts w:cs="TimesNewRomanPSMT"/>
          <w:szCs w:val="22"/>
        </w:rPr>
        <w:footnoteReference w:id="13"/>
      </w:r>
      <w:r w:rsidRPr="001365A4">
        <w:rPr>
          <w:rFonts w:ascii="TimesNewRomanPSMT" w:hAnsi="TimesNewRomanPSMT" w:cs="TimesNewRomanPSMT"/>
          <w:szCs w:val="22"/>
        </w:rPr>
        <w:t xml:space="preserve"> </w:t>
      </w:r>
      <w:r>
        <w:rPr>
          <w:rFonts w:ascii="TimesNewRomanPSMT" w:hAnsi="TimesNewRomanPSMT" w:cs="TimesNewRomanPSMT"/>
          <w:szCs w:val="22"/>
        </w:rPr>
        <w:t xml:space="preserve"> WTMC </w:t>
      </w:r>
      <w:r>
        <w:rPr>
          <w:snapToGrid/>
          <w:kern w:val="0"/>
          <w:szCs w:val="22"/>
        </w:rPr>
        <w:t>did not elect to receive model-based support and currently receives cost-based support.</w:t>
      </w:r>
      <w:r>
        <w:rPr>
          <w:rStyle w:val="FootnoteReference"/>
          <w:snapToGrid/>
          <w:kern w:val="0"/>
          <w:szCs w:val="22"/>
        </w:rPr>
        <w:footnoteReference w:id="14"/>
      </w:r>
      <w:r>
        <w:rPr>
          <w:rFonts w:ascii="TimesNewRomanPSMT" w:hAnsi="TimesNewRomanPSMT" w:cs="TimesNewRomanPSMT"/>
          <w:szCs w:val="22"/>
        </w:rPr>
        <w:t xml:space="preserve">  </w:t>
      </w:r>
      <w:r w:rsidRPr="001365A4">
        <w:rPr>
          <w:szCs w:val="22"/>
        </w:rPr>
        <w:t xml:space="preserve">Subsidiaries of </w:t>
      </w:r>
      <w:r w:rsidRPr="001365A4">
        <w:rPr>
          <w:szCs w:val="22"/>
        </w:rPr>
        <w:t>RiverStreet</w:t>
      </w:r>
      <w:r w:rsidRPr="001365A4">
        <w:rPr>
          <w:szCs w:val="22"/>
        </w:rPr>
        <w:t xml:space="preserve"> and WTMC also provide or are authorized to provide competitive LEC services i</w:t>
      </w:r>
      <w:r>
        <w:rPr>
          <w:szCs w:val="22"/>
        </w:rPr>
        <w:t xml:space="preserve">n North Carolina and Virginia. </w:t>
      </w:r>
      <w:r w:rsidRPr="001365A4">
        <w:rPr>
          <w:szCs w:val="22"/>
        </w:rPr>
        <w:t xml:space="preserve"> </w:t>
      </w:r>
    </w:p>
    <w:p w:rsidR="00016FA4" w:rsidP="00016FA4">
      <w:pPr>
        <w:ind w:firstLine="720"/>
        <w:rPr>
          <w:szCs w:val="22"/>
        </w:rPr>
      </w:pPr>
    </w:p>
    <w:p w:rsidR="00016FA4" w:rsidP="00016FA4">
      <w:pPr>
        <w:ind w:firstLine="720"/>
        <w:rPr>
          <w:snapToGrid/>
          <w:kern w:val="0"/>
          <w:szCs w:val="22"/>
        </w:rPr>
      </w:pPr>
      <w:r w:rsidRPr="004F7405">
        <w:rPr>
          <w:szCs w:val="22"/>
        </w:rPr>
        <w:t xml:space="preserve">On </w:t>
      </w:r>
      <w:r>
        <w:rPr>
          <w:szCs w:val="22"/>
        </w:rPr>
        <w:t>April 6, 2018</w:t>
      </w:r>
      <w:r w:rsidRPr="004F7405">
        <w:rPr>
          <w:szCs w:val="22"/>
        </w:rPr>
        <w:t>, the Bureau released a Public N</w:t>
      </w:r>
      <w:r>
        <w:rPr>
          <w:szCs w:val="22"/>
        </w:rPr>
        <w:t>otice requesting comment on an a</w:t>
      </w:r>
      <w:r w:rsidRPr="004F7405">
        <w:rPr>
          <w:szCs w:val="22"/>
        </w:rPr>
        <w:t>pplication</w:t>
      </w:r>
      <w:r w:rsidRPr="00804B0E">
        <w:rPr>
          <w:snapToGrid/>
          <w:kern w:val="0"/>
          <w:szCs w:val="22"/>
        </w:rPr>
        <w:t xml:space="preserve"> filed by Mr. Daniel M. Bennett, Ellerbe Telephone Company, Inc. (Ellerbe), ETCOM, LLC (ETCOM), and </w:t>
      </w:r>
      <w:r w:rsidRPr="00804B0E">
        <w:rPr>
          <w:snapToGrid/>
          <w:kern w:val="0"/>
          <w:szCs w:val="22"/>
        </w:rPr>
        <w:t>RiverStreet</w:t>
      </w:r>
      <w:r w:rsidRPr="00804B0E">
        <w:rPr>
          <w:snapToGrid/>
          <w:kern w:val="0"/>
          <w:szCs w:val="22"/>
        </w:rPr>
        <w:t xml:space="preserve"> requesting consent to transfer control of Ellerbe and ETCOM from Mr. Bennett to </w:t>
      </w:r>
      <w:r w:rsidRPr="00804B0E">
        <w:rPr>
          <w:snapToGrid/>
          <w:kern w:val="0"/>
          <w:szCs w:val="22"/>
        </w:rPr>
        <w:t>RiverStreet</w:t>
      </w:r>
      <w:r w:rsidRPr="00804B0E">
        <w:rPr>
          <w:snapToGrid/>
          <w:kern w:val="0"/>
          <w:szCs w:val="22"/>
        </w:rPr>
        <w:t>.</w:t>
      </w:r>
      <w:r>
        <w:rPr>
          <w:szCs w:val="22"/>
          <w:vertAlign w:val="superscript"/>
        </w:rPr>
        <w:footnoteReference w:id="15"/>
      </w:r>
      <w:r>
        <w:rPr>
          <w:snapToGrid/>
          <w:kern w:val="0"/>
          <w:szCs w:val="22"/>
        </w:rPr>
        <w:t xml:space="preserve">  </w:t>
      </w:r>
      <w:r w:rsidRPr="00804B0E">
        <w:rPr>
          <w:snapToGrid/>
          <w:kern w:val="0"/>
          <w:szCs w:val="22"/>
        </w:rPr>
        <w:t>Ellerbe provides services as an incumbent LEC in and around the Town of Ellerbe in Richmond County, North Carolina.</w:t>
      </w:r>
      <w:r>
        <w:rPr>
          <w:rStyle w:val="FootnoteReference"/>
          <w:snapToGrid/>
          <w:kern w:val="0"/>
          <w:szCs w:val="22"/>
        </w:rPr>
        <w:footnoteReference w:id="16"/>
      </w:r>
      <w:r w:rsidRPr="00804B0E">
        <w:rPr>
          <w:snapToGrid/>
          <w:kern w:val="0"/>
          <w:szCs w:val="22"/>
        </w:rPr>
        <w:t xml:space="preserve">  </w:t>
      </w:r>
      <w:r>
        <w:rPr>
          <w:snapToGrid/>
          <w:kern w:val="0"/>
          <w:szCs w:val="22"/>
        </w:rPr>
        <w:t>Ellerbe</w:t>
      </w:r>
      <w:r>
        <w:rPr>
          <w:rFonts w:ascii="TimesNewRomanPSMT" w:hAnsi="TimesNewRomanPSMT" w:cs="TimesNewRomanPSMT"/>
          <w:szCs w:val="22"/>
        </w:rPr>
        <w:t xml:space="preserve"> </w:t>
      </w:r>
      <w:r>
        <w:rPr>
          <w:snapToGrid/>
          <w:kern w:val="0"/>
          <w:szCs w:val="22"/>
        </w:rPr>
        <w:t>did not elect to receive model-based support and currently receives cost-based support.</w:t>
      </w:r>
      <w:r>
        <w:rPr>
          <w:rStyle w:val="FootnoteReference"/>
          <w:snapToGrid/>
          <w:kern w:val="0"/>
          <w:szCs w:val="22"/>
        </w:rPr>
        <w:footnoteReference w:id="17"/>
      </w:r>
      <w:r>
        <w:rPr>
          <w:snapToGrid/>
          <w:kern w:val="0"/>
          <w:szCs w:val="22"/>
        </w:rPr>
        <w:t xml:space="preserve">  </w:t>
      </w:r>
      <w:r w:rsidRPr="00804B0E">
        <w:rPr>
          <w:snapToGrid/>
          <w:kern w:val="0"/>
          <w:szCs w:val="22"/>
        </w:rPr>
        <w:t xml:space="preserve">Ellerbe and </w:t>
      </w:r>
      <w:r w:rsidRPr="00804B0E">
        <w:rPr>
          <w:snapToGrid/>
          <w:kern w:val="0"/>
          <w:szCs w:val="22"/>
        </w:rPr>
        <w:t>RiverStreet</w:t>
      </w:r>
      <w:r>
        <w:rPr>
          <w:snapToGrid/>
          <w:kern w:val="0"/>
          <w:szCs w:val="22"/>
        </w:rPr>
        <w:t>, together with their affiliates,</w:t>
      </w:r>
      <w:r w:rsidRPr="00804B0E">
        <w:rPr>
          <w:snapToGrid/>
          <w:kern w:val="0"/>
          <w:szCs w:val="22"/>
        </w:rPr>
        <w:t xml:space="preserve"> have no overlapping or adjacent </w:t>
      </w:r>
      <w:r>
        <w:rPr>
          <w:snapToGrid/>
          <w:kern w:val="0"/>
          <w:szCs w:val="22"/>
        </w:rPr>
        <w:t xml:space="preserve">incumbent LEC </w:t>
      </w:r>
      <w:r w:rsidRPr="00804B0E">
        <w:rPr>
          <w:snapToGrid/>
          <w:kern w:val="0"/>
          <w:szCs w:val="22"/>
        </w:rPr>
        <w:t>service areas.</w:t>
      </w:r>
      <w:r>
        <w:rPr>
          <w:snapToGrid/>
          <w:kern w:val="0"/>
          <w:szCs w:val="22"/>
        </w:rPr>
        <w:t xml:space="preserve">  </w:t>
      </w:r>
    </w:p>
    <w:p w:rsidR="00016FA4" w:rsidRPr="00804B0E" w:rsidP="00016FA4">
      <w:pPr>
        <w:widowControl/>
        <w:ind w:left="720" w:right="-300"/>
        <w:contextualSpacing/>
        <w:rPr>
          <w:snapToGrid/>
          <w:kern w:val="0"/>
          <w:szCs w:val="22"/>
        </w:rPr>
      </w:pPr>
    </w:p>
    <w:p w:rsidR="00016FA4" w:rsidP="00016FA4">
      <w:pPr>
        <w:autoSpaceDE w:val="0"/>
        <w:autoSpaceDN w:val="0"/>
        <w:adjustRightInd w:val="0"/>
        <w:ind w:firstLine="720"/>
        <w:rPr>
          <w:snapToGrid/>
          <w:kern w:val="0"/>
          <w:szCs w:val="22"/>
        </w:rPr>
      </w:pPr>
      <w:r w:rsidRPr="004F7405">
        <w:rPr>
          <w:szCs w:val="22"/>
        </w:rPr>
        <w:t xml:space="preserve">On </w:t>
      </w:r>
      <w:r>
        <w:rPr>
          <w:szCs w:val="22"/>
        </w:rPr>
        <w:t>April 6, 2018</w:t>
      </w:r>
      <w:r w:rsidRPr="004F7405">
        <w:rPr>
          <w:szCs w:val="22"/>
        </w:rPr>
        <w:t>, the Bureau released a Public No</w:t>
      </w:r>
      <w:r>
        <w:rPr>
          <w:szCs w:val="22"/>
        </w:rPr>
        <w:t>tice requesting comment on an a</w:t>
      </w:r>
      <w:r w:rsidRPr="004F7405">
        <w:rPr>
          <w:szCs w:val="22"/>
        </w:rPr>
        <w:t>pplication</w:t>
      </w:r>
      <w:r w:rsidRPr="00706977">
        <w:rPr>
          <w:szCs w:val="22"/>
        </w:rPr>
        <w:t xml:space="preserve"> filed by </w:t>
      </w:r>
      <w:bookmarkStart w:id="6" w:name="_Hlk508817972"/>
      <w:r w:rsidRPr="00706977">
        <w:rPr>
          <w:szCs w:val="22"/>
        </w:rPr>
        <w:t>Tri-County Telephone Membership Corporation (TTMC), Tri-County Communications, Inc. (TCI), and WTMC</w:t>
      </w:r>
      <w:bookmarkEnd w:id="6"/>
      <w:r w:rsidRPr="00706977">
        <w:rPr>
          <w:szCs w:val="22"/>
        </w:rPr>
        <w:t xml:space="preserve"> </w:t>
      </w:r>
      <w:r w:rsidRPr="00EF3201">
        <w:t>requesting</w:t>
      </w:r>
      <w:r w:rsidRPr="00706977">
        <w:rPr>
          <w:rFonts w:ascii="TimesNewRomanPSMT" w:hAnsi="TimesNewRomanPSMT" w:cs="TimesNewRomanPSMT"/>
          <w:szCs w:val="22"/>
        </w:rPr>
        <w:t xml:space="preserve"> approval to transfer control of TTMC and TCI to WTMC.</w:t>
      </w:r>
      <w:r>
        <w:rPr>
          <w:szCs w:val="22"/>
          <w:vertAlign w:val="superscript"/>
        </w:rPr>
        <w:footnoteReference w:id="18"/>
      </w:r>
      <w:r>
        <w:rPr>
          <w:rFonts w:ascii="TimesNewRomanPSMT" w:hAnsi="TimesNewRomanPSMT" w:cs="TimesNewRomanPSMT"/>
          <w:szCs w:val="22"/>
        </w:rPr>
        <w:t xml:space="preserve">  </w:t>
      </w:r>
      <w:r w:rsidRPr="009667FD">
        <w:rPr>
          <w:rFonts w:ascii="TimesNewRomanPSMT" w:hAnsi="TimesNewRomanPSMT" w:cs="TimesNewRomanPSMT"/>
          <w:szCs w:val="22"/>
        </w:rPr>
        <w:t xml:space="preserve">TTMC provides services as an incumbent LEC in Beaufort, Hyde, and Washington Counties in eastern North Carolina.  </w:t>
      </w:r>
      <w:r>
        <w:rPr>
          <w:rFonts w:ascii="TimesNewRomanPSMT" w:hAnsi="TimesNewRomanPSMT" w:cs="TimesNewRomanPSMT"/>
          <w:szCs w:val="22"/>
        </w:rPr>
        <w:t xml:space="preserve">TTMC </w:t>
      </w:r>
      <w:r>
        <w:rPr>
          <w:snapToGrid/>
          <w:kern w:val="0"/>
          <w:szCs w:val="22"/>
        </w:rPr>
        <w:t>did not elect to receive model-based support and currently receives cost-based support.</w:t>
      </w:r>
      <w:r>
        <w:rPr>
          <w:rStyle w:val="FootnoteReference"/>
          <w:snapToGrid/>
          <w:kern w:val="0"/>
          <w:szCs w:val="22"/>
        </w:rPr>
        <w:footnoteReference w:id="19"/>
      </w:r>
      <w:r>
        <w:rPr>
          <w:snapToGrid/>
          <w:kern w:val="0"/>
          <w:szCs w:val="22"/>
        </w:rPr>
        <w:t xml:space="preserve">  </w:t>
      </w:r>
      <w:r w:rsidRPr="009667FD">
        <w:rPr>
          <w:rFonts w:ascii="TimesNewRomanPSMT" w:hAnsi="TimesNewRomanPSMT" w:cs="TimesNewRomanPSMT"/>
          <w:szCs w:val="22"/>
        </w:rPr>
        <w:t>TCI, a North Carolina corporation and wholly</w:t>
      </w:r>
      <w:r>
        <w:rPr>
          <w:rFonts w:ascii="TimesNewRomanPSMT" w:hAnsi="TimesNewRomanPSMT" w:cs="TimesNewRomanPSMT"/>
          <w:szCs w:val="22"/>
        </w:rPr>
        <w:t>-</w:t>
      </w:r>
      <w:r w:rsidRPr="009667FD">
        <w:rPr>
          <w:rFonts w:ascii="TimesNewRomanPSMT" w:hAnsi="TimesNewRomanPSMT" w:cs="TimesNewRomanPSMT"/>
          <w:szCs w:val="22"/>
        </w:rPr>
        <w:t xml:space="preserve">owned subsidiary of TTMC, provides competitive LEC, interexchange, and video services in Beaufort County and interexchange and video services to TTMC’s incumbent LEC customers. </w:t>
      </w:r>
      <w:r>
        <w:rPr>
          <w:rFonts w:ascii="TimesNewRomanPSMT" w:hAnsi="TimesNewRomanPSMT" w:cs="TimesNewRomanPSMT"/>
          <w:szCs w:val="22"/>
        </w:rPr>
        <w:t xml:space="preserve"> TTMC</w:t>
      </w:r>
      <w:r w:rsidRPr="00804B0E">
        <w:rPr>
          <w:snapToGrid/>
          <w:kern w:val="0"/>
          <w:szCs w:val="22"/>
        </w:rPr>
        <w:t xml:space="preserve"> and </w:t>
      </w:r>
      <w:r>
        <w:rPr>
          <w:snapToGrid/>
          <w:kern w:val="0"/>
          <w:szCs w:val="22"/>
        </w:rPr>
        <w:t xml:space="preserve">Wilkes, together with their affiliates, </w:t>
      </w:r>
      <w:r w:rsidRPr="00804B0E">
        <w:rPr>
          <w:snapToGrid/>
          <w:kern w:val="0"/>
          <w:szCs w:val="22"/>
        </w:rPr>
        <w:t xml:space="preserve">have no overlapping or adjacent </w:t>
      </w:r>
      <w:r>
        <w:rPr>
          <w:snapToGrid/>
          <w:kern w:val="0"/>
          <w:szCs w:val="22"/>
        </w:rPr>
        <w:t xml:space="preserve">incumbent LEC </w:t>
      </w:r>
      <w:r w:rsidRPr="00804B0E">
        <w:rPr>
          <w:snapToGrid/>
          <w:kern w:val="0"/>
          <w:szCs w:val="22"/>
        </w:rPr>
        <w:t>service areas.</w:t>
      </w:r>
      <w:r>
        <w:rPr>
          <w:snapToGrid/>
          <w:kern w:val="0"/>
          <w:szCs w:val="22"/>
        </w:rPr>
        <w:t xml:space="preserve"> </w:t>
      </w:r>
    </w:p>
    <w:p w:rsidR="00016FA4" w:rsidP="00016FA4">
      <w:pPr>
        <w:autoSpaceDE w:val="0"/>
        <w:autoSpaceDN w:val="0"/>
        <w:adjustRightInd w:val="0"/>
        <w:ind w:firstLine="720"/>
        <w:rPr>
          <w:snapToGrid/>
          <w:kern w:val="0"/>
          <w:szCs w:val="22"/>
        </w:rPr>
      </w:pPr>
    </w:p>
    <w:p w:rsidR="00016FA4" w:rsidRPr="00EF3201" w:rsidP="00016FA4">
      <w:pPr>
        <w:autoSpaceDE w:val="0"/>
        <w:autoSpaceDN w:val="0"/>
        <w:adjustRightInd w:val="0"/>
        <w:ind w:firstLine="720"/>
        <w:rPr>
          <w:snapToGrid/>
          <w:kern w:val="0"/>
          <w:szCs w:val="22"/>
        </w:rPr>
      </w:pPr>
      <w:bookmarkStart w:id="7" w:name="_Hlk518898906"/>
      <w:r w:rsidRPr="005C3880">
        <w:rPr>
          <w:b/>
        </w:rPr>
        <w:t xml:space="preserve">Domestic Section 214 Application Filed for the </w:t>
      </w:r>
      <w:r>
        <w:rPr>
          <w:b/>
        </w:rPr>
        <w:t xml:space="preserve">Acquisition of Certain Assets of Coon Creek Telephone Company and Coon Creek Telecommunications Corp. by Shellsburg Cablevision, Inc., WC Docket No. 18-177 </w:t>
      </w:r>
      <w:r w:rsidRPr="003870E8">
        <w:rPr>
          <w:b/>
        </w:rPr>
        <w:t xml:space="preserve">(filed </w:t>
      </w:r>
      <w:r>
        <w:rPr>
          <w:b/>
        </w:rPr>
        <w:t>May 22</w:t>
      </w:r>
      <w:r w:rsidRPr="003870E8">
        <w:rPr>
          <w:b/>
        </w:rPr>
        <w:t>, 2018).</w:t>
      </w:r>
      <w:r>
        <w:rPr>
          <w:b/>
        </w:rPr>
        <w:t xml:space="preserve">  </w:t>
      </w:r>
      <w:r w:rsidRPr="00C50EBF">
        <w:t xml:space="preserve">On </w:t>
      </w:r>
      <w:r>
        <w:t>June 5</w:t>
      </w:r>
      <w:r w:rsidRPr="00C50EBF">
        <w:t xml:space="preserve">, 2018, </w:t>
      </w:r>
      <w:r w:rsidRPr="00950931">
        <w:rPr>
          <w:szCs w:val="22"/>
        </w:rPr>
        <w:t xml:space="preserve">the </w:t>
      </w:r>
      <w:r w:rsidRPr="004F7405">
        <w:rPr>
          <w:szCs w:val="22"/>
        </w:rPr>
        <w:t>Bureau released a Public No</w:t>
      </w:r>
      <w:r>
        <w:rPr>
          <w:szCs w:val="22"/>
        </w:rPr>
        <w:t>tice requesting comment</w:t>
      </w:r>
      <w:r w:rsidRPr="00950931">
        <w:rPr>
          <w:szCs w:val="22"/>
        </w:rPr>
        <w:t xml:space="preserve"> </w:t>
      </w:r>
      <w:r>
        <w:rPr>
          <w:szCs w:val="22"/>
        </w:rPr>
        <w:t xml:space="preserve">on </w:t>
      </w:r>
      <w:r w:rsidRPr="00950931">
        <w:rPr>
          <w:szCs w:val="22"/>
        </w:rPr>
        <w:t>an application filed by</w:t>
      </w:r>
      <w:r>
        <w:rPr>
          <w:szCs w:val="22"/>
        </w:rPr>
        <w:t xml:space="preserve"> </w:t>
      </w:r>
      <w:r w:rsidRPr="00AC00B7">
        <w:rPr>
          <w:snapToGrid/>
          <w:kern w:val="0"/>
          <w:szCs w:val="22"/>
        </w:rPr>
        <w:t xml:space="preserve">Coon Creek Telephone Company (CCTC), Coon Creek Telecommunications Corp. (CC CLEC), and Shellsburg Cablevision, Inc. (Shellsburg Cablevision) </w:t>
      </w:r>
      <w:r w:rsidRPr="00AC00B7">
        <w:rPr>
          <w:rFonts w:ascii="TimesNewRomanPSMT" w:hAnsi="TimesNewRomanPSMT" w:cs="TimesNewRomanPSMT"/>
          <w:snapToGrid/>
          <w:kern w:val="0"/>
          <w:szCs w:val="22"/>
        </w:rPr>
        <w:t>requesting consent to the transfer of assets held by CCTC and CC CLEC to Shellsburg Cablevision.</w:t>
      </w:r>
      <w:r>
        <w:rPr>
          <w:snapToGrid/>
          <w:kern w:val="0"/>
          <w:szCs w:val="22"/>
          <w:vertAlign w:val="superscript"/>
        </w:rPr>
        <w:footnoteReference w:id="20"/>
      </w:r>
      <w:r>
        <w:rPr>
          <w:rFonts w:ascii="TimesNewRomanPSMT" w:hAnsi="TimesNewRomanPSMT" w:cs="TimesNewRomanPSMT"/>
          <w:szCs w:val="22"/>
        </w:rPr>
        <w:t xml:space="preserve">  </w:t>
      </w:r>
      <w:r w:rsidRPr="009701F2">
        <w:rPr>
          <w:rFonts w:ascii="TimesNewRomanPSMT" w:hAnsi="TimesNewRomanPSMT" w:cs="TimesNewRomanPSMT"/>
          <w:szCs w:val="22"/>
        </w:rPr>
        <w:t>CCTC</w:t>
      </w:r>
      <w:r>
        <w:rPr>
          <w:rFonts w:ascii="TimesNewRomanPSMT" w:hAnsi="TimesNewRomanPSMT" w:cs="TimesNewRomanPSMT"/>
          <w:szCs w:val="22"/>
        </w:rPr>
        <w:t xml:space="preserve"> provides services as an </w:t>
      </w:r>
      <w:r w:rsidRPr="004E5BF7">
        <w:rPr>
          <w:rFonts w:ascii="TimesNewRomanPSMT" w:hAnsi="TimesNewRomanPSMT" w:cs="TimesNewRomanPSMT"/>
          <w:szCs w:val="22"/>
        </w:rPr>
        <w:t>inc</w:t>
      </w:r>
      <w:r>
        <w:rPr>
          <w:rFonts w:ascii="TimesNewRomanPSMT" w:hAnsi="TimesNewRomanPSMT" w:cs="TimesNewRomanPSMT"/>
          <w:szCs w:val="22"/>
        </w:rPr>
        <w:t xml:space="preserve">umbent LEC in the exchange area of </w:t>
      </w:r>
      <w:r w:rsidRPr="004E5BF7">
        <w:rPr>
          <w:rFonts w:ascii="TimesNewRomanPSMT" w:hAnsi="TimesNewRomanPSMT" w:cs="TimesNewRomanPSMT"/>
          <w:szCs w:val="22"/>
        </w:rPr>
        <w:t>Blairs</w:t>
      </w:r>
      <w:r>
        <w:rPr>
          <w:rFonts w:ascii="TimesNewRomanPSMT" w:hAnsi="TimesNewRomanPSMT" w:cs="TimesNewRomanPSMT"/>
          <w:szCs w:val="22"/>
        </w:rPr>
        <w:t xml:space="preserve">town, </w:t>
      </w:r>
      <w:r w:rsidRPr="00866559">
        <w:rPr>
          <w:rFonts w:ascii="TimesNewRomanPSMT" w:hAnsi="TimesNewRomanPSMT" w:cs="TimesNewRomanPSMT"/>
          <w:szCs w:val="22"/>
        </w:rPr>
        <w:t>Iowa</w:t>
      </w:r>
      <w:r>
        <w:rPr>
          <w:rFonts w:ascii="TimesNewRomanPSMT" w:hAnsi="TimesNewRomanPSMT" w:cs="TimesNewRomanPSMT"/>
          <w:szCs w:val="22"/>
        </w:rPr>
        <w:t xml:space="preserve">.  CCTC wholly owns </w:t>
      </w:r>
      <w:r w:rsidRPr="004E5BF7">
        <w:rPr>
          <w:rFonts w:ascii="TimesNewRomanPSMT" w:hAnsi="TimesNewRomanPSMT" w:cs="TimesNewRomanPSMT"/>
          <w:szCs w:val="22"/>
        </w:rPr>
        <w:t xml:space="preserve">CC CLEC, </w:t>
      </w:r>
      <w:r>
        <w:rPr>
          <w:rFonts w:ascii="TimesNewRomanPSMT" w:hAnsi="TimesNewRomanPSMT" w:cs="TimesNewRomanPSMT"/>
          <w:szCs w:val="22"/>
        </w:rPr>
        <w:t>which provides services</w:t>
      </w:r>
      <w:r>
        <w:t xml:space="preserve"> as a </w:t>
      </w:r>
      <w:r>
        <w:rPr>
          <w:rFonts w:ascii="TimesNewRomanPSMT" w:hAnsi="TimesNewRomanPSMT" w:cs="TimesNewRomanPSMT"/>
          <w:szCs w:val="22"/>
        </w:rPr>
        <w:t xml:space="preserve">competitive </w:t>
      </w:r>
      <w:r w:rsidRPr="004E5BF7">
        <w:rPr>
          <w:rFonts w:ascii="TimesNewRomanPSMT" w:hAnsi="TimesNewRomanPSMT" w:cs="TimesNewRomanPSMT"/>
          <w:szCs w:val="22"/>
        </w:rPr>
        <w:t xml:space="preserve">LEC in the </w:t>
      </w:r>
      <w:r>
        <w:rPr>
          <w:rFonts w:ascii="TimesNewRomanPSMT" w:hAnsi="TimesNewRomanPSMT" w:cs="TimesNewRomanPSMT"/>
          <w:szCs w:val="22"/>
        </w:rPr>
        <w:t xml:space="preserve">exchange areas of </w:t>
      </w:r>
      <w:r w:rsidRPr="004E5BF7">
        <w:rPr>
          <w:rFonts w:ascii="TimesNewRomanPSMT" w:hAnsi="TimesNewRomanPSMT" w:cs="TimesNewRomanPSMT"/>
          <w:szCs w:val="22"/>
        </w:rPr>
        <w:t xml:space="preserve">Belle </w:t>
      </w:r>
      <w:r w:rsidRPr="004E5BF7">
        <w:rPr>
          <w:rFonts w:ascii="TimesNewRomanPSMT" w:hAnsi="TimesNewRomanPSMT" w:cs="TimesNewRomanPSMT"/>
          <w:szCs w:val="22"/>
        </w:rPr>
        <w:t>Plaine</w:t>
      </w:r>
      <w:r w:rsidRPr="004E5BF7">
        <w:rPr>
          <w:rFonts w:ascii="TimesNewRomanPSMT" w:hAnsi="TimesNewRomanPSMT" w:cs="TimesNewRomanPSMT"/>
          <w:szCs w:val="22"/>
        </w:rPr>
        <w:t xml:space="preserve"> and</w:t>
      </w:r>
      <w:r>
        <w:rPr>
          <w:rFonts w:ascii="TimesNewRomanPSMT" w:hAnsi="TimesNewRomanPSMT" w:cs="TimesNewRomanPSMT"/>
          <w:szCs w:val="22"/>
        </w:rPr>
        <w:t xml:space="preserve"> Marengo, </w:t>
      </w:r>
      <w:r w:rsidRPr="00FE57A8">
        <w:rPr>
          <w:rFonts w:ascii="TimesNewRomanPSMT" w:hAnsi="TimesNewRomanPSMT" w:cs="TimesNewRomanPSMT"/>
          <w:szCs w:val="22"/>
        </w:rPr>
        <w:t>Iowa</w:t>
      </w:r>
      <w:r>
        <w:rPr>
          <w:rFonts w:ascii="TimesNewRomanPSMT" w:hAnsi="TimesNewRomanPSMT" w:cs="TimesNewRomanPSMT"/>
          <w:szCs w:val="22"/>
        </w:rPr>
        <w:t>.  CCTC</w:t>
      </w:r>
      <w:r>
        <w:rPr>
          <w:snapToGrid/>
          <w:kern w:val="0"/>
          <w:szCs w:val="22"/>
        </w:rPr>
        <w:t xml:space="preserve"> voluntarily elected to receive universal service support under the A-CAM.</w:t>
      </w:r>
      <w:r>
        <w:rPr>
          <w:rStyle w:val="FootnoteReference"/>
          <w:snapToGrid/>
          <w:kern w:val="0"/>
          <w:szCs w:val="22"/>
        </w:rPr>
        <w:footnoteReference w:id="21"/>
      </w:r>
      <w:r>
        <w:rPr>
          <w:snapToGrid/>
          <w:kern w:val="0"/>
          <w:szCs w:val="22"/>
        </w:rPr>
        <w:t xml:space="preserve">   </w:t>
      </w:r>
      <w:r>
        <w:rPr>
          <w:rFonts w:ascii="TimesNewRomanPSMT" w:hAnsi="TimesNewRomanPSMT" w:cs="TimesNewRomanPSMT"/>
          <w:szCs w:val="22"/>
        </w:rPr>
        <w:t xml:space="preserve">Shellsburg Cablevision provides services as a competitive </w:t>
      </w:r>
      <w:r w:rsidRPr="004E5BF7">
        <w:rPr>
          <w:rFonts w:ascii="TimesNewRomanPSMT" w:hAnsi="TimesNewRomanPSMT" w:cs="TimesNewRomanPSMT"/>
          <w:szCs w:val="22"/>
        </w:rPr>
        <w:t xml:space="preserve">LEC in the </w:t>
      </w:r>
      <w:r>
        <w:rPr>
          <w:rFonts w:ascii="TimesNewRomanPSMT" w:hAnsi="TimesNewRomanPSMT" w:cs="TimesNewRomanPSMT"/>
          <w:szCs w:val="22"/>
        </w:rPr>
        <w:t xml:space="preserve">exchanges of </w:t>
      </w:r>
      <w:r w:rsidRPr="004E5BF7">
        <w:rPr>
          <w:rFonts w:ascii="TimesNewRomanPSMT" w:hAnsi="TimesNewRomanPSMT" w:cs="TimesNewRomanPSMT"/>
          <w:szCs w:val="22"/>
        </w:rPr>
        <w:t>Central City, Ce</w:t>
      </w:r>
      <w:r>
        <w:rPr>
          <w:rFonts w:ascii="TimesNewRomanPSMT" w:hAnsi="TimesNewRomanPSMT" w:cs="TimesNewRomanPSMT"/>
          <w:szCs w:val="22"/>
        </w:rPr>
        <w:t xml:space="preserve">nter Point, and Robins, </w:t>
      </w:r>
      <w:r w:rsidRPr="00D83704">
        <w:rPr>
          <w:rFonts w:ascii="TimesNewRomanPSMT" w:hAnsi="TimesNewRomanPSMT" w:cs="TimesNewRomanPSMT"/>
          <w:szCs w:val="22"/>
        </w:rPr>
        <w:t>Iowa.  Shellsburg Cablevision is wholly owned by Farmers Mutual Telephone Cooperative of Shellsburg, Iowa (FMTC-Shellsburg),</w:t>
      </w:r>
      <w:r w:rsidRPr="00D83704">
        <w:t xml:space="preserve"> </w:t>
      </w:r>
      <w:r>
        <w:t xml:space="preserve">which provides services </w:t>
      </w:r>
      <w:r w:rsidRPr="00D83704">
        <w:rPr>
          <w:rFonts w:ascii="TimesNewRomanPSMT" w:hAnsi="TimesNewRomanPSMT" w:cs="TimesNewRomanPSMT"/>
          <w:szCs w:val="22"/>
        </w:rPr>
        <w:t xml:space="preserve">as an incumbent LEC in the exchanges of </w:t>
      </w:r>
      <w:r w:rsidRPr="00D83704">
        <w:rPr>
          <w:rFonts w:ascii="TimesNewRomanPSMT" w:hAnsi="TimesNewRomanPSMT" w:cs="TimesNewRomanPSMT"/>
          <w:szCs w:val="22"/>
        </w:rPr>
        <w:t>Alburnett</w:t>
      </w:r>
      <w:r w:rsidRPr="00D83704">
        <w:rPr>
          <w:rFonts w:ascii="TimesNewRomanPSMT" w:hAnsi="TimesNewRomanPSMT" w:cs="TimesNewRomanPSMT"/>
          <w:szCs w:val="22"/>
        </w:rPr>
        <w:t>, Shellsburg, Benton Township, and Urbana, Iowa</w:t>
      </w:r>
      <w:r>
        <w:rPr>
          <w:rFonts w:ascii="TimesNewRomanPSMT" w:hAnsi="TimesNewRomanPSMT" w:cs="TimesNewRomanPSMT"/>
          <w:szCs w:val="22"/>
        </w:rPr>
        <w:t>.  FMTC-Shellsburg</w:t>
      </w:r>
      <w:r w:rsidRPr="00D77AC7">
        <w:rPr>
          <w:snapToGrid/>
          <w:kern w:val="0"/>
          <w:szCs w:val="22"/>
        </w:rPr>
        <w:t xml:space="preserve"> did not elect to receive model-based support and currently receives support as an average schedule company.</w:t>
      </w:r>
      <w:r>
        <w:rPr>
          <w:rStyle w:val="FootnoteReference"/>
          <w:snapToGrid/>
          <w:kern w:val="0"/>
          <w:szCs w:val="22"/>
        </w:rPr>
        <w:footnoteReference w:id="22"/>
      </w:r>
      <w:r>
        <w:rPr>
          <w:snapToGrid/>
          <w:kern w:val="0"/>
          <w:szCs w:val="22"/>
        </w:rPr>
        <w:t xml:space="preserve"> </w:t>
      </w:r>
      <w:r>
        <w:rPr>
          <w:rFonts w:ascii="TimesNewRomanPSMT" w:hAnsi="TimesNewRomanPSMT" w:cs="TimesNewRomanPSMT"/>
          <w:szCs w:val="22"/>
        </w:rPr>
        <w:t xml:space="preserve"> CCTC and Shellsburg Cablevision</w:t>
      </w:r>
      <w:r>
        <w:rPr>
          <w:snapToGrid/>
          <w:kern w:val="0"/>
          <w:szCs w:val="22"/>
        </w:rPr>
        <w:t xml:space="preserve">, together with their affiliates, </w:t>
      </w:r>
      <w:r w:rsidRPr="00804B0E">
        <w:rPr>
          <w:snapToGrid/>
          <w:kern w:val="0"/>
          <w:szCs w:val="22"/>
        </w:rPr>
        <w:t xml:space="preserve">have no overlapping or adjacent </w:t>
      </w:r>
      <w:r>
        <w:rPr>
          <w:snapToGrid/>
          <w:kern w:val="0"/>
          <w:szCs w:val="22"/>
        </w:rPr>
        <w:t xml:space="preserve">incumbent LEC </w:t>
      </w:r>
      <w:r w:rsidRPr="00804B0E">
        <w:rPr>
          <w:snapToGrid/>
          <w:kern w:val="0"/>
          <w:szCs w:val="22"/>
        </w:rPr>
        <w:t>service areas.</w:t>
      </w:r>
      <w:bookmarkEnd w:id="7"/>
      <w:r>
        <w:rPr>
          <w:snapToGrid/>
          <w:kern w:val="0"/>
          <w:szCs w:val="22"/>
        </w:rPr>
        <w:t xml:space="preserve"> </w:t>
      </w:r>
    </w:p>
    <w:p w:rsidR="00016FA4" w:rsidP="00016FA4">
      <w:pPr>
        <w:ind w:firstLine="720"/>
        <w:rPr>
          <w:b/>
        </w:rPr>
      </w:pPr>
    </w:p>
    <w:p w:rsidR="00016FA4" w:rsidP="00016FA4">
      <w:pPr>
        <w:autoSpaceDE w:val="0"/>
        <w:autoSpaceDN w:val="0"/>
        <w:adjustRightInd w:val="0"/>
        <w:ind w:firstLine="720"/>
      </w:pPr>
      <w:r w:rsidRPr="00034BE8">
        <w:rPr>
          <w:rFonts w:ascii="TimesNewRomanPSMT" w:hAnsi="TimesNewRomanPSMT" w:cs="TimesNewRomanPSMT"/>
          <w:i/>
          <w:szCs w:val="22"/>
          <w:u w:val="single"/>
        </w:rPr>
        <w:t>Discussion</w:t>
      </w:r>
      <w:r>
        <w:rPr>
          <w:rFonts w:ascii="TimesNewRomanPSMT" w:hAnsi="TimesNewRomanPSMT" w:cs="TimesNewRomanPSMT"/>
          <w:szCs w:val="22"/>
        </w:rPr>
        <w:t xml:space="preserve">.  The applications described above request approval to consummate transactions involving </w:t>
      </w:r>
      <w:r w:rsidRPr="008B3790">
        <w:rPr>
          <w:szCs w:val="22"/>
        </w:rPr>
        <w:t xml:space="preserve">companies that receive high-cost universal service support under </w:t>
      </w:r>
      <w:r>
        <w:rPr>
          <w:szCs w:val="22"/>
        </w:rPr>
        <w:t xml:space="preserve">the </w:t>
      </w:r>
      <w:r w:rsidRPr="008B3790">
        <w:rPr>
          <w:szCs w:val="22"/>
        </w:rPr>
        <w:t>different mechanisms</w:t>
      </w:r>
      <w:r>
        <w:rPr>
          <w:szCs w:val="22"/>
        </w:rPr>
        <w:t xml:space="preserve"> of</w:t>
      </w:r>
      <w:r w:rsidRPr="008B3790">
        <w:rPr>
          <w:szCs w:val="22"/>
        </w:rPr>
        <w:t xml:space="preserve"> fixed </w:t>
      </w:r>
      <w:r>
        <w:rPr>
          <w:szCs w:val="22"/>
        </w:rPr>
        <w:t xml:space="preserve">model-based support </w:t>
      </w:r>
      <w:r w:rsidRPr="008B3790">
        <w:rPr>
          <w:szCs w:val="22"/>
        </w:rPr>
        <w:t>and cost-based</w:t>
      </w:r>
      <w:r>
        <w:rPr>
          <w:szCs w:val="22"/>
        </w:rPr>
        <w:t xml:space="preserve"> support.</w:t>
      </w:r>
      <w:r>
        <w:rPr>
          <w:rStyle w:val="FootnoteReference"/>
          <w:szCs w:val="22"/>
        </w:rPr>
        <w:footnoteReference w:id="23"/>
      </w:r>
      <w:r>
        <w:rPr>
          <w:szCs w:val="22"/>
        </w:rPr>
        <w:t xml:space="preserve"> </w:t>
      </w:r>
      <w:r w:rsidRPr="008B3790">
        <w:rPr>
          <w:szCs w:val="22"/>
        </w:rPr>
        <w:t xml:space="preserve"> The Commission has found that </w:t>
      </w:r>
      <w:r>
        <w:rPr>
          <w:szCs w:val="22"/>
        </w:rPr>
        <w:t xml:space="preserve">these types of </w:t>
      </w:r>
      <w:r w:rsidRPr="008B3790">
        <w:rPr>
          <w:szCs w:val="22"/>
        </w:rPr>
        <w:t>mixed support transactions</w:t>
      </w:r>
      <w:r>
        <w:rPr>
          <w:szCs w:val="22"/>
        </w:rPr>
        <w:t xml:space="preserve"> </w:t>
      </w:r>
      <w:r w:rsidRPr="008B3790">
        <w:rPr>
          <w:szCs w:val="22"/>
        </w:rPr>
        <w:t xml:space="preserve">could result in potential harm to the Commission’s goal of ensuring that </w:t>
      </w:r>
      <w:r>
        <w:rPr>
          <w:szCs w:val="22"/>
        </w:rPr>
        <w:t xml:space="preserve">our </w:t>
      </w:r>
      <w:r w:rsidRPr="008B3790">
        <w:rPr>
          <w:szCs w:val="22"/>
        </w:rPr>
        <w:t>limited universal service resources are distributed efficiently and effectively.</w:t>
      </w:r>
      <w:r>
        <w:rPr>
          <w:szCs w:val="22"/>
          <w:vertAlign w:val="superscript"/>
        </w:rPr>
        <w:footnoteReference w:id="24"/>
      </w:r>
      <w:r w:rsidRPr="008B3790">
        <w:rPr>
          <w:szCs w:val="22"/>
        </w:rPr>
        <w:t xml:space="preserve">  </w:t>
      </w:r>
      <w:r w:rsidRPr="006650A4">
        <w:t>When a company receiving a fixed level of support</w:t>
      </w:r>
      <w:r>
        <w:t xml:space="preserve"> </w:t>
      </w:r>
      <w:r w:rsidRPr="006650A4">
        <w:t>acquires or is acquired by a company receiving support based on its costs, the combined companies could</w:t>
      </w:r>
      <w:r>
        <w:t>,</w:t>
      </w:r>
      <w:r w:rsidRPr="006650A4">
        <w:t xml:space="preserve"> and in some instances might</w:t>
      </w:r>
      <w:r>
        <w:t>,</w:t>
      </w:r>
      <w:r w:rsidRPr="006650A4">
        <w:t xml:space="preserve"> have an economic incentive to shift certain shared or common costs from the model-based support company to the cost-based support company</w:t>
      </w:r>
      <w:r>
        <w:t>.</w:t>
      </w:r>
      <w:r>
        <w:rPr>
          <w:rStyle w:val="FootnoteReference"/>
        </w:rPr>
        <w:footnoteReference w:id="25"/>
      </w:r>
      <w:r>
        <w:t xml:space="preserve">  </w:t>
      </w:r>
      <w:r>
        <w:rPr>
          <w:szCs w:val="22"/>
        </w:rPr>
        <w:t>T</w:t>
      </w:r>
      <w:r w:rsidRPr="008B3790">
        <w:rPr>
          <w:szCs w:val="22"/>
        </w:rPr>
        <w:t>he Commission</w:t>
      </w:r>
      <w:r w:rsidRPr="00963263">
        <w:t xml:space="preserve"> </w:t>
      </w:r>
      <w:r>
        <w:t>therefore</w:t>
      </w:r>
      <w:r w:rsidRPr="008B3790">
        <w:rPr>
          <w:szCs w:val="22"/>
        </w:rPr>
        <w:t xml:space="preserve"> found that mixed support transactions warrant a safeguard to protect the financial stability of the CAF as a </w:t>
      </w:r>
      <w:r>
        <w:rPr>
          <w:szCs w:val="22"/>
        </w:rPr>
        <w:t>finite</w:t>
      </w:r>
      <w:r w:rsidRPr="008B3790">
        <w:rPr>
          <w:szCs w:val="22"/>
        </w:rPr>
        <w:t xml:space="preserve"> resource</w:t>
      </w:r>
      <w:r w:rsidRPr="00FE4728">
        <w:rPr>
          <w:szCs w:val="22"/>
        </w:rPr>
        <w:t xml:space="preserve"> </w:t>
      </w:r>
      <w:r>
        <w:rPr>
          <w:szCs w:val="22"/>
        </w:rPr>
        <w:t xml:space="preserve">and </w:t>
      </w:r>
      <w:r w:rsidRPr="008B3790">
        <w:rPr>
          <w:szCs w:val="22"/>
        </w:rPr>
        <w:t xml:space="preserve">directed the Bureau to </w:t>
      </w:r>
      <w:r>
        <w:rPr>
          <w:szCs w:val="22"/>
        </w:rPr>
        <w:t>impose a limited condition on transactions between parties receiving different types of support to cap high-cost universal service support based on the operating expenses of the cost-based companies</w:t>
      </w:r>
      <w:r w:rsidRPr="008B3790">
        <w:rPr>
          <w:szCs w:val="22"/>
        </w:rPr>
        <w:t>.</w:t>
      </w:r>
      <w:r>
        <w:rPr>
          <w:szCs w:val="22"/>
          <w:vertAlign w:val="superscript"/>
        </w:rPr>
        <w:footnoteReference w:id="26"/>
      </w:r>
      <w:r w:rsidRPr="008B3790">
        <w:rPr>
          <w:szCs w:val="22"/>
        </w:rPr>
        <w:t xml:space="preserve">  </w:t>
      </w:r>
      <w:r>
        <w:rPr>
          <w:szCs w:val="22"/>
        </w:rPr>
        <w:t>Accordingly, t</w:t>
      </w:r>
      <w:r w:rsidRPr="008B3790">
        <w:rPr>
          <w:szCs w:val="22"/>
        </w:rPr>
        <w:t>o mitigate the potential for cost shifting, we</w:t>
      </w:r>
      <w:r>
        <w:rPr>
          <w:szCs w:val="22"/>
        </w:rPr>
        <w:t xml:space="preserve"> grant the applications subject to the</w:t>
      </w:r>
      <w:r w:rsidRPr="008B3790">
        <w:rPr>
          <w:szCs w:val="22"/>
        </w:rPr>
        <w:t xml:space="preserve"> following condition</w:t>
      </w:r>
      <w:r>
        <w:rPr>
          <w:szCs w:val="22"/>
        </w:rPr>
        <w:t xml:space="preserve">, as established in the </w:t>
      </w:r>
      <w:r>
        <w:rPr>
          <w:i/>
          <w:szCs w:val="22"/>
        </w:rPr>
        <w:t>Hargray</w:t>
      </w:r>
      <w:r>
        <w:rPr>
          <w:i/>
          <w:szCs w:val="22"/>
        </w:rPr>
        <w:t>/</w:t>
      </w:r>
      <w:r>
        <w:rPr>
          <w:i/>
          <w:szCs w:val="22"/>
        </w:rPr>
        <w:t>ComSouth</w:t>
      </w:r>
      <w:r>
        <w:rPr>
          <w:i/>
          <w:szCs w:val="22"/>
        </w:rPr>
        <w:t xml:space="preserve"> Order</w:t>
      </w:r>
      <w:r w:rsidRPr="008B3790">
        <w:rPr>
          <w:szCs w:val="22"/>
        </w:rPr>
        <w:t>:  the combined operating</w:t>
      </w:r>
      <w:r w:rsidRPr="00F23A5B">
        <w:t xml:space="preserve"> expense</w:t>
      </w:r>
      <w:r>
        <w:t>,</w:t>
      </w:r>
      <w:r w:rsidRPr="00F23A5B">
        <w:t xml:space="preserve"> as defined below</w:t>
      </w:r>
      <w:r>
        <w:t>,</w:t>
      </w:r>
      <w:r w:rsidRPr="00F23A5B">
        <w:t xml:space="preserve"> for </w:t>
      </w:r>
      <w:r>
        <w:t>each post-consummation company’s</w:t>
      </w:r>
      <w:r w:rsidRPr="00F23A5B">
        <w:t xml:space="preserve"> rate-of-return </w:t>
      </w:r>
      <w:r>
        <w:t>affiliates</w:t>
      </w:r>
      <w:r>
        <w:rPr>
          <w:rStyle w:val="FootnoteReference"/>
        </w:rPr>
        <w:footnoteReference w:id="27"/>
      </w:r>
      <w:r>
        <w:t xml:space="preserve"> </w:t>
      </w:r>
      <w:r w:rsidRPr="00F23A5B">
        <w:t>shall be capped at the averaged combined operating expense of the three calendar years preceding the transaction closing date for which operating expense data are available.</w:t>
      </w:r>
      <w:r>
        <w:rPr>
          <w:rStyle w:val="FootnoteReference"/>
        </w:rPr>
        <w:footnoteReference w:id="28"/>
      </w:r>
    </w:p>
    <w:p w:rsidR="00016FA4" w:rsidRPr="00F23A5B" w:rsidP="00016FA4">
      <w:pPr>
        <w:autoSpaceDE w:val="0"/>
        <w:autoSpaceDN w:val="0"/>
        <w:adjustRightInd w:val="0"/>
        <w:ind w:firstLine="720"/>
      </w:pPr>
    </w:p>
    <w:p w:rsidR="00016FA4" w:rsidP="00016FA4">
      <w:pPr>
        <w:autoSpaceDE w:val="0"/>
        <w:autoSpaceDN w:val="0"/>
        <w:adjustRightInd w:val="0"/>
        <w:ind w:firstLine="720"/>
      </w:pPr>
      <w:r w:rsidRPr="006650A4">
        <w:t>The cap will apply to cost recovery under both High-Cost Loop Support (HCLS) and</w:t>
      </w:r>
      <w:r>
        <w:t xml:space="preserve"> CAF-Broadband Loop Support (</w:t>
      </w:r>
      <w:r w:rsidRPr="006650A4">
        <w:t>CAF</w:t>
      </w:r>
      <w:r>
        <w:t xml:space="preserve">-BLS) </w:t>
      </w:r>
      <w:r w:rsidRPr="006650A4">
        <w:t xml:space="preserve">and will be applied proportionately to each </w:t>
      </w:r>
      <w:r>
        <w:t>affiliate</w:t>
      </w:r>
      <w:r w:rsidRPr="006650A4">
        <w:t xml:space="preserve">’s accounts used to determine </w:t>
      </w:r>
      <w:r>
        <w:t>the affiliate</w:t>
      </w:r>
      <w:r w:rsidRPr="006650A4">
        <w:t>’s eligible operating expense for HCLS and CAF-BLS.</w:t>
      </w:r>
      <w:r>
        <w:rPr>
          <w:rStyle w:val="FootnoteReference"/>
        </w:rPr>
        <w:footnoteReference w:id="29"/>
      </w:r>
      <w:r w:rsidRPr="006650A4">
        <w:t xml:space="preserve"> </w:t>
      </w:r>
      <w:r>
        <w:t xml:space="preserve"> </w:t>
      </w:r>
      <w:r w:rsidRPr="006650A4">
        <w:t xml:space="preserve">For example, if the cap requires that </w:t>
      </w:r>
      <w:r>
        <w:t xml:space="preserve">a post-consummation </w:t>
      </w:r>
      <w:r w:rsidRPr="000D6929">
        <w:rPr>
          <w:rFonts w:ascii="TimesNewRomanPSMT" w:hAnsi="TimesNewRomanPSMT" w:cs="TimesNewRomanPSMT"/>
          <w:szCs w:val="22"/>
        </w:rPr>
        <w:t>company’s</w:t>
      </w:r>
      <w:r w:rsidRPr="00953DB2">
        <w:t xml:space="preserve"> </w:t>
      </w:r>
      <w:r w:rsidRPr="006650A4">
        <w:t xml:space="preserve">eligible operating expense be reduced by 10 percent, then each account used to determine each </w:t>
      </w:r>
      <w:r>
        <w:t>rate-of-return affiliate’s</w:t>
      </w:r>
      <w:r w:rsidRPr="006650A4">
        <w:t xml:space="preserve"> eligible operating expense shall be reduced by 10 percent.</w:t>
      </w:r>
      <w:r>
        <w:rPr>
          <w:rStyle w:val="FootnoteReference"/>
        </w:rPr>
        <w:footnoteReference w:id="30"/>
      </w:r>
      <w:r w:rsidRPr="006650A4">
        <w:t xml:space="preserve">  For purposes of this cap, operating expense shall include maintenance, network support/network operations/general, benefits, rent expenses, and corporate operations, while depreciation, return on investment, and taxes shall be excluded.</w:t>
      </w:r>
      <w:r>
        <w:rPr>
          <w:rStyle w:val="FootnoteReference"/>
        </w:rPr>
        <w:footnoteReference w:id="31"/>
      </w:r>
    </w:p>
    <w:p w:rsidR="00016FA4" w:rsidP="00016FA4">
      <w:pPr>
        <w:autoSpaceDE w:val="0"/>
        <w:autoSpaceDN w:val="0"/>
        <w:adjustRightInd w:val="0"/>
      </w:pPr>
    </w:p>
    <w:p w:rsidR="00016FA4" w:rsidRPr="00F47C24" w:rsidP="00016FA4">
      <w:pPr>
        <w:ind w:firstLine="720"/>
      </w:pPr>
      <w:bookmarkStart w:id="9" w:name="_Hlk517701566"/>
      <w:bookmarkStart w:id="10" w:name="_Hlk516223834"/>
      <w:r>
        <w:t xml:space="preserve">If any post-consummation company has any affiliates receiving support based on the NECA average schedule (an average schedule company), those affiliates will not be included in the cap </w:t>
      </w:r>
      <w:r>
        <w:t>as long as</w:t>
      </w:r>
      <w:r>
        <w:t xml:space="preserve"> they remain average schedule companies.  </w:t>
      </w:r>
      <w:bookmarkStart w:id="11" w:name="_Hlk516222382"/>
      <w:r>
        <w:t>If an average schedule company affiliate converts to a cost company, that conversion will trigger application of the condition to that entity.</w:t>
      </w:r>
      <w:r>
        <w:rPr>
          <w:rStyle w:val="FootnoteReference"/>
        </w:rPr>
        <w:footnoteReference w:id="32"/>
      </w:r>
      <w:r>
        <w:t xml:space="preserve">  In such instances, the newly converted cost company’s operating expense would be capped at the average of the three previous years’ operating expense </w:t>
      </w:r>
      <w:r w:rsidRPr="007D5B1D">
        <w:t xml:space="preserve">and combined with the </w:t>
      </w:r>
      <w:r>
        <w:t xml:space="preserve">inflation-adjusted </w:t>
      </w:r>
      <w:r w:rsidRPr="007D5B1D">
        <w:t>operating expense data of any other affiliated cost companies</w:t>
      </w:r>
      <w:r>
        <w:t>.</w:t>
      </w:r>
      <w:r>
        <w:rPr>
          <w:rStyle w:val="FootnoteReference"/>
        </w:rPr>
        <w:footnoteReference w:id="33"/>
      </w:r>
      <w:r>
        <w:t xml:space="preserve"> </w:t>
      </w:r>
    </w:p>
    <w:p w:rsidR="00016FA4" w:rsidRPr="006650A4" w:rsidP="00016FA4">
      <w:pPr>
        <w:autoSpaceDE w:val="0"/>
        <w:autoSpaceDN w:val="0"/>
        <w:adjustRightInd w:val="0"/>
        <w:ind w:firstLine="720"/>
      </w:pPr>
      <w:r>
        <w:t xml:space="preserve">  </w:t>
      </w:r>
      <w:bookmarkEnd w:id="9"/>
      <w:bookmarkEnd w:id="10"/>
      <w:bookmarkEnd w:id="11"/>
    </w:p>
    <w:p w:rsidR="00016FA4" w:rsidP="00016FA4">
      <w:pPr>
        <w:autoSpaceDE w:val="0"/>
        <w:autoSpaceDN w:val="0"/>
        <w:adjustRightInd w:val="0"/>
        <w:ind w:firstLine="720"/>
      </w:pPr>
      <w:r>
        <w:t>For all entities to which it applies, the new cap shall also include an annual adjustment for inflation based on the Gross Domestic Product-Channel Price Index (GDP-CPI) for the years in which the new cap remains in effect</w:t>
      </w:r>
      <w:r w:rsidRPr="00A44430">
        <w:t xml:space="preserve">.  </w:t>
      </w:r>
      <w:r w:rsidRPr="006650A4">
        <w:t>This cap shall remain in effect for seven years from the consummation of the transaction.</w:t>
      </w:r>
      <w:r>
        <w:rPr>
          <w:rStyle w:val="FootnoteReference"/>
        </w:rPr>
        <w:footnoteReference w:id="34"/>
      </w:r>
      <w:r w:rsidRPr="006650A4">
        <w:t xml:space="preserve">  The condition will </w:t>
      </w:r>
      <w:r>
        <w:t xml:space="preserve">also </w:t>
      </w:r>
      <w:r w:rsidRPr="006650A4">
        <w:t>sunset if</w:t>
      </w:r>
      <w:r>
        <w:t xml:space="preserve"> all of </w:t>
      </w:r>
      <w:r>
        <w:t xml:space="preserve">a post-consummation company’s </w:t>
      </w:r>
      <w:r w:rsidRPr="006650A4">
        <w:t>rate-of-return subsidiaries</w:t>
      </w:r>
      <w:r w:rsidRPr="006650A4">
        <w:t xml:space="preserve"> become model-based support companies at any point during the seven-year period.</w:t>
      </w:r>
    </w:p>
    <w:p w:rsidR="00016FA4" w:rsidP="00016FA4">
      <w:pPr>
        <w:ind w:firstLine="720"/>
        <w:rPr>
          <w:color w:val="000000"/>
          <w:szCs w:val="22"/>
        </w:rPr>
      </w:pPr>
    </w:p>
    <w:p w:rsidR="00016FA4" w:rsidRPr="00E415F4" w:rsidP="00016FA4">
      <w:pPr>
        <w:widowControl/>
        <w:ind w:firstLine="720"/>
        <w:rPr>
          <w:color w:val="000000"/>
          <w:szCs w:val="22"/>
        </w:rPr>
      </w:pPr>
      <w:r w:rsidRPr="00E415F4">
        <w:rPr>
          <w:color w:val="000000"/>
          <w:szCs w:val="22"/>
        </w:rPr>
        <w:t xml:space="preserve">The Bureau finds, upon consideration of the record, that grant of the </w:t>
      </w:r>
      <w:r>
        <w:rPr>
          <w:color w:val="000000"/>
          <w:szCs w:val="22"/>
        </w:rPr>
        <w:t>a</w:t>
      </w:r>
      <w:r w:rsidRPr="00E415F4">
        <w:rPr>
          <w:color w:val="000000"/>
          <w:szCs w:val="22"/>
        </w:rPr>
        <w:t>pplication</w:t>
      </w:r>
      <w:r>
        <w:rPr>
          <w:color w:val="000000"/>
          <w:szCs w:val="22"/>
        </w:rPr>
        <w:t>s listed above</w:t>
      </w:r>
      <w:r w:rsidRPr="00E415F4">
        <w:rPr>
          <w:color w:val="000000"/>
          <w:szCs w:val="22"/>
        </w:rPr>
        <w:t>, subject to compliance with the</w:t>
      </w:r>
      <w:bookmarkStart w:id="12" w:name="SR;414"/>
      <w:bookmarkStart w:id="13" w:name="SR;416"/>
      <w:bookmarkEnd w:id="12"/>
      <w:bookmarkEnd w:id="13"/>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35"/>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w:t>
      </w:r>
      <w:r w:rsidRPr="00E415F4">
        <w:rPr>
          <w:color w:val="000000"/>
          <w:szCs w:val="22"/>
        </w:rPr>
        <w:t>of the Commission</w:t>
      </w:r>
      <w:r>
        <w:rPr>
          <w:color w:val="000000"/>
          <w:szCs w:val="22"/>
        </w:rPr>
        <w:t>’</w:t>
      </w:r>
      <w:r w:rsidRPr="00E415F4">
        <w:rPr>
          <w:color w:val="000000"/>
          <w:szCs w:val="22"/>
        </w:rPr>
        <w:t xml:space="preserve">s rules, 47 CFR §§ 0.91, 0.291, </w:t>
      </w:r>
      <w:r>
        <w:rPr>
          <w:color w:val="000000"/>
          <w:szCs w:val="22"/>
        </w:rPr>
        <w:t>63.03, 63.04,</w:t>
      </w:r>
      <w:r w:rsidRPr="00E415F4">
        <w:rPr>
          <w:color w:val="000000"/>
          <w:szCs w:val="22"/>
        </w:rPr>
        <w:t xml:space="preserve"> the Bureau hereby grants the </w:t>
      </w:r>
      <w:r>
        <w:rPr>
          <w:color w:val="000000"/>
          <w:szCs w:val="22"/>
        </w:rPr>
        <w:t>a</w:t>
      </w:r>
      <w:r w:rsidRPr="00E415F4">
        <w:rPr>
          <w:color w:val="000000"/>
          <w:szCs w:val="22"/>
        </w:rPr>
        <w:t>pplication</w:t>
      </w:r>
      <w:r>
        <w:rPr>
          <w:color w:val="000000"/>
          <w:szCs w:val="22"/>
        </w:rPr>
        <w:t>s</w:t>
      </w:r>
      <w:r w:rsidRPr="00E415F4">
        <w:rPr>
          <w:color w:val="000000"/>
          <w:szCs w:val="22"/>
        </w:rPr>
        <w:t xml:space="preserve"> discussed in this Public Notice subject to compliance with the </w:t>
      </w:r>
      <w:r>
        <w:rPr>
          <w:color w:val="000000"/>
          <w:szCs w:val="22"/>
        </w:rPr>
        <w:t>condition</w:t>
      </w:r>
      <w:r w:rsidRPr="00E415F4">
        <w:rPr>
          <w:color w:val="000000"/>
          <w:szCs w:val="22"/>
        </w:rPr>
        <w:t xml:space="preserve"> described above.  </w:t>
      </w:r>
    </w:p>
    <w:p w:rsidR="00016FA4" w:rsidRPr="004F7405" w:rsidP="00016FA4">
      <w:pPr>
        <w:rPr>
          <w:color w:val="000000"/>
          <w:szCs w:val="22"/>
        </w:rPr>
      </w:pPr>
      <w:bookmarkStart w:id="14" w:name="sp_999_1"/>
      <w:bookmarkStart w:id="15" w:name="SDU_1"/>
      <w:bookmarkEnd w:id="14"/>
      <w:bookmarkEnd w:id="15"/>
    </w:p>
    <w:p w:rsidR="00016FA4" w:rsidRPr="004F7405" w:rsidP="00016FA4">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w:t>
      </w:r>
      <w:bookmarkStart w:id="16" w:name="FN[FN11]"/>
      <w:bookmarkEnd w:id="16"/>
      <w:r w:rsidRPr="004F7405">
        <w:rPr>
          <w:color w:val="000000"/>
          <w:szCs w:val="22"/>
        </w:rPr>
        <w:t xml:space="preserv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bookmarkStart w:id="17" w:name="FN[FN12]"/>
      <w:bookmarkEnd w:id="17"/>
    </w:p>
    <w:p w:rsidR="00016FA4" w:rsidRPr="004F7405" w:rsidP="00016FA4">
      <w:pPr>
        <w:ind w:firstLine="720"/>
        <w:rPr>
          <w:color w:val="000000"/>
          <w:szCs w:val="22"/>
        </w:rPr>
      </w:pPr>
      <w:bookmarkStart w:id="18" w:name="sp_999_2"/>
      <w:bookmarkStart w:id="19" w:name="SDU_2"/>
      <w:bookmarkEnd w:id="18"/>
      <w:bookmarkEnd w:id="19"/>
    </w:p>
    <w:p w:rsidR="00016FA4" w:rsidP="00016FA4">
      <w:pPr>
        <w:ind w:firstLine="720"/>
        <w:rPr>
          <w:color w:val="000000"/>
          <w:szCs w:val="22"/>
        </w:rPr>
      </w:pPr>
      <w:r w:rsidRPr="00834342">
        <w:rPr>
          <w:color w:val="000000"/>
          <w:szCs w:val="22"/>
        </w:rPr>
        <w:t xml:space="preserve">For further information, please contact </w:t>
      </w:r>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p w:rsidR="00016FA4" w:rsidP="00016FA4">
      <w:pPr>
        <w:ind w:firstLine="720"/>
        <w:rPr>
          <w:color w:val="000000"/>
          <w:szCs w:val="22"/>
        </w:rPr>
      </w:pPr>
    </w:p>
    <w:p w:rsidR="00016FA4" w:rsidRPr="0073741A" w:rsidP="00016FA4">
      <w:pPr>
        <w:jc w:val="center"/>
        <w:rPr>
          <w:color w:val="000000"/>
          <w:szCs w:val="22"/>
        </w:rPr>
      </w:pPr>
      <w:r>
        <w:rPr>
          <w:color w:val="000000"/>
          <w:szCs w:val="22"/>
        </w:rPr>
        <w:t>-FCC-</w:t>
      </w:r>
    </w:p>
    <w:p w:rsidR="00930ECF" w:rsidRPr="00930ECF" w:rsidP="00016FA4">
      <w:pPr>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5D795C">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5F98">
      <w:r>
        <w:separator/>
      </w:r>
    </w:p>
  </w:footnote>
  <w:footnote w:type="continuationSeparator" w:id="1">
    <w:p w:rsidR="00A95F98">
      <w:pPr>
        <w:rPr>
          <w:sz w:val="20"/>
        </w:rPr>
      </w:pPr>
      <w:r>
        <w:rPr>
          <w:sz w:val="20"/>
        </w:rPr>
        <w:t xml:space="preserve">(Continued from previous page)  </w:t>
      </w:r>
      <w:r>
        <w:rPr>
          <w:sz w:val="20"/>
        </w:rPr>
        <w:separator/>
      </w:r>
    </w:p>
  </w:footnote>
  <w:footnote w:type="continuationNotice" w:id="2">
    <w:p w:rsidR="00A95F98" w:rsidP="00910F12">
      <w:pPr>
        <w:jc w:val="right"/>
        <w:rPr>
          <w:sz w:val="20"/>
        </w:rPr>
      </w:pPr>
      <w:r>
        <w:rPr>
          <w:sz w:val="20"/>
        </w:rPr>
        <w:t>(continued….)</w:t>
      </w:r>
    </w:p>
  </w:footnote>
  <w:footnote w:id="3">
    <w:p w:rsidR="00016FA4" w:rsidRPr="00FD3FFD" w:rsidP="00016FA4">
      <w:pPr>
        <w:pStyle w:val="FootnoteText"/>
      </w:pPr>
      <w:r w:rsidRPr="00FD3FFD">
        <w:rPr>
          <w:rStyle w:val="FootnoteReference"/>
        </w:rPr>
        <w:footnoteRef/>
      </w:r>
      <w:r w:rsidRPr="00FD3FFD">
        <w:t xml:space="preserve"> </w:t>
      </w:r>
      <w:r w:rsidRPr="00FD3FFD">
        <w:rPr>
          <w:i/>
        </w:rPr>
        <w:t xml:space="preserve">See </w:t>
      </w:r>
      <w:r>
        <w:t>47 U.S.C.</w:t>
      </w:r>
      <w:r w:rsidRPr="00FD3FFD">
        <w:t xml:space="preserve"> § 214</w:t>
      </w:r>
      <w:r>
        <w:t>;</w:t>
      </w:r>
      <w:r w:rsidRPr="002B13E2">
        <w:t xml:space="preserve"> </w:t>
      </w:r>
      <w:r>
        <w:t xml:space="preserve">47 CFR </w:t>
      </w:r>
      <w:bookmarkStart w:id="1" w:name="_Hlk515884438"/>
      <w:r>
        <w:t>§</w:t>
      </w:r>
      <w:bookmarkEnd w:id="1"/>
      <w:r>
        <w:t>§ 63.03-63.04.  Any action on these</w:t>
      </w:r>
      <w:r w:rsidRPr="00FD3FFD">
        <w:t xml:space="preserve"> domestic section 214 application</w:t>
      </w:r>
      <w:r>
        <w:t>s</w:t>
      </w:r>
      <w:r w:rsidRPr="00FD3FFD">
        <w:t xml:space="preserve"> is without prejudice to Commission action on other related, pending applications.</w:t>
      </w:r>
      <w:r>
        <w:t xml:space="preserve">  </w:t>
      </w:r>
    </w:p>
  </w:footnote>
  <w:footnote w:id="4">
    <w:p w:rsidR="00016FA4" w:rsidP="00016FA4">
      <w:pPr>
        <w:pStyle w:val="FootnoteText"/>
      </w:pPr>
      <w:r>
        <w:rPr>
          <w:rStyle w:val="FootnoteReference"/>
        </w:rPr>
        <w:footnoteRef/>
      </w:r>
      <w:r>
        <w:t xml:space="preserve"> </w:t>
      </w:r>
      <w:r w:rsidRPr="009D2F73">
        <w:rPr>
          <w:i/>
        </w:rPr>
        <w:t>Domestic Section 214 Application Filed for the Transfer of Control of Westphalia Telephone Company and Westphalia Broadband, Inc. to Chapin Communications Corporation</w:t>
      </w:r>
      <w:r>
        <w:t xml:space="preserve">, WC Docket No. 17-101, Public Notice, DA 17-457 (rel. May 12, 2017).  </w:t>
      </w:r>
    </w:p>
  </w:footnote>
  <w:footnote w:id="5">
    <w:p w:rsidR="00016FA4" w:rsidP="00016FA4">
      <w:pPr>
        <w:pStyle w:val="FootnoteText"/>
      </w:pPr>
      <w:r>
        <w:rPr>
          <w:rStyle w:val="FootnoteReference"/>
        </w:rPr>
        <w:footnoteRef/>
      </w:r>
      <w:r>
        <w:t xml:space="preserve"> </w:t>
      </w:r>
      <w:r w:rsidRPr="00872C6A">
        <w:rPr>
          <w:szCs w:val="22"/>
        </w:rPr>
        <w:t xml:space="preserve">WBI provides competitive LEC service to approximately 500 subscribers in and around St. Johns and DeWitt, Michigan.  </w:t>
      </w:r>
    </w:p>
  </w:footnote>
  <w:footnote w:id="6">
    <w:p w:rsidR="00016FA4" w:rsidP="00016FA4">
      <w:pPr>
        <w:pStyle w:val="FootnoteText"/>
      </w:pPr>
      <w:r>
        <w:rPr>
          <w:rStyle w:val="FootnoteReference"/>
        </w:rPr>
        <w:footnoteRef/>
      </w:r>
      <w:r>
        <w:t xml:space="preserve"> </w:t>
      </w:r>
      <w:r w:rsidRPr="006650A4">
        <w:rPr>
          <w:i/>
        </w:rPr>
        <w:t xml:space="preserve">Wireline Competition Bureau Authorizes 182 Rate-of-Return Companies to Receive $454 Million Annually in Alternative Connect America Cost Model Support to Expand Rural Broadband, </w:t>
      </w:r>
      <w:r w:rsidRPr="006650A4">
        <w:t>WC Docket No. 10-90, Public Notice</w:t>
      </w:r>
      <w:r>
        <w:t xml:space="preserve">, 32 FCC </w:t>
      </w:r>
      <w:r>
        <w:t>Rcd</w:t>
      </w:r>
      <w:r>
        <w:t xml:space="preserve"> 842</w:t>
      </w:r>
      <w:r w:rsidRPr="006650A4">
        <w:t xml:space="preserve"> (WCB Jan. 24, 2017)</w:t>
      </w:r>
      <w:r>
        <w:t xml:space="preserve"> (</w:t>
      </w:r>
      <w:r w:rsidRPr="000D6929">
        <w:rPr>
          <w:i/>
        </w:rPr>
        <w:t>A-CAM Public Notice</w:t>
      </w:r>
      <w:r>
        <w:t>)</w:t>
      </w:r>
      <w:r w:rsidRPr="006650A4">
        <w:t>.</w:t>
      </w:r>
      <w:r>
        <w:t xml:space="preserve">  The Commission has adopted a voluntary path by which rate-of-return carriers could elect to receive a fixed amount of universal service support under A-CAM, a forward-looking broadband cost model, for 10 years in exchange for deploying broadband-capable networks to eligible locations.  </w:t>
      </w:r>
      <w:r w:rsidRPr="006650A4">
        <w:rPr>
          <w:rStyle w:val="Emphasis"/>
        </w:rPr>
        <w:t>Connect America Fund et al.</w:t>
      </w:r>
      <w:r w:rsidRPr="006650A4">
        <w:t xml:space="preserve">, Report and Order, Order and Order on Reconsideration and Further Notice of Proposed Rulemaking, 31 FCC </w:t>
      </w:r>
      <w:r w:rsidRPr="006650A4">
        <w:t>Rcd</w:t>
      </w:r>
      <w:r w:rsidRPr="006650A4">
        <w:t xml:space="preserve"> 3087, 3090, para. 4, 3096-3117, paras. 20-79</w:t>
      </w:r>
      <w:r>
        <w:t xml:space="preserve"> </w:t>
      </w:r>
      <w:r w:rsidRPr="006650A4">
        <w:t>(2016) (</w:t>
      </w:r>
      <w:r w:rsidRPr="006650A4">
        <w:rPr>
          <w:rStyle w:val="cosearchterm"/>
          <w:bCs/>
          <w:i/>
          <w:iCs/>
        </w:rPr>
        <w:t>Rate</w:t>
      </w:r>
      <w:r w:rsidRPr="006650A4">
        <w:rPr>
          <w:rStyle w:val="Emphasis"/>
        </w:rPr>
        <w:t>-</w:t>
      </w:r>
      <w:r w:rsidRPr="006650A4">
        <w:rPr>
          <w:rStyle w:val="cosearchterm"/>
          <w:bCs/>
          <w:i/>
          <w:iCs/>
        </w:rPr>
        <w:t>of</w:t>
      </w:r>
      <w:r w:rsidRPr="006650A4">
        <w:rPr>
          <w:rStyle w:val="Emphasis"/>
        </w:rPr>
        <w:t>-</w:t>
      </w:r>
      <w:r w:rsidRPr="006650A4">
        <w:rPr>
          <w:rStyle w:val="cosearchterm"/>
          <w:bCs/>
          <w:i/>
          <w:iCs/>
        </w:rPr>
        <w:t>Return</w:t>
      </w:r>
      <w:r w:rsidRPr="006650A4">
        <w:rPr>
          <w:rStyle w:val="Emphasis"/>
        </w:rPr>
        <w:t> </w:t>
      </w:r>
      <w:r w:rsidRPr="006650A4">
        <w:rPr>
          <w:rStyle w:val="cosearchterm"/>
          <w:bCs/>
          <w:i/>
          <w:iCs/>
        </w:rPr>
        <w:t>Reform</w:t>
      </w:r>
      <w:r w:rsidRPr="006650A4">
        <w:rPr>
          <w:rStyle w:val="Emphasis"/>
        </w:rPr>
        <w:t> </w:t>
      </w:r>
      <w:r w:rsidRPr="006650A4">
        <w:rPr>
          <w:rStyle w:val="cosearchterm"/>
          <w:bCs/>
          <w:i/>
          <w:iCs/>
        </w:rPr>
        <w:t>Order</w:t>
      </w:r>
      <w:r w:rsidRPr="006650A4">
        <w:rPr>
          <w:rStyle w:val="cosearchterm"/>
          <w:bCs/>
          <w:iCs/>
        </w:rPr>
        <w:t>)</w:t>
      </w:r>
      <w:r>
        <w:rPr>
          <w:rStyle w:val="cosearchterm"/>
          <w:bCs/>
          <w:iCs/>
        </w:rPr>
        <w:t>.</w:t>
      </w:r>
    </w:p>
  </w:footnote>
  <w:footnote w:id="7">
    <w:p w:rsidR="00016FA4" w:rsidP="00016FA4">
      <w:pPr>
        <w:pStyle w:val="FootnoteText"/>
      </w:pPr>
      <w:r>
        <w:rPr>
          <w:rStyle w:val="FootnoteReference"/>
        </w:rPr>
        <w:footnoteRef/>
      </w:r>
      <w:r>
        <w:t xml:space="preserve"> On June 21, 2018, CTC filed an </w:t>
      </w:r>
      <w:r>
        <w:rPr>
          <w:i/>
        </w:rPr>
        <w:t xml:space="preserve">Ex </w:t>
      </w:r>
      <w:r w:rsidRPr="003870E8">
        <w:rPr>
          <w:i/>
        </w:rPr>
        <w:t>Parte</w:t>
      </w:r>
      <w:r>
        <w:t xml:space="preserve"> letter addressing its status as an average schedule company in the context of the proposed transaction.  Letter from Thomas J. Moorman, Counsel to Chapin Communications Corporation, to Marlene H. Dortch, Secretary, FCC, WC Docket No. 17-101 (filed June 21, 2018).  </w:t>
      </w:r>
      <w:r>
        <w:rPr>
          <w:i/>
        </w:rPr>
        <w:t xml:space="preserve">See </w:t>
      </w:r>
      <w:r w:rsidRPr="006650A4">
        <w:t xml:space="preserve">Universal Service Administrative Co., Tools, </w:t>
      </w:r>
      <w:r>
        <w:fldChar w:fldCharType="begin"/>
      </w:r>
      <w:r>
        <w:instrText xml:space="preserve"> HYPERLINK "https://www.usac.org/hc/tools/default.aspx" </w:instrText>
      </w:r>
      <w:r>
        <w:fldChar w:fldCharType="separate"/>
      </w:r>
      <w:r w:rsidRPr="00FF0304">
        <w:rPr>
          <w:rStyle w:val="Hyperlink"/>
        </w:rPr>
        <w:t>https://www.usac.org/hc/tools/default.aspx</w:t>
      </w:r>
      <w:r>
        <w:fldChar w:fldCharType="end"/>
      </w:r>
      <w:r w:rsidRPr="006650A4">
        <w:t xml:space="preserve"> </w:t>
      </w:r>
      <w:r w:rsidRPr="006650A4">
        <w:rPr>
          <w:rStyle w:val="Hyperlink"/>
          <w:color w:val="auto"/>
          <w:u w:val="none"/>
        </w:rPr>
        <w:t xml:space="preserve">(last visited </w:t>
      </w:r>
      <w:r>
        <w:rPr>
          <w:rStyle w:val="Hyperlink"/>
          <w:color w:val="auto"/>
          <w:u w:val="none"/>
        </w:rPr>
        <w:t>June 6</w:t>
      </w:r>
      <w:r w:rsidRPr="006650A4">
        <w:rPr>
          <w:rStyle w:val="Hyperlink"/>
          <w:color w:val="auto"/>
          <w:u w:val="none"/>
        </w:rPr>
        <w:t>, 2018) (listing carriers that elected to receive support for loop costs based on existing methodologies).</w:t>
      </w:r>
      <w:r>
        <w:rPr>
          <w:rStyle w:val="Hyperlink"/>
          <w:color w:val="auto"/>
          <w:u w:val="none"/>
        </w:rPr>
        <w:t xml:space="preserve">  </w:t>
      </w:r>
      <w:r>
        <w:t xml:space="preserve">Average schedule companies receive support based on formulas that use the reported costs of the companies.  </w:t>
      </w:r>
      <w:r w:rsidRPr="00F304C0">
        <w:rPr>
          <w:rFonts w:eastAsia="Calibri"/>
          <w:i/>
        </w:rPr>
        <w:t xml:space="preserve">See, e.g., National Exchange Carrier Association, Inc. 2018 Modification of Average Schedule Universal Service Support Formula, High-Cost Universal Service Support, </w:t>
      </w:r>
      <w:r w:rsidRPr="00F304C0">
        <w:rPr>
          <w:rFonts w:eastAsia="Calibri"/>
        </w:rPr>
        <w:t xml:space="preserve">Order, </w:t>
      </w:r>
      <w:r>
        <w:rPr>
          <w:rFonts w:eastAsia="Calibri"/>
        </w:rPr>
        <w:t xml:space="preserve">32 FCC </w:t>
      </w:r>
      <w:r>
        <w:rPr>
          <w:rFonts w:eastAsia="Calibri"/>
        </w:rPr>
        <w:t>Rcd</w:t>
      </w:r>
      <w:r>
        <w:rPr>
          <w:rFonts w:eastAsia="Calibri"/>
        </w:rPr>
        <w:t xml:space="preserve"> 7654</w:t>
      </w:r>
      <w:r w:rsidRPr="00F304C0">
        <w:rPr>
          <w:rFonts w:eastAsia="Calibri"/>
        </w:rPr>
        <w:t xml:space="preserve"> (WCB 2017).  </w:t>
      </w:r>
      <w:r w:rsidRPr="006650A4">
        <w:rPr>
          <w:snapToGrid w:val="0"/>
          <w:kern w:val="28"/>
        </w:rPr>
        <w:t>An incumbent LEC may </w:t>
      </w:r>
      <w:r w:rsidRPr="006650A4">
        <w:rPr>
          <w:bCs/>
          <w:snapToGrid w:val="0"/>
          <w:kern w:val="28"/>
        </w:rPr>
        <w:t>convert</w:t>
      </w:r>
      <w:r w:rsidRPr="006650A4">
        <w:rPr>
          <w:snapToGrid w:val="0"/>
          <w:kern w:val="28"/>
        </w:rPr>
        <w:t> from an </w:t>
      </w:r>
      <w:r w:rsidRPr="006650A4">
        <w:rPr>
          <w:bCs/>
          <w:snapToGrid w:val="0"/>
          <w:kern w:val="28"/>
        </w:rPr>
        <w:t>average</w:t>
      </w:r>
      <w:r w:rsidRPr="006650A4">
        <w:rPr>
          <w:snapToGrid w:val="0"/>
          <w:kern w:val="28"/>
        </w:rPr>
        <w:t> </w:t>
      </w:r>
      <w:r w:rsidRPr="006650A4">
        <w:rPr>
          <w:bCs/>
          <w:snapToGrid w:val="0"/>
          <w:kern w:val="28"/>
        </w:rPr>
        <w:t>schedule</w:t>
      </w:r>
      <w:r w:rsidRPr="006650A4">
        <w:rPr>
          <w:snapToGrid w:val="0"/>
          <w:kern w:val="28"/>
        </w:rPr>
        <w:t> company to a </w:t>
      </w:r>
      <w:r w:rsidRPr="006650A4">
        <w:rPr>
          <w:bCs/>
          <w:snapToGrid w:val="0"/>
          <w:kern w:val="28"/>
        </w:rPr>
        <w:t>cost</w:t>
      </w:r>
      <w:r w:rsidRPr="006650A4">
        <w:rPr>
          <w:snapToGrid w:val="0"/>
          <w:kern w:val="28"/>
        </w:rPr>
        <w:t> company, but a carrier must obtain a waiver of the definition of “average schedule company” in </w:t>
      </w:r>
      <w:r>
        <w:fldChar w:fldCharType="begin"/>
      </w:r>
      <w:r>
        <w:instrText xml:space="preserve"> HYPERLINK "https://1.next.westlaw.com/Link/Document/FullText?findType=L&amp;pubNum=1000547&amp;cite=47CFRS69.605&amp;originatingDoc=Ie12d838d708211dfa7ada84b8dc24cbf&amp;refType=RB&amp;originationContext=document&amp;transitionType=DocumentItem&amp;contextData=(sc.Search)" \l "co_pp_4b24000003ba5" </w:instrText>
      </w:r>
      <w:r>
        <w:fldChar w:fldCharType="separate"/>
      </w:r>
      <w:r w:rsidRPr="006650A4">
        <w:rPr>
          <w:snapToGrid w:val="0"/>
          <w:kern w:val="28"/>
        </w:rPr>
        <w:t>section 69.605(c)</w:t>
      </w:r>
      <w:r>
        <w:fldChar w:fldCharType="end"/>
      </w:r>
      <w:r w:rsidRPr="006650A4">
        <w:rPr>
          <w:snapToGrid w:val="0"/>
          <w:kern w:val="28"/>
        </w:rPr>
        <w:t xml:space="preserve"> to change from a cost company to an average schedule company.  </w:t>
      </w:r>
      <w:r w:rsidRPr="006650A4">
        <w:rPr>
          <w:i/>
          <w:iCs/>
          <w:snapToGrid w:val="0"/>
          <w:kern w:val="28"/>
        </w:rPr>
        <w:t>See</w:t>
      </w:r>
      <w:r w:rsidRPr="006650A4">
        <w:rPr>
          <w:snapToGrid w:val="0"/>
          <w:kern w:val="28"/>
        </w:rPr>
        <w:t> </w:t>
      </w:r>
      <w:r>
        <w:fldChar w:fldCharType="begin"/>
      </w:r>
      <w:r>
        <w:instrText xml:space="preserve"> HYPERLINK "https://1.next.westlaw.com/Link/Document/FullText?findType=L&amp;pubNum=1000547&amp;cite=47CFRS69.605&amp;originatingDoc=Ie12d838d708211dfa7ada84b8dc24cbf&amp;refType=RB&amp;originationContext=document&amp;transitionType=DocumentItem&amp;contextData=(sc.Search)" \l "co_pp_4b24000003ba5" </w:instrText>
      </w:r>
      <w:r>
        <w:fldChar w:fldCharType="separate"/>
      </w:r>
      <w:r w:rsidRPr="006650A4">
        <w:rPr>
          <w:snapToGrid w:val="0"/>
          <w:kern w:val="28"/>
        </w:rPr>
        <w:t>47 CFR § 69.605(c)</w:t>
      </w:r>
      <w:r>
        <w:fldChar w:fldCharType="end"/>
      </w:r>
      <w:r>
        <w:rPr>
          <w:snapToGrid w:val="0"/>
          <w:kern w:val="28"/>
        </w:rPr>
        <w:t>.</w:t>
      </w:r>
    </w:p>
  </w:footnote>
  <w:footnote w:id="8">
    <w:p w:rsidR="00016FA4" w:rsidRPr="00E20623" w:rsidP="00016FA4">
      <w:pPr>
        <w:pStyle w:val="FootnoteText"/>
      </w:pPr>
      <w:r w:rsidRPr="00CC4A75">
        <w:rPr>
          <w:rStyle w:val="FootnoteReference"/>
        </w:rPr>
        <w:footnoteRef/>
      </w:r>
      <w:r w:rsidRPr="00CC4A75">
        <w:t xml:space="preserve"> </w:t>
      </w:r>
      <w:r w:rsidRPr="003870E8">
        <w:rPr>
          <w:i/>
        </w:rPr>
        <w:t>Domestic 214 Application Filed for the Transfer of Control of Scott-Rice Telephone Co. from Allstream Business US, LLC to New Ulm Telecom, Inc.</w:t>
      </w:r>
      <w:r>
        <w:t xml:space="preserve">, WC Docket No. 18-68, Public Notice, DA 18-250 (rel. Mar. 14, 2018).  </w:t>
      </w:r>
      <w:r w:rsidRPr="00E20623">
        <w:t xml:space="preserve">    </w:t>
      </w:r>
    </w:p>
  </w:footnote>
  <w:footnote w:id="9">
    <w:p w:rsidR="00016FA4" w:rsidP="00016FA4">
      <w:pPr>
        <w:pStyle w:val="FootnoteText"/>
      </w:pPr>
      <w:r>
        <w:rPr>
          <w:rStyle w:val="FootnoteReference"/>
        </w:rPr>
        <w:footnoteRef/>
      </w:r>
      <w:r>
        <w:t xml:space="preserve"> </w:t>
      </w:r>
      <w:r w:rsidRPr="006650A4">
        <w:t xml:space="preserve">Universal Service Administrative Co., Tools, </w:t>
      </w:r>
      <w:r>
        <w:fldChar w:fldCharType="begin"/>
      </w:r>
      <w:r>
        <w:instrText xml:space="preserve"> HYPERLINK "https://www.usac.org/hc/tools/default.aspx" </w:instrText>
      </w:r>
      <w:r>
        <w:fldChar w:fldCharType="separate"/>
      </w:r>
      <w:r w:rsidRPr="00FF0304">
        <w:rPr>
          <w:rStyle w:val="Hyperlink"/>
        </w:rPr>
        <w:t>https://www.usac.org/hc/tools/default.aspx</w:t>
      </w:r>
      <w:r>
        <w:fldChar w:fldCharType="end"/>
      </w:r>
      <w:r w:rsidRPr="006650A4">
        <w:rPr>
          <w:rStyle w:val="Hyperlink"/>
          <w:color w:val="auto"/>
          <w:u w:val="none"/>
        </w:rPr>
        <w:t>.</w:t>
      </w:r>
      <w:r>
        <w:rPr>
          <w:rStyle w:val="Hyperlink"/>
          <w:color w:val="auto"/>
          <w:u w:val="none"/>
        </w:rPr>
        <w:t xml:space="preserve">  </w:t>
      </w:r>
    </w:p>
  </w:footnote>
  <w:footnote w:id="10">
    <w:p w:rsidR="00016FA4" w:rsidP="00016FA4">
      <w:pPr>
        <w:pStyle w:val="FootnoteText"/>
      </w:pPr>
      <w:r>
        <w:rPr>
          <w:rStyle w:val="FootnoteReference"/>
        </w:rPr>
        <w:footnoteRef/>
      </w:r>
      <w:r>
        <w:t xml:space="preserve"> </w:t>
      </w:r>
      <w:r w:rsidRPr="00547075">
        <w:rPr>
          <w:i/>
        </w:rPr>
        <w:t>A-CAM Public Notice</w:t>
      </w:r>
      <w:r>
        <w:t>,</w:t>
      </w:r>
      <w:r>
        <w:rPr>
          <w:i/>
        </w:rPr>
        <w:t xml:space="preserve"> </w:t>
      </w:r>
      <w:r>
        <w:t xml:space="preserve">32 FCC </w:t>
      </w:r>
      <w:r>
        <w:t>Rcd</w:t>
      </w:r>
      <w:r>
        <w:t xml:space="preserve"> at 845 (Attach.).  </w:t>
      </w:r>
      <w:r w:rsidRPr="006650A4">
        <w:t xml:space="preserve"> </w:t>
      </w:r>
    </w:p>
  </w:footnote>
  <w:footnote w:id="11">
    <w:p w:rsidR="00016FA4" w:rsidRPr="004444EF" w:rsidP="00016FA4">
      <w:pPr>
        <w:pStyle w:val="FootnoteText"/>
      </w:pPr>
      <w:r>
        <w:rPr>
          <w:rStyle w:val="FootnoteReference"/>
        </w:rPr>
        <w:footnoteRef/>
      </w:r>
      <w:r>
        <w:t xml:space="preserve"> </w:t>
      </w:r>
      <w:r w:rsidRPr="001761B2">
        <w:rPr>
          <w:i/>
          <w:szCs w:val="22"/>
        </w:rPr>
        <w:t>Domestic Section 214 Application Filed for the Transfer of Control of</w:t>
      </w:r>
      <w:r w:rsidRPr="001761B2">
        <w:rPr>
          <w:bCs/>
          <w:i/>
          <w:szCs w:val="22"/>
        </w:rPr>
        <w:t xml:space="preserve"> </w:t>
      </w:r>
      <w:r>
        <w:rPr>
          <w:bCs/>
          <w:i/>
          <w:szCs w:val="22"/>
        </w:rPr>
        <w:t xml:space="preserve">Peoples Mutual Telephone Company and Peoples Mutual </w:t>
      </w:r>
      <w:r>
        <w:rPr>
          <w:bCs/>
          <w:i/>
          <w:szCs w:val="22"/>
        </w:rPr>
        <w:t>Long Distance</w:t>
      </w:r>
      <w:r>
        <w:rPr>
          <w:bCs/>
          <w:i/>
          <w:szCs w:val="22"/>
        </w:rPr>
        <w:t xml:space="preserve"> Company to </w:t>
      </w:r>
      <w:r>
        <w:rPr>
          <w:bCs/>
          <w:i/>
          <w:szCs w:val="22"/>
        </w:rPr>
        <w:t>RiverStreet</w:t>
      </w:r>
      <w:r>
        <w:rPr>
          <w:bCs/>
          <w:i/>
          <w:szCs w:val="22"/>
        </w:rPr>
        <w:t xml:space="preserve"> Management Services, LLC, </w:t>
      </w:r>
      <w:r>
        <w:rPr>
          <w:bCs/>
          <w:szCs w:val="22"/>
        </w:rPr>
        <w:t>WC Docket No. 17-365, Public Notice, DA 18-48 (rel. Jan. 16, 2018)</w:t>
      </w:r>
      <w:r>
        <w:rPr>
          <w:color w:val="212121"/>
          <w:shd w:val="clear" w:color="auto" w:fill="FFFFFF"/>
        </w:rPr>
        <w:t>.</w:t>
      </w:r>
    </w:p>
  </w:footnote>
  <w:footnote w:id="12">
    <w:p w:rsidR="00016FA4" w:rsidP="00016FA4">
      <w:pPr>
        <w:pStyle w:val="FootnoteText"/>
      </w:pPr>
      <w:r>
        <w:rPr>
          <w:rStyle w:val="FootnoteReference"/>
        </w:rPr>
        <w:footnoteRef/>
      </w:r>
      <w:r>
        <w:t xml:space="preserve"> PMTC is regulated as a price cap company and receives Connect America Fund (CAF) Phase II model-based support.  CAM refers to the forward-looking model that calculates the cost of providing services in high cost areas and sets a fixed amount of support for price cap carriers serving those areas that is available through CAF.  </w:t>
      </w:r>
      <w:r w:rsidRPr="006650A4">
        <w:rPr>
          <w:i/>
        </w:rPr>
        <w:t>Connect America Fund et al.</w:t>
      </w:r>
      <w:r w:rsidRPr="006650A4">
        <w:t xml:space="preserve">, Report and Order and Further Notice of Proposed Rulemaking, 26 FCC </w:t>
      </w:r>
      <w:r w:rsidRPr="006650A4">
        <w:t>Rcd</w:t>
      </w:r>
      <w:r w:rsidRPr="006650A4">
        <w:t xml:space="preserve"> 17667, 176</w:t>
      </w:r>
      <w:r>
        <w:t>73-74</w:t>
      </w:r>
      <w:r w:rsidRPr="006650A4">
        <w:t>, para</w:t>
      </w:r>
      <w:r>
        <w:t>s</w:t>
      </w:r>
      <w:r w:rsidRPr="006650A4">
        <w:t xml:space="preserve">. </w:t>
      </w:r>
      <w:r>
        <w:t>20-24</w:t>
      </w:r>
      <w:r w:rsidRPr="006650A4">
        <w:t xml:space="preserve"> (2011) (</w:t>
      </w:r>
      <w:r w:rsidRPr="006650A4">
        <w:rPr>
          <w:i/>
        </w:rPr>
        <w:t xml:space="preserve">USF/ICC Transformation Order </w:t>
      </w:r>
      <w:r w:rsidRPr="006650A4">
        <w:t>and/or</w:t>
      </w:r>
      <w:r w:rsidRPr="006650A4">
        <w:rPr>
          <w:i/>
        </w:rPr>
        <w:t xml:space="preserve"> FNPRM</w:t>
      </w:r>
      <w:r w:rsidRPr="006650A4">
        <w:t xml:space="preserve">), </w:t>
      </w:r>
      <w:r w:rsidRPr="006650A4">
        <w:rPr>
          <w:i/>
          <w:iCs/>
        </w:rPr>
        <w:t>aff’d sub nom. In re FCC 11-161</w:t>
      </w:r>
      <w:r w:rsidRPr="006650A4">
        <w:t>, 753 F.3d 1015 (10th Cir. 2014)</w:t>
      </w:r>
      <w:r>
        <w:t xml:space="preserve">; </w:t>
      </w:r>
      <w:r w:rsidRPr="000837F0">
        <w:rPr>
          <w:i/>
          <w:iCs/>
          <w:snapToGrid w:val="0"/>
          <w:kern w:val="28"/>
        </w:rPr>
        <w:t>Connect</w:t>
      </w:r>
      <w:r w:rsidRPr="006650A4">
        <w:rPr>
          <w:i/>
          <w:iCs/>
          <w:snapToGrid w:val="0"/>
          <w:kern w:val="28"/>
        </w:rPr>
        <w:t xml:space="preserve"> America Fund et al</w:t>
      </w:r>
      <w:r w:rsidRPr="006650A4">
        <w:rPr>
          <w:snapToGrid w:val="0"/>
          <w:kern w:val="28"/>
        </w:rPr>
        <w:t xml:space="preserve">., WC Docket No. 10-90 et al., Report and Order et al., 29 FCC </w:t>
      </w:r>
      <w:r w:rsidRPr="006650A4">
        <w:rPr>
          <w:snapToGrid w:val="0"/>
          <w:kern w:val="28"/>
        </w:rPr>
        <w:t>Rcd</w:t>
      </w:r>
      <w:r w:rsidRPr="006650A4">
        <w:rPr>
          <w:snapToGrid w:val="0"/>
          <w:kern w:val="28"/>
        </w:rPr>
        <w:t xml:space="preserve"> 7051 (2014) (</w:t>
      </w:r>
      <w:r w:rsidRPr="006650A4">
        <w:rPr>
          <w:i/>
          <w:iCs/>
          <w:snapToGrid w:val="0"/>
          <w:kern w:val="28"/>
        </w:rPr>
        <w:t>April 2014 Connect America Order and/or FNPRM</w:t>
      </w:r>
      <w:r w:rsidRPr="006650A4">
        <w:rPr>
          <w:snapToGrid w:val="0"/>
          <w:kern w:val="28"/>
        </w:rPr>
        <w:t>)</w:t>
      </w:r>
      <w:r>
        <w:rPr>
          <w:snapToGrid w:val="0"/>
          <w:kern w:val="28"/>
        </w:rPr>
        <w:t xml:space="preserve">; Universal Service Administrative Co. (USAC) 2018 Second Quarter Filings, HCO1-High Cost Support Projected by State by Study Area, </w:t>
      </w:r>
      <w:r>
        <w:fldChar w:fldCharType="begin"/>
      </w:r>
      <w:r>
        <w:instrText xml:space="preserve"> HYPERLINK "https://www.usac.org/about/tools/fcc/filings/2018/q2.aspx" </w:instrText>
      </w:r>
      <w:r>
        <w:fldChar w:fldCharType="separate"/>
      </w:r>
      <w:r w:rsidRPr="00E73F78">
        <w:rPr>
          <w:rStyle w:val="Hyperlink"/>
          <w:snapToGrid w:val="0"/>
          <w:kern w:val="28"/>
        </w:rPr>
        <w:t>https://www.usac.org/about/tools/fcc/filings/2018/q2.aspx</w:t>
      </w:r>
      <w:r>
        <w:fldChar w:fldCharType="end"/>
      </w:r>
      <w:r>
        <w:rPr>
          <w:snapToGrid w:val="0"/>
          <w:kern w:val="28"/>
        </w:rPr>
        <w:t xml:space="preserve"> (last visited June 6, 2018).</w:t>
      </w:r>
      <w:r>
        <w:t xml:space="preserve"> </w:t>
      </w:r>
    </w:p>
  </w:footnote>
  <w:footnote w:id="13">
    <w:p w:rsidR="00016FA4" w:rsidP="00016FA4">
      <w:pPr>
        <w:pStyle w:val="FootnoteText"/>
      </w:pPr>
      <w:r>
        <w:rPr>
          <w:rStyle w:val="FootnoteReference"/>
        </w:rPr>
        <w:footnoteRef/>
      </w:r>
      <w:r>
        <w:t xml:space="preserve"> </w:t>
      </w:r>
      <w:r>
        <w:t>RiverStreet</w:t>
      </w:r>
      <w:r>
        <w:t xml:space="preserve"> also </w:t>
      </w:r>
      <w:r w:rsidRPr="001365A4">
        <w:rPr>
          <w:rFonts w:ascii="TimesNewRomanPSMT" w:hAnsi="TimesNewRomanPSMT" w:cs="TimesNewRomanPSMT"/>
          <w:szCs w:val="22"/>
        </w:rPr>
        <w:t xml:space="preserve">owns 100 percent of the issued and outstanding stock of three North Carolina incumbent LECs:  </w:t>
      </w:r>
      <w:r w:rsidRPr="001365A4">
        <w:rPr>
          <w:rFonts w:ascii="TimesNewRomanPSMT" w:hAnsi="TimesNewRomanPSMT" w:cs="TimesNewRomanPSMT"/>
          <w:szCs w:val="22"/>
        </w:rPr>
        <w:t>Barnardsville</w:t>
      </w:r>
      <w:r w:rsidRPr="001365A4">
        <w:rPr>
          <w:rFonts w:ascii="TimesNewRomanPSMT" w:hAnsi="TimesNewRomanPSMT" w:cs="TimesNewRomanPSMT"/>
          <w:szCs w:val="22"/>
        </w:rPr>
        <w:t xml:space="preserve"> Telephone Company, Inc., Saluda Mountain Telephone Company, Inc., and Service Telephone Company, Inc.</w:t>
      </w:r>
    </w:p>
  </w:footnote>
  <w:footnote w:id="14">
    <w:p w:rsidR="00016FA4" w:rsidP="00016FA4">
      <w:pPr>
        <w:pStyle w:val="FootnoteText"/>
      </w:pPr>
      <w:r>
        <w:rPr>
          <w:rStyle w:val="FootnoteReference"/>
        </w:rPr>
        <w:footnoteRef/>
      </w:r>
      <w:r>
        <w:t xml:space="preserve"> </w:t>
      </w:r>
      <w:r w:rsidRPr="006650A4">
        <w:t xml:space="preserve">Universal Service Administrative Co., Tools, </w:t>
      </w:r>
      <w:r>
        <w:fldChar w:fldCharType="begin"/>
      </w:r>
      <w:r>
        <w:instrText xml:space="preserve"> HYPERLINK "https://www.usac.org/hc/tools/default.aspx" </w:instrText>
      </w:r>
      <w:r>
        <w:fldChar w:fldCharType="separate"/>
      </w:r>
      <w:r w:rsidRPr="00FF0304">
        <w:rPr>
          <w:rStyle w:val="Hyperlink"/>
        </w:rPr>
        <w:t>https://www.usac.org/hc/tools/default.aspx</w:t>
      </w:r>
      <w:r>
        <w:fldChar w:fldCharType="end"/>
      </w:r>
      <w:r w:rsidRPr="006650A4">
        <w:rPr>
          <w:rStyle w:val="Hyperlink"/>
          <w:color w:val="auto"/>
          <w:u w:val="none"/>
        </w:rPr>
        <w:t>.</w:t>
      </w:r>
    </w:p>
  </w:footnote>
  <w:footnote w:id="15">
    <w:p w:rsidR="00016FA4" w:rsidRPr="004444EF" w:rsidP="00016FA4">
      <w:pPr>
        <w:pStyle w:val="FootnoteText"/>
      </w:pPr>
      <w:r>
        <w:rPr>
          <w:rStyle w:val="FootnoteReference"/>
        </w:rPr>
        <w:footnoteRef/>
      </w:r>
      <w:r>
        <w:t xml:space="preserve"> </w:t>
      </w:r>
      <w:r w:rsidRPr="001761B2">
        <w:rPr>
          <w:i/>
          <w:szCs w:val="22"/>
        </w:rPr>
        <w:t>Domestic Section 214 Application Filed for the Transfer of Control of</w:t>
      </w:r>
      <w:r w:rsidRPr="001761B2">
        <w:rPr>
          <w:bCs/>
          <w:i/>
          <w:szCs w:val="22"/>
        </w:rPr>
        <w:t xml:space="preserve"> </w:t>
      </w:r>
      <w:r>
        <w:rPr>
          <w:bCs/>
          <w:i/>
          <w:szCs w:val="22"/>
        </w:rPr>
        <w:t xml:space="preserve">Ellerbe Telephone Company, Inc. to </w:t>
      </w:r>
      <w:r>
        <w:rPr>
          <w:bCs/>
          <w:i/>
          <w:szCs w:val="22"/>
        </w:rPr>
        <w:t>RiverStreet</w:t>
      </w:r>
      <w:r>
        <w:rPr>
          <w:bCs/>
          <w:i/>
          <w:szCs w:val="22"/>
        </w:rPr>
        <w:t xml:space="preserve"> Management Services, LLC</w:t>
      </w:r>
      <w:r w:rsidRPr="00E363C3">
        <w:t>,</w:t>
      </w:r>
      <w:r w:rsidRPr="001761B2">
        <w:t xml:space="preserve"> </w:t>
      </w:r>
      <w:r>
        <w:t xml:space="preserve">WC Docket No. 18-94, </w:t>
      </w:r>
      <w:r w:rsidRPr="004444EF">
        <w:t xml:space="preserve">Public Notice, </w:t>
      </w:r>
      <w:r>
        <w:t>DA 18-347</w:t>
      </w:r>
      <w:r w:rsidRPr="004444EF">
        <w:t xml:space="preserve"> (</w:t>
      </w:r>
      <w:r>
        <w:t>rel. Apr. 6, 2018)</w:t>
      </w:r>
      <w:r>
        <w:rPr>
          <w:color w:val="212121"/>
          <w:shd w:val="clear" w:color="auto" w:fill="FFFFFF"/>
        </w:rPr>
        <w:t>.</w:t>
      </w:r>
    </w:p>
  </w:footnote>
  <w:footnote w:id="16">
    <w:p w:rsidR="00016FA4" w:rsidP="00016FA4">
      <w:pPr>
        <w:pStyle w:val="FootnoteText"/>
      </w:pPr>
      <w:r>
        <w:rPr>
          <w:rStyle w:val="FootnoteReference"/>
        </w:rPr>
        <w:footnoteRef/>
      </w:r>
      <w:r>
        <w:t xml:space="preserve"> </w:t>
      </w:r>
      <w:r w:rsidRPr="00804B0E">
        <w:rPr>
          <w:szCs w:val="22"/>
        </w:rPr>
        <w:t xml:space="preserve">Ellerbe </w:t>
      </w:r>
      <w:r>
        <w:rPr>
          <w:szCs w:val="22"/>
        </w:rPr>
        <w:t xml:space="preserve">wholly owns ETCOM, which </w:t>
      </w:r>
      <w:r w:rsidRPr="00804B0E">
        <w:rPr>
          <w:szCs w:val="22"/>
        </w:rPr>
        <w:t>provides interexchange services and competitive LEC service.</w:t>
      </w:r>
    </w:p>
  </w:footnote>
  <w:footnote w:id="17">
    <w:p w:rsidR="00016FA4" w:rsidP="00016FA4">
      <w:pPr>
        <w:pStyle w:val="FootnoteText"/>
      </w:pPr>
      <w:r>
        <w:rPr>
          <w:rStyle w:val="FootnoteReference"/>
        </w:rPr>
        <w:footnoteRef/>
      </w:r>
      <w:r>
        <w:t xml:space="preserve"> </w:t>
      </w:r>
      <w:r w:rsidRPr="006650A4">
        <w:t xml:space="preserve">Universal Service Administrative Co., Tools, </w:t>
      </w:r>
      <w:r>
        <w:fldChar w:fldCharType="begin"/>
      </w:r>
      <w:r>
        <w:instrText xml:space="preserve"> HYPERLINK "https://www.usac.org/hc/tools/default.aspx" </w:instrText>
      </w:r>
      <w:r>
        <w:fldChar w:fldCharType="separate"/>
      </w:r>
      <w:r w:rsidRPr="00FF0304">
        <w:rPr>
          <w:rStyle w:val="Hyperlink"/>
        </w:rPr>
        <w:t>https://www.usac.org/hc/tools/default.aspx</w:t>
      </w:r>
      <w:r>
        <w:fldChar w:fldCharType="end"/>
      </w:r>
      <w:r w:rsidRPr="006650A4">
        <w:rPr>
          <w:rStyle w:val="Hyperlink"/>
          <w:color w:val="auto"/>
          <w:u w:val="none"/>
        </w:rPr>
        <w:t>.</w:t>
      </w:r>
    </w:p>
  </w:footnote>
  <w:footnote w:id="18">
    <w:p w:rsidR="00016FA4" w:rsidRPr="004444EF" w:rsidP="00016FA4">
      <w:pPr>
        <w:pStyle w:val="FootnoteText"/>
      </w:pPr>
      <w:r>
        <w:rPr>
          <w:rStyle w:val="FootnoteReference"/>
        </w:rPr>
        <w:footnoteRef/>
      </w:r>
      <w:r>
        <w:t xml:space="preserve"> </w:t>
      </w:r>
      <w:r w:rsidRPr="001761B2">
        <w:rPr>
          <w:i/>
          <w:szCs w:val="22"/>
        </w:rPr>
        <w:t>Domestic Section 214 Application Filed for the Transfer of Control of</w:t>
      </w:r>
      <w:r w:rsidRPr="001761B2">
        <w:rPr>
          <w:bCs/>
          <w:i/>
          <w:szCs w:val="22"/>
        </w:rPr>
        <w:t xml:space="preserve"> </w:t>
      </w:r>
      <w:r>
        <w:rPr>
          <w:bCs/>
          <w:i/>
          <w:szCs w:val="22"/>
        </w:rPr>
        <w:t>Tri-County Telephone Membership Corporation to Wilkes Telephone Membership Corporation</w:t>
      </w:r>
      <w:r>
        <w:rPr>
          <w:bCs/>
          <w:szCs w:val="22"/>
        </w:rPr>
        <w:t xml:space="preserve">, WC Docket No. 18-95, </w:t>
      </w:r>
      <w:r w:rsidRPr="004444EF">
        <w:t xml:space="preserve">Public Notice, </w:t>
      </w:r>
      <w:r>
        <w:t xml:space="preserve">DA 18-348 </w:t>
      </w:r>
      <w:r w:rsidRPr="004444EF">
        <w:t>(</w:t>
      </w:r>
      <w:r>
        <w:t>rel. Apr. 6, 2</w:t>
      </w:r>
      <w:r w:rsidRPr="004444EF">
        <w:t>01</w:t>
      </w:r>
      <w:r>
        <w:t>8</w:t>
      </w:r>
      <w:r w:rsidRPr="004444EF">
        <w:t>)</w:t>
      </w:r>
      <w:r>
        <w:rPr>
          <w:color w:val="212121"/>
          <w:shd w:val="clear" w:color="auto" w:fill="FFFFFF"/>
        </w:rPr>
        <w:t>.</w:t>
      </w:r>
    </w:p>
  </w:footnote>
  <w:footnote w:id="19">
    <w:p w:rsidR="00016FA4" w:rsidP="00016FA4">
      <w:pPr>
        <w:pStyle w:val="FootnoteText"/>
      </w:pPr>
      <w:r>
        <w:rPr>
          <w:rStyle w:val="FootnoteReference"/>
        </w:rPr>
        <w:footnoteRef/>
      </w:r>
      <w:r>
        <w:t xml:space="preserve"> </w:t>
      </w:r>
      <w:r w:rsidRPr="006650A4">
        <w:t xml:space="preserve">Universal Service Administrative Co., Tools, </w:t>
      </w:r>
      <w:r>
        <w:fldChar w:fldCharType="begin"/>
      </w:r>
      <w:r>
        <w:instrText xml:space="preserve"> HYPERLINK "https://www.usac.org/hc/tools/default.aspx" </w:instrText>
      </w:r>
      <w:r>
        <w:fldChar w:fldCharType="separate"/>
      </w:r>
      <w:r w:rsidRPr="00A04201">
        <w:rPr>
          <w:rStyle w:val="Hyperlink"/>
        </w:rPr>
        <w:t>https://www.usac.org/hc/tools/default.aspx</w:t>
      </w:r>
      <w:r>
        <w:fldChar w:fldCharType="end"/>
      </w:r>
      <w:r>
        <w:t>.</w:t>
      </w:r>
    </w:p>
  </w:footnote>
  <w:footnote w:id="20">
    <w:p w:rsidR="00016FA4" w:rsidRPr="00AC00B7" w:rsidP="00016FA4">
      <w:pPr>
        <w:pStyle w:val="FootnoteText"/>
      </w:pPr>
      <w:r w:rsidRPr="00CC4A75">
        <w:rPr>
          <w:rStyle w:val="FootnoteReference"/>
        </w:rPr>
        <w:footnoteRef/>
      </w:r>
      <w:r w:rsidRPr="00CC4A75">
        <w:t xml:space="preserve"> </w:t>
      </w:r>
      <w:r w:rsidRPr="003870E8">
        <w:rPr>
          <w:i/>
        </w:rPr>
        <w:t xml:space="preserve">Domestic 214 Application Filed for the </w:t>
      </w:r>
      <w:r>
        <w:rPr>
          <w:i/>
        </w:rPr>
        <w:t>Acquisition of Certain Assets of Coon Creek Telephone Company and Coon Creek Telecommunications Corp. by Shellsburg Cablevision, Inc.</w:t>
      </w:r>
      <w:r>
        <w:t xml:space="preserve">, WC Docket No. 18-177, Public Notice, DA 18-584 (rel. June 5, 2018).  </w:t>
      </w:r>
    </w:p>
  </w:footnote>
  <w:footnote w:id="21">
    <w:p w:rsidR="00016FA4" w:rsidP="00016FA4">
      <w:pPr>
        <w:pStyle w:val="FootnoteText"/>
      </w:pPr>
      <w:r>
        <w:rPr>
          <w:rStyle w:val="FootnoteReference"/>
        </w:rPr>
        <w:footnoteRef/>
      </w:r>
      <w:r>
        <w:t xml:space="preserve"> </w:t>
      </w:r>
      <w:r w:rsidRPr="00547075">
        <w:rPr>
          <w:i/>
        </w:rPr>
        <w:t>A-CAM Public Notice</w:t>
      </w:r>
      <w:r>
        <w:t>,</w:t>
      </w:r>
      <w:r>
        <w:rPr>
          <w:i/>
        </w:rPr>
        <w:t xml:space="preserve"> </w:t>
      </w:r>
      <w:r>
        <w:t xml:space="preserve">32 FCC </w:t>
      </w:r>
      <w:r>
        <w:t>Rcd</w:t>
      </w:r>
      <w:r>
        <w:t xml:space="preserve"> at 845 (Attach.).  </w:t>
      </w:r>
      <w:r w:rsidRPr="006650A4">
        <w:t xml:space="preserve"> </w:t>
      </w:r>
    </w:p>
  </w:footnote>
  <w:footnote w:id="22">
    <w:p w:rsidR="00016FA4" w:rsidP="00016FA4">
      <w:pPr>
        <w:pStyle w:val="FootnoteText"/>
      </w:pPr>
      <w:r>
        <w:rPr>
          <w:rStyle w:val="FootnoteReference"/>
        </w:rPr>
        <w:footnoteRef/>
      </w:r>
      <w:r>
        <w:t xml:space="preserve"> </w:t>
      </w:r>
      <w:r w:rsidRPr="006650A4">
        <w:t xml:space="preserve">Universal Service Administrative Co., Tools, </w:t>
      </w:r>
      <w:r>
        <w:fldChar w:fldCharType="begin"/>
      </w:r>
      <w:r>
        <w:instrText xml:space="preserve"> HYPERLINK "https://www.usac.org/hc/tools/default.aspx" </w:instrText>
      </w:r>
      <w:r>
        <w:fldChar w:fldCharType="separate"/>
      </w:r>
      <w:r w:rsidRPr="00FF0304">
        <w:rPr>
          <w:rStyle w:val="Hyperlink"/>
        </w:rPr>
        <w:t>https://www.usac.org/hc/tools/default.aspx</w:t>
      </w:r>
      <w:r>
        <w:fldChar w:fldCharType="end"/>
      </w:r>
      <w:r w:rsidRPr="006650A4">
        <w:rPr>
          <w:rStyle w:val="Hyperlink"/>
          <w:color w:val="auto"/>
          <w:u w:val="none"/>
        </w:rPr>
        <w:t>.</w:t>
      </w:r>
      <w:r>
        <w:rPr>
          <w:rStyle w:val="Hyperlink"/>
          <w:color w:val="auto"/>
          <w:u w:val="none"/>
        </w:rPr>
        <w:t xml:space="preserve">  </w:t>
      </w:r>
    </w:p>
  </w:footnote>
  <w:footnote w:id="23">
    <w:p w:rsidR="00016FA4" w:rsidP="00016FA4">
      <w:pPr>
        <w:pStyle w:val="FootnoteText"/>
      </w:pPr>
      <w:r>
        <w:rPr>
          <w:rStyle w:val="FootnoteReference"/>
        </w:rPr>
        <w:footnoteRef/>
      </w:r>
      <w:r>
        <w:t xml:space="preserve"> Ellerbe and TTMC receive cost-based support and are being acquired by </w:t>
      </w:r>
      <w:r>
        <w:t>RiverStreet</w:t>
      </w:r>
      <w:r>
        <w:t xml:space="preserve">/Wilkes, which is also a cost-based support company.  We are reviewing </w:t>
      </w:r>
      <w:r>
        <w:t>RiverStreet</w:t>
      </w:r>
      <w:r>
        <w:t xml:space="preserve">/Wilkes’s acquisition of Ellerbe and TMC jointly with </w:t>
      </w:r>
      <w:r>
        <w:t>RiverStreet’s</w:t>
      </w:r>
      <w:r>
        <w:t xml:space="preserve"> acquisition of PMTC, a fixed-support company, because all three companies will ultimately be affiliated with each other.  </w:t>
      </w:r>
    </w:p>
  </w:footnote>
  <w:footnote w:id="24">
    <w:p w:rsidR="00016FA4" w:rsidP="00016FA4">
      <w:pPr>
        <w:pStyle w:val="FootnoteText"/>
      </w:pPr>
      <w:r>
        <w:rPr>
          <w:rStyle w:val="FootnoteReference"/>
        </w:rPr>
        <w:footnoteRef/>
      </w:r>
      <w:r>
        <w:t xml:space="preserve"> </w:t>
      </w:r>
      <w:r w:rsidRPr="001B1924">
        <w:rPr>
          <w:i/>
        </w:rPr>
        <w:t xml:space="preserve">Joint Application of W. Mansfield Jennings Limited Partnership and </w:t>
      </w:r>
      <w:r w:rsidRPr="001B1924">
        <w:rPr>
          <w:i/>
        </w:rPr>
        <w:t>Hargray</w:t>
      </w:r>
      <w:r w:rsidRPr="001B1924">
        <w:rPr>
          <w:i/>
        </w:rPr>
        <w:t xml:space="preserve"> Communications Group, Inc., for Consent to the Transfer of Control of </w:t>
      </w:r>
      <w:r w:rsidRPr="001B1924">
        <w:rPr>
          <w:i/>
        </w:rPr>
        <w:t>ComSouth</w:t>
      </w:r>
      <w:r w:rsidRPr="001B1924">
        <w:rPr>
          <w:i/>
        </w:rPr>
        <w:t xml:space="preserve"> Corporation Pursuant to Section 214 of the Communications Act of 1934</w:t>
      </w:r>
      <w:r>
        <w:t>, WC Docket 18-52, Memorandum Opinion and Order, FCC 18-62 at 6, para. 19 (rel. May 11, 2018) (</w:t>
      </w:r>
      <w:bookmarkStart w:id="8" w:name="_Hlk515877486"/>
      <w:r w:rsidRPr="0017294E">
        <w:rPr>
          <w:i/>
        </w:rPr>
        <w:t>Hargray</w:t>
      </w:r>
      <w:r w:rsidRPr="0017294E">
        <w:rPr>
          <w:i/>
        </w:rPr>
        <w:t>/</w:t>
      </w:r>
      <w:r w:rsidRPr="0017294E">
        <w:rPr>
          <w:i/>
        </w:rPr>
        <w:t>ComSouth</w:t>
      </w:r>
      <w:r w:rsidRPr="0017294E">
        <w:rPr>
          <w:i/>
        </w:rPr>
        <w:t xml:space="preserve"> Order</w:t>
      </w:r>
      <w:bookmarkEnd w:id="8"/>
      <w:r>
        <w:t>).</w:t>
      </w:r>
    </w:p>
  </w:footnote>
  <w:footnote w:id="25">
    <w:p w:rsidR="00016FA4" w:rsidP="00016FA4">
      <w:pPr>
        <w:pStyle w:val="FootnoteText"/>
      </w:pPr>
      <w:r>
        <w:rPr>
          <w:rStyle w:val="FootnoteReference"/>
        </w:rPr>
        <w:footnoteRef/>
      </w:r>
      <w:r>
        <w:t xml:space="preserve"> </w:t>
      </w:r>
      <w:r>
        <w:rPr>
          <w:i/>
        </w:rPr>
        <w:t>Id</w:t>
      </w:r>
      <w:r>
        <w:t>. at para. 20.</w:t>
      </w:r>
    </w:p>
  </w:footnote>
  <w:footnote w:id="26">
    <w:p w:rsidR="00016FA4" w:rsidRPr="006650A4" w:rsidP="00016FA4">
      <w:pPr>
        <w:pStyle w:val="FootnoteText"/>
      </w:pPr>
      <w:r w:rsidRPr="006650A4">
        <w:rPr>
          <w:rStyle w:val="FootnoteReference"/>
        </w:rPr>
        <w:footnoteRef/>
      </w:r>
      <w:r w:rsidRPr="006650A4">
        <w:t xml:space="preserve"> </w:t>
      </w:r>
      <w:r>
        <w:rPr>
          <w:i/>
        </w:rPr>
        <w:t>Id</w:t>
      </w:r>
      <w:r>
        <w:t xml:space="preserve">. at paras. 26-31.  </w:t>
      </w:r>
    </w:p>
  </w:footnote>
  <w:footnote w:id="27">
    <w:p w:rsidR="00016FA4" w:rsidP="00016FA4">
      <w:pPr>
        <w:pStyle w:val="FootnoteText"/>
      </w:pPr>
      <w:r>
        <w:rPr>
          <w:rStyle w:val="FootnoteReference"/>
        </w:rPr>
        <w:footnoteRef/>
      </w:r>
      <w:r>
        <w:t xml:space="preserve"> </w:t>
      </w:r>
      <w:r w:rsidRPr="00217407">
        <w:rPr>
          <w:i/>
        </w:rPr>
        <w:t>See</w:t>
      </w:r>
      <w:r>
        <w:t xml:space="preserve"> 47 U.S.C. 153(1).</w:t>
      </w:r>
    </w:p>
  </w:footnote>
  <w:footnote w:id="28">
    <w:p w:rsidR="00016FA4" w:rsidRPr="00FA2ECF" w:rsidP="00016FA4">
      <w:pPr>
        <w:pStyle w:val="FootnoteText"/>
      </w:pPr>
      <w:r>
        <w:rPr>
          <w:rStyle w:val="FootnoteReference"/>
        </w:rPr>
        <w:footnoteRef/>
      </w:r>
      <w:r>
        <w:t xml:space="preserve"> </w:t>
      </w:r>
      <w:r w:rsidRPr="0017294E">
        <w:rPr>
          <w:i/>
        </w:rPr>
        <w:t>Hargray</w:t>
      </w:r>
      <w:r w:rsidRPr="0017294E">
        <w:rPr>
          <w:i/>
        </w:rPr>
        <w:t>/</w:t>
      </w:r>
      <w:r w:rsidRPr="0017294E">
        <w:rPr>
          <w:i/>
        </w:rPr>
        <w:t>ComSouth</w:t>
      </w:r>
      <w:r w:rsidRPr="0017294E">
        <w:rPr>
          <w:i/>
        </w:rPr>
        <w:t xml:space="preserve"> Order</w:t>
      </w:r>
      <w:r>
        <w:t xml:space="preserve"> at para. 27.</w:t>
      </w:r>
      <w:r w:rsidRPr="00FA2ECF">
        <w:t xml:space="preserve"> </w:t>
      </w:r>
      <w:r>
        <w:t xml:space="preserve"> Thus, for example, if the post-consummation company has three rate-of-return affiliates, the averaged prior-three-years combined operating expense would serve as a cap for those affiliates’ operating expenses.  </w:t>
      </w:r>
      <w:r w:rsidRPr="00F23A5B">
        <w:t xml:space="preserve">Capping operating expenses in this way will help ensure, without being unnecessarily burdensome, that the combined entity does not receive additional or inflated universal service support merely because of cost accounting that shifts costs from </w:t>
      </w:r>
      <w:r>
        <w:t xml:space="preserve">the affiliates receiving fixed support (such as CAM or A-CAM support) to the affiliates receiving cost-based support.  </w:t>
      </w:r>
      <w:r>
        <w:rPr>
          <w:i/>
        </w:rPr>
        <w:t>Id</w:t>
      </w:r>
      <w:r>
        <w:t>.</w:t>
      </w:r>
    </w:p>
  </w:footnote>
  <w:footnote w:id="29">
    <w:p w:rsidR="00016FA4" w:rsidP="00016FA4">
      <w:pPr>
        <w:pStyle w:val="FootnoteText"/>
      </w:pPr>
      <w:r>
        <w:rPr>
          <w:rStyle w:val="FootnoteReference"/>
        </w:rPr>
        <w:footnoteRef/>
      </w:r>
      <w:r>
        <w:t xml:space="preserve"> </w:t>
      </w:r>
      <w:r>
        <w:rPr>
          <w:i/>
        </w:rPr>
        <w:t>Id</w:t>
      </w:r>
      <w:r>
        <w:t>. at para. 28.</w:t>
      </w:r>
    </w:p>
  </w:footnote>
  <w:footnote w:id="30">
    <w:p w:rsidR="00016FA4" w:rsidP="00016FA4">
      <w:pPr>
        <w:pStyle w:val="FootnoteText"/>
      </w:pPr>
      <w:r w:rsidRPr="00EF3201">
        <w:rPr>
          <w:rStyle w:val="FootnoteReference"/>
        </w:rPr>
        <w:footnoteRef/>
      </w:r>
      <w:r w:rsidRPr="00EF3201">
        <w:t xml:space="preserve"> </w:t>
      </w:r>
      <w:r w:rsidRPr="00EF3201">
        <w:rPr>
          <w:i/>
        </w:rPr>
        <w:t>Id.</w:t>
      </w:r>
      <w:r>
        <w:t xml:space="preserve"> </w:t>
      </w:r>
    </w:p>
  </w:footnote>
  <w:footnote w:id="31">
    <w:p w:rsidR="00016FA4" w:rsidP="00016FA4">
      <w:pPr>
        <w:pStyle w:val="FootnoteText"/>
      </w:pPr>
      <w:r>
        <w:rPr>
          <w:rStyle w:val="FootnoteReference"/>
        </w:rPr>
        <w:footnoteRef/>
      </w:r>
      <w:r>
        <w:t xml:space="preserve"> </w:t>
      </w:r>
      <w:r w:rsidRPr="00EF3201">
        <w:rPr>
          <w:i/>
        </w:rPr>
        <w:t>Id.</w:t>
      </w:r>
    </w:p>
  </w:footnote>
  <w:footnote w:id="32">
    <w:p w:rsidR="00016FA4" w:rsidP="00016FA4">
      <w:pPr>
        <w:pStyle w:val="FootnoteText"/>
      </w:pPr>
      <w:r>
        <w:rPr>
          <w:rStyle w:val="FootnoteReference"/>
        </w:rPr>
        <w:footnoteRef/>
      </w:r>
      <w:r>
        <w:t xml:space="preserve"> </w:t>
      </w:r>
      <w:r>
        <w:rPr>
          <w:i/>
        </w:rPr>
        <w:t>Id</w:t>
      </w:r>
      <w:r>
        <w:t xml:space="preserve"> at n.72. </w:t>
      </w:r>
    </w:p>
  </w:footnote>
  <w:footnote w:id="33">
    <w:p w:rsidR="00016FA4" w:rsidP="00016FA4">
      <w:pPr>
        <w:pStyle w:val="FootnoteText"/>
      </w:pPr>
      <w:r>
        <w:rPr>
          <w:rStyle w:val="FootnoteReference"/>
        </w:rPr>
        <w:footnoteRef/>
      </w:r>
      <w:r>
        <w:t xml:space="preserve"> If it has not previously done so, the newly converted cost company must submit its prior three years of operating expense data to NECA.  NECA will then (1) validate and calculate that company’s average operating expense for those three years and (2) combine this three-year averaged capped operating expense with the current year’s inflation-adjusted operating expense data of any other affiliated cost companies to calculate the new total combined operating expense at which the newly converted and other cost-company affiliates will be capped.  The new combined, capped operating expense will then be applied to determine HCLS and CAF-BLS as described in the paragraph above.  If the actual three-year operating expense average cannot be calculated for the newly converted cost company, NECA, in consultation with the Bureau, will use estimates based on NECA’s average schedule support formula.  </w:t>
      </w:r>
      <w:r w:rsidRPr="003870E8">
        <w:rPr>
          <w:i/>
        </w:rPr>
        <w:t>See id</w:t>
      </w:r>
      <w:r>
        <w:rPr>
          <w:i/>
        </w:rPr>
        <w:t>.</w:t>
      </w:r>
      <w:r>
        <w:t xml:space="preserve"> (“</w:t>
      </w:r>
      <w:r w:rsidRPr="00E50868">
        <w:t xml:space="preserve">Under the condition, we permit </w:t>
      </w:r>
      <w:r>
        <w:t>‘</w:t>
      </w:r>
      <w:r w:rsidRPr="00E50868">
        <w:t>average schedule companies</w:t>
      </w:r>
      <w:r>
        <w:t>’</w:t>
      </w:r>
      <w:r w:rsidRPr="00E50868">
        <w:t xml:space="preserve"> to estimate universal service support pursuant to a formula developed</w:t>
      </w:r>
      <w:r w:rsidRPr="0049576E">
        <w:t xml:space="preserve"> by the </w:t>
      </w:r>
      <w:r w:rsidRPr="0049576E">
        <w:rPr>
          <w:rFonts w:eastAsia="Calibri"/>
        </w:rPr>
        <w:t>National Exchange Carrier Association (NECA)</w:t>
      </w:r>
      <w:r>
        <w:rPr>
          <w:rFonts w:eastAsia="Calibri"/>
        </w:rPr>
        <w:t>.”).</w:t>
      </w:r>
    </w:p>
  </w:footnote>
  <w:footnote w:id="34">
    <w:p w:rsidR="00016FA4" w:rsidRPr="006650A4" w:rsidP="00016FA4">
      <w:pPr>
        <w:pStyle w:val="FootnoteText"/>
      </w:pPr>
      <w:r w:rsidRPr="006650A4">
        <w:rPr>
          <w:rStyle w:val="FootnoteReference"/>
        </w:rPr>
        <w:footnoteRef/>
      </w:r>
      <w:r w:rsidRPr="006650A4">
        <w:t xml:space="preserve"> </w:t>
      </w:r>
      <w:r>
        <w:t>The Commission has</w:t>
      </w:r>
      <w:r w:rsidRPr="006650A4">
        <w:t xml:space="preserve"> f</w:t>
      </w:r>
      <w:r>
        <w:t>oun</w:t>
      </w:r>
      <w:r w:rsidRPr="006650A4">
        <w:t>d seven years to be a</w:t>
      </w:r>
      <w:r>
        <w:t xml:space="preserve">n appropriate period over which </w:t>
      </w:r>
      <w:r w:rsidRPr="006650A4">
        <w:t>to monitor enforcement of the condition and to ensure that the combined entity</w:t>
      </w:r>
      <w:r>
        <w:t>, which will continue to receive support,</w:t>
      </w:r>
      <w:r w:rsidRPr="006650A4">
        <w:t xml:space="preserve"> does not shift costs from year-to-year</w:t>
      </w:r>
      <w:r>
        <w:t xml:space="preserve">.  </w:t>
      </w:r>
      <w:r>
        <w:rPr>
          <w:i/>
        </w:rPr>
        <w:t>Id</w:t>
      </w:r>
      <w:r>
        <w:t xml:space="preserve">. at 11, para. 29.  </w:t>
      </w:r>
      <w:r w:rsidRPr="006650A4">
        <w:t xml:space="preserve">The cap will not apply if the </w:t>
      </w:r>
      <w:r>
        <w:t xml:space="preserve">parties do not consummate the </w:t>
      </w:r>
      <w:r w:rsidRPr="006650A4">
        <w:t>proposed transaction.</w:t>
      </w:r>
    </w:p>
  </w:footnote>
  <w:footnote w:id="35">
    <w:p w:rsidR="00016FA4" w:rsidRPr="00F47C24" w:rsidP="00016FA4">
      <w:pPr>
        <w:rPr>
          <w:snapToGrid/>
          <w:kern w:val="0"/>
          <w:sz w:val="20"/>
        </w:rPr>
      </w:pPr>
      <w:r>
        <w:rPr>
          <w:rStyle w:val="FootnoteReference"/>
        </w:rPr>
        <w:footnoteRef/>
      </w:r>
      <w:r>
        <w:t xml:space="preserve"> </w:t>
      </w:r>
      <w:r w:rsidRPr="00F47C24">
        <w:rPr>
          <w:sz w:val="20"/>
        </w:rPr>
        <w:t>47 CFR § 63.03(b).  The a</w:t>
      </w:r>
      <w:r w:rsidRPr="00B9341E">
        <w:rPr>
          <w:sz w:val="20"/>
        </w:rPr>
        <w:t>pplicants in these proceeding</w:t>
      </w:r>
      <w:r>
        <w:rPr>
          <w:sz w:val="20"/>
        </w:rPr>
        <w:t>s</w:t>
      </w:r>
      <w:r w:rsidRPr="00B9341E">
        <w:rPr>
          <w:sz w:val="20"/>
        </w:rPr>
        <w:t xml:space="preserve"> provide incumbent LEC services in their respective territories.  Within 30 days of closing the proposed transactions, they must </w:t>
      </w:r>
      <w:r>
        <w:rPr>
          <w:sz w:val="20"/>
        </w:rPr>
        <w:t xml:space="preserve">notify </w:t>
      </w:r>
      <w:r w:rsidRPr="00B9341E">
        <w:rPr>
          <w:sz w:val="20"/>
        </w:rPr>
        <w:t>USAC</w:t>
      </w:r>
      <w:r w:rsidRPr="00585ADA">
        <w:rPr>
          <w:sz w:val="20"/>
        </w:rPr>
        <w:t xml:space="preserve"> so that it can make any appropriate changes to the High Cost Universal Broadband (HUBB) on-line location reporting portal for universal service recipients.</w:t>
      </w:r>
    </w:p>
    <w:p w:rsidR="00016FA4" w:rsidP="00016F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5D795C">
      <w:rPr>
        <w:b/>
      </w:rPr>
      <w:t>DA 18-742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0"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0"/>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95C"/>
    <w:pPr>
      <w:widowControl w:val="0"/>
    </w:pPr>
    <w:rPr>
      <w:snapToGrid w:val="0"/>
      <w:kern w:val="28"/>
      <w:sz w:val="22"/>
    </w:rPr>
  </w:style>
  <w:style w:type="paragraph" w:styleId="Heading1">
    <w:name w:val="heading 1"/>
    <w:basedOn w:val="Normal"/>
    <w:next w:val="ParaNum"/>
    <w:qFormat/>
    <w:rsid w:val="005D79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795C"/>
    <w:pPr>
      <w:keepNext/>
      <w:numPr>
        <w:ilvl w:val="1"/>
        <w:numId w:val="3"/>
      </w:numPr>
      <w:spacing w:after="120"/>
      <w:outlineLvl w:val="1"/>
    </w:pPr>
    <w:rPr>
      <w:b/>
    </w:rPr>
  </w:style>
  <w:style w:type="paragraph" w:styleId="Heading3">
    <w:name w:val="heading 3"/>
    <w:basedOn w:val="Normal"/>
    <w:next w:val="ParaNum"/>
    <w:qFormat/>
    <w:rsid w:val="005D795C"/>
    <w:pPr>
      <w:keepNext/>
      <w:numPr>
        <w:ilvl w:val="2"/>
        <w:numId w:val="3"/>
      </w:numPr>
      <w:tabs>
        <w:tab w:val="left" w:pos="2160"/>
      </w:tabs>
      <w:spacing w:after="120"/>
      <w:outlineLvl w:val="2"/>
    </w:pPr>
    <w:rPr>
      <w:b/>
    </w:rPr>
  </w:style>
  <w:style w:type="paragraph" w:styleId="Heading4">
    <w:name w:val="heading 4"/>
    <w:basedOn w:val="Normal"/>
    <w:next w:val="ParaNum"/>
    <w:qFormat/>
    <w:rsid w:val="005D795C"/>
    <w:pPr>
      <w:keepNext/>
      <w:numPr>
        <w:ilvl w:val="3"/>
        <w:numId w:val="3"/>
      </w:numPr>
      <w:tabs>
        <w:tab w:val="left" w:pos="2880"/>
      </w:tabs>
      <w:spacing w:after="120"/>
      <w:outlineLvl w:val="3"/>
    </w:pPr>
    <w:rPr>
      <w:b/>
    </w:rPr>
  </w:style>
  <w:style w:type="paragraph" w:styleId="Heading5">
    <w:name w:val="heading 5"/>
    <w:basedOn w:val="Normal"/>
    <w:next w:val="ParaNum"/>
    <w:qFormat/>
    <w:rsid w:val="005D795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795C"/>
    <w:pPr>
      <w:numPr>
        <w:ilvl w:val="5"/>
        <w:numId w:val="3"/>
      </w:numPr>
      <w:tabs>
        <w:tab w:val="left" w:pos="4320"/>
      </w:tabs>
      <w:spacing w:after="120"/>
      <w:outlineLvl w:val="5"/>
    </w:pPr>
    <w:rPr>
      <w:b/>
    </w:rPr>
  </w:style>
  <w:style w:type="paragraph" w:styleId="Heading7">
    <w:name w:val="heading 7"/>
    <w:basedOn w:val="Normal"/>
    <w:next w:val="ParaNum"/>
    <w:qFormat/>
    <w:rsid w:val="005D795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795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79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D79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D795C"/>
  </w:style>
  <w:style w:type="paragraph" w:customStyle="1" w:styleId="ParaNum">
    <w:name w:val="ParaNum"/>
    <w:basedOn w:val="Normal"/>
    <w:rsid w:val="005D795C"/>
    <w:pPr>
      <w:numPr>
        <w:numId w:val="2"/>
      </w:numPr>
      <w:tabs>
        <w:tab w:val="clear" w:pos="1080"/>
        <w:tab w:val="num" w:pos="1440"/>
      </w:tabs>
      <w:spacing w:after="120"/>
    </w:pPr>
  </w:style>
  <w:style w:type="paragraph" w:styleId="EndnoteText">
    <w:name w:val="endnote text"/>
    <w:basedOn w:val="Normal"/>
    <w:semiHidden/>
    <w:rsid w:val="005D795C"/>
    <w:rPr>
      <w:sz w:val="20"/>
    </w:rPr>
  </w:style>
  <w:style w:type="character" w:styleId="EndnoteReference">
    <w:name w:val="endnote reference"/>
    <w:semiHidden/>
    <w:rsid w:val="005D795C"/>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5D795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D795C"/>
    <w:rPr>
      <w:rFonts w:ascii="Times New Roman" w:hAnsi="Times New Roman"/>
      <w:dstrike w:val="0"/>
      <w:color w:val="auto"/>
      <w:sz w:val="22"/>
      <w:vertAlign w:val="superscript"/>
    </w:rPr>
  </w:style>
  <w:style w:type="paragraph" w:styleId="TOC1">
    <w:name w:val="toc 1"/>
    <w:basedOn w:val="Normal"/>
    <w:next w:val="Normal"/>
    <w:uiPriority w:val="39"/>
    <w:rsid w:val="005D79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795C"/>
    <w:pPr>
      <w:tabs>
        <w:tab w:val="left" w:pos="720"/>
        <w:tab w:val="right" w:leader="dot" w:pos="9360"/>
      </w:tabs>
      <w:suppressAutoHyphens/>
      <w:ind w:left="720" w:right="720" w:hanging="360"/>
    </w:pPr>
    <w:rPr>
      <w:noProof/>
    </w:rPr>
  </w:style>
  <w:style w:type="paragraph" w:styleId="TOC3">
    <w:name w:val="toc 3"/>
    <w:basedOn w:val="Normal"/>
    <w:next w:val="Normal"/>
    <w:semiHidden/>
    <w:rsid w:val="005D79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79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79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79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79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79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79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795C"/>
    <w:pPr>
      <w:tabs>
        <w:tab w:val="right" w:pos="9360"/>
      </w:tabs>
      <w:suppressAutoHyphens/>
    </w:pPr>
  </w:style>
  <w:style w:type="character" w:customStyle="1" w:styleId="EquationCaption">
    <w:name w:val="_Equation Caption"/>
    <w:rsid w:val="005D795C"/>
  </w:style>
  <w:style w:type="paragraph" w:styleId="Header">
    <w:name w:val="header"/>
    <w:basedOn w:val="Normal"/>
    <w:autoRedefine/>
    <w:rsid w:val="005D795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D795C"/>
    <w:pPr>
      <w:tabs>
        <w:tab w:val="center" w:pos="4320"/>
        <w:tab w:val="right" w:pos="8640"/>
      </w:tabs>
    </w:pPr>
  </w:style>
  <w:style w:type="character" w:styleId="PageNumber">
    <w:name w:val="page number"/>
    <w:rsid w:val="005D795C"/>
  </w:style>
  <w:style w:type="paragraph" w:styleId="BlockText">
    <w:name w:val="Block Text"/>
    <w:basedOn w:val="Normal"/>
    <w:rsid w:val="005D795C"/>
    <w:pPr>
      <w:spacing w:after="240"/>
      <w:ind w:left="1440" w:right="1440"/>
    </w:pPr>
  </w:style>
  <w:style w:type="paragraph" w:customStyle="1" w:styleId="Paratitle">
    <w:name w:val="Para title"/>
    <w:basedOn w:val="Normal"/>
    <w:rsid w:val="005D795C"/>
    <w:pPr>
      <w:tabs>
        <w:tab w:val="center" w:pos="9270"/>
      </w:tabs>
      <w:spacing w:after="240"/>
    </w:pPr>
    <w:rPr>
      <w:spacing w:val="-2"/>
    </w:rPr>
  </w:style>
  <w:style w:type="paragraph" w:customStyle="1" w:styleId="Bullet">
    <w:name w:val="Bullet"/>
    <w:basedOn w:val="Normal"/>
    <w:rsid w:val="005D795C"/>
    <w:pPr>
      <w:numPr>
        <w:numId w:val="1"/>
      </w:numPr>
      <w:tabs>
        <w:tab w:val="clear" w:pos="360"/>
        <w:tab w:val="left" w:pos="2160"/>
      </w:tabs>
      <w:spacing w:after="220"/>
      <w:ind w:left="2160" w:hanging="720"/>
    </w:pPr>
  </w:style>
  <w:style w:type="paragraph" w:customStyle="1" w:styleId="TableFormat">
    <w:name w:val="TableFormat"/>
    <w:basedOn w:val="Bullet"/>
    <w:rsid w:val="005D795C"/>
    <w:pPr>
      <w:numPr>
        <w:numId w:val="0"/>
      </w:numPr>
      <w:tabs>
        <w:tab w:val="clear" w:pos="2160"/>
        <w:tab w:val="left" w:pos="5040"/>
      </w:tabs>
      <w:ind w:left="5040" w:hanging="3600"/>
    </w:pPr>
  </w:style>
  <w:style w:type="paragraph" w:customStyle="1" w:styleId="TOCTitle">
    <w:name w:val="TOC Title"/>
    <w:basedOn w:val="Normal"/>
    <w:rsid w:val="005D79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795C"/>
    <w:pPr>
      <w:jc w:val="center"/>
    </w:pPr>
    <w:rPr>
      <w:rFonts w:ascii="Times New Roman Bold" w:hAnsi="Times New Roman Bold"/>
      <w:b/>
      <w:bCs/>
      <w:caps/>
      <w:szCs w:val="22"/>
    </w:rPr>
  </w:style>
  <w:style w:type="character" w:styleId="Hyperlink">
    <w:name w:val="Hyperlink"/>
    <w:rsid w:val="005D795C"/>
    <w:rPr>
      <w:color w:val="0000FF"/>
      <w:u w:val="single"/>
    </w:rPr>
  </w:style>
  <w:style w:type="character" w:customStyle="1" w:styleId="FooterChar">
    <w:name w:val="Footer Char"/>
    <w:link w:val="Footer"/>
    <w:uiPriority w:val="99"/>
    <w:rsid w:val="005D795C"/>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rsid w:val="00016FA4"/>
  </w:style>
  <w:style w:type="character" w:styleId="Emphasis">
    <w:name w:val="Emphasis"/>
    <w:uiPriority w:val="20"/>
    <w:qFormat/>
    <w:rsid w:val="00016FA4"/>
    <w:rPr>
      <w:i/>
      <w:iCs/>
    </w:rPr>
  </w:style>
  <w:style w:type="character" w:customStyle="1" w:styleId="cosearchterm">
    <w:name w:val="co_searchterm"/>
    <w:rsid w:val="0001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