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70F07" w:rsidRPr="00570F07" w:rsidP="00570F07">
      <w:pPr>
        <w:jc w:val="center"/>
        <w:rPr>
          <w:b/>
        </w:rPr>
      </w:pPr>
      <w:r w:rsidRPr="00570F07">
        <w:rPr>
          <w:b/>
          <w:kern w:val="0"/>
          <w:szCs w:val="22"/>
        </w:rPr>
        <w:t>Before</w:t>
      </w:r>
      <w:r w:rsidRPr="00570F07">
        <w:rPr>
          <w:b/>
        </w:rPr>
        <w:t xml:space="preserve"> the</w:t>
      </w:r>
    </w:p>
    <w:p w:rsidR="00570F07" w:rsidRPr="00570F07" w:rsidP="00570F07">
      <w:pPr>
        <w:jc w:val="center"/>
        <w:rPr>
          <w:b/>
          <w:bCs/>
          <w:caps/>
          <w:szCs w:val="22"/>
        </w:rPr>
      </w:pPr>
      <w:r w:rsidRPr="00570F07">
        <w:rPr>
          <w:b/>
          <w:bCs/>
          <w:caps/>
          <w:szCs w:val="22"/>
        </w:rPr>
        <w:t>F</w:t>
      </w:r>
      <w:r w:rsidRPr="00570F07">
        <w:rPr>
          <w:b/>
          <w:bCs/>
          <w:szCs w:val="22"/>
        </w:rPr>
        <w:t>ederal Communications Commission</w:t>
      </w:r>
    </w:p>
    <w:p w:rsidR="00570F07" w:rsidRPr="00570F07" w:rsidP="00570F07">
      <w:pPr>
        <w:jc w:val="center"/>
        <w:rPr>
          <w:b/>
          <w:bCs/>
          <w:caps/>
          <w:szCs w:val="22"/>
        </w:rPr>
      </w:pPr>
      <w:r w:rsidRPr="00570F07">
        <w:rPr>
          <w:b/>
          <w:bCs/>
          <w:szCs w:val="22"/>
        </w:rPr>
        <w:t>Washington, D.C. 20554</w:t>
      </w:r>
    </w:p>
    <w:p w:rsidR="00570F07" w:rsidRPr="00570F07" w:rsidP="00570F07"/>
    <w:p w:rsidR="00570F07" w:rsidRPr="00570F07" w:rsidP="00570F07"/>
    <w:tbl>
      <w:tblPr>
        <w:tblW w:w="0" w:type="auto"/>
        <w:tblLayout w:type="fixed"/>
        <w:tblLook w:val="0000"/>
      </w:tblPr>
      <w:tblGrid>
        <w:gridCol w:w="4698"/>
        <w:gridCol w:w="630"/>
        <w:gridCol w:w="4248"/>
      </w:tblGrid>
      <w:tr w:rsidTr="00FE2EB7">
        <w:tblPrEx>
          <w:tblW w:w="0" w:type="auto"/>
          <w:tblLayout w:type="fixed"/>
          <w:tblLook w:val="0000"/>
        </w:tblPrEx>
        <w:tc>
          <w:tcPr>
            <w:tcW w:w="4698" w:type="dxa"/>
          </w:tcPr>
          <w:p w:rsidR="00570F07" w:rsidRPr="00570F07" w:rsidP="00570F07">
            <w:pPr>
              <w:tabs>
                <w:tab w:val="center" w:pos="4680"/>
              </w:tabs>
              <w:suppressAutoHyphens/>
              <w:rPr>
                <w:spacing w:val="-2"/>
              </w:rPr>
            </w:pPr>
            <w:r w:rsidRPr="00570F07">
              <w:rPr>
                <w:spacing w:val="-2"/>
              </w:rPr>
              <w:t>In the Matter of</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Telecommunications Relay Services and Speech-to-Speech Services for Individuals with Hearing and Speech Disabilities</w:t>
            </w:r>
            <w:r w:rsidRPr="00570F07">
              <w:rPr>
                <w:spacing w:val="-2"/>
              </w:rPr>
              <w:t xml:space="preserve"> </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Structure and Practices of the Video Relay Service Program</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Misuse of Internet Protocol (IP) Captioned Telephone Service</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tc>
        <w:tc>
          <w:tcPr>
            <w:tcW w:w="630" w:type="dxa"/>
          </w:tcPr>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b/>
                <w:spacing w:val="-2"/>
              </w:rPr>
            </w:pPr>
            <w:r w:rsidRPr="00570F07">
              <w:rPr>
                <w:b/>
                <w:spacing w:val="-2"/>
              </w:rPr>
              <w:t>)</w:t>
            </w:r>
          </w:p>
          <w:p w:rsidR="00570F07" w:rsidRPr="00570F07" w:rsidP="00570F07">
            <w:pPr>
              <w:tabs>
                <w:tab w:val="center" w:pos="4680"/>
              </w:tabs>
              <w:suppressAutoHyphens/>
              <w:rPr>
                <w:spacing w:val="-2"/>
              </w:rPr>
            </w:pPr>
          </w:p>
        </w:tc>
        <w:tc>
          <w:tcPr>
            <w:tcW w:w="4248" w:type="dxa"/>
          </w:tcPr>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 xml:space="preserve">CG Docket No. 03-123 </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CG Docket No. 10-51</w:t>
            </w: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p>
          <w:p w:rsidR="00570F07" w:rsidRPr="00570F07" w:rsidP="00570F07">
            <w:pPr>
              <w:tabs>
                <w:tab w:val="center" w:pos="4680"/>
              </w:tabs>
              <w:suppressAutoHyphens/>
              <w:rPr>
                <w:spacing w:val="-2"/>
              </w:rPr>
            </w:pPr>
            <w:r w:rsidRPr="00570F07">
              <w:rPr>
                <w:spacing w:val="-2"/>
              </w:rPr>
              <w:t>CG Docket No. 13-24</w:t>
            </w:r>
          </w:p>
        </w:tc>
      </w:tr>
    </w:tbl>
    <w:p w:rsidR="00570F07" w:rsidRPr="00570F07" w:rsidP="00570F07"/>
    <w:p w:rsidR="00570F07" w:rsidRPr="00570F07" w:rsidP="00570F07">
      <w:pPr>
        <w:jc w:val="center"/>
        <w:rPr>
          <w:b/>
          <w:bCs/>
          <w:caps/>
          <w:szCs w:val="22"/>
        </w:rPr>
      </w:pPr>
      <w:r w:rsidRPr="00570F07">
        <w:rPr>
          <w:b/>
          <w:bCs/>
          <w:caps/>
          <w:szCs w:val="22"/>
        </w:rPr>
        <w:t>Order and Third Protective Order</w:t>
      </w:r>
    </w:p>
    <w:p w:rsidR="00570F07" w:rsidRPr="00570F07" w:rsidP="00570F07">
      <w:pPr>
        <w:tabs>
          <w:tab w:val="left" w:pos="-720"/>
        </w:tabs>
        <w:suppressAutoHyphens/>
        <w:spacing w:line="227" w:lineRule="auto"/>
        <w:rPr>
          <w:spacing w:val="-2"/>
        </w:rPr>
      </w:pPr>
    </w:p>
    <w:p w:rsidR="00570F07" w:rsidRPr="00570F07" w:rsidP="00570F07">
      <w:pPr>
        <w:tabs>
          <w:tab w:val="left" w:pos="720"/>
          <w:tab w:val="right" w:pos="9360"/>
        </w:tabs>
        <w:suppressAutoHyphens/>
        <w:spacing w:line="227" w:lineRule="auto"/>
        <w:rPr>
          <w:spacing w:val="-2"/>
        </w:rPr>
      </w:pPr>
      <w:r w:rsidRPr="00570F07">
        <w:rPr>
          <w:b/>
          <w:spacing w:val="-2"/>
        </w:rPr>
        <w:t xml:space="preserve">Adopted:  </w:t>
      </w:r>
      <w:r w:rsidR="00784AA2">
        <w:rPr>
          <w:b/>
          <w:spacing w:val="-2"/>
        </w:rPr>
        <w:t xml:space="preserve">July </w:t>
      </w:r>
      <w:r w:rsidR="00F52926">
        <w:rPr>
          <w:b/>
          <w:spacing w:val="-2"/>
        </w:rPr>
        <w:t>20</w:t>
      </w:r>
      <w:r w:rsidR="00784AA2">
        <w:rPr>
          <w:b/>
          <w:spacing w:val="-2"/>
        </w:rPr>
        <w:t>, 2018</w:t>
      </w:r>
      <w:r w:rsidRPr="00570F07">
        <w:rPr>
          <w:b/>
          <w:spacing w:val="-2"/>
        </w:rPr>
        <w:tab/>
        <w:t xml:space="preserve">Released:  </w:t>
      </w:r>
      <w:r w:rsidR="00784AA2">
        <w:rPr>
          <w:b/>
          <w:spacing w:val="-2"/>
        </w:rPr>
        <w:t xml:space="preserve">July </w:t>
      </w:r>
      <w:r w:rsidR="00F52926">
        <w:rPr>
          <w:b/>
          <w:spacing w:val="-2"/>
        </w:rPr>
        <w:t>20</w:t>
      </w:r>
      <w:r w:rsidR="00784AA2">
        <w:rPr>
          <w:b/>
          <w:spacing w:val="-2"/>
        </w:rPr>
        <w:t>, 2018</w:t>
      </w:r>
    </w:p>
    <w:p w:rsidR="00570F07" w:rsidRPr="00570F07" w:rsidP="00570F07"/>
    <w:p w:rsidR="00570F07" w:rsidRPr="00570F07" w:rsidP="00570F07">
      <w:pPr>
        <w:rPr>
          <w:spacing w:val="-2"/>
        </w:rPr>
      </w:pPr>
      <w:r w:rsidRPr="00570F07">
        <w:t xml:space="preserve">By the </w:t>
      </w:r>
      <w:r w:rsidRPr="00570F07">
        <w:rPr>
          <w:spacing w:val="-2"/>
        </w:rPr>
        <w:t>Chief, Consumer and Governmental Affairs Bureau</w:t>
      </w:r>
    </w:p>
    <w:p w:rsidR="00570F07" w:rsidRPr="00570F07" w:rsidP="00570F07">
      <w:pPr>
        <w:rPr>
          <w:spacing w:val="-2"/>
        </w:rPr>
      </w:pPr>
    </w:p>
    <w:p w:rsidR="00570F07" w:rsidRPr="00570F07" w:rsidP="00570F07"/>
    <w:p w:rsidR="00570F07" w:rsidRPr="00570F07" w:rsidP="00570F07">
      <w:pPr>
        <w:keepNext/>
        <w:numPr>
          <w:ilvl w:val="0"/>
          <w:numId w:val="3"/>
        </w:numPr>
        <w:tabs>
          <w:tab w:val="left" w:pos="720"/>
        </w:tabs>
        <w:suppressAutoHyphens/>
        <w:spacing w:after="120"/>
        <w:outlineLvl w:val="0"/>
        <w:rPr>
          <w:b/>
          <w:caps/>
        </w:rPr>
      </w:pPr>
      <w:r w:rsidRPr="00570F07">
        <w:rPr>
          <w:b/>
          <w:caps/>
        </w:rPr>
        <w:t>Introduction</w:t>
      </w:r>
    </w:p>
    <w:p w:rsidR="00570F07" w:rsidRPr="00570F07" w:rsidP="00570F07">
      <w:pPr>
        <w:numPr>
          <w:ilvl w:val="0"/>
          <w:numId w:val="2"/>
        </w:numPr>
        <w:tabs>
          <w:tab w:val="clear" w:pos="1080"/>
          <w:tab w:val="left" w:pos="1440"/>
        </w:tabs>
        <w:spacing w:after="120"/>
      </w:pPr>
      <w:r w:rsidRPr="00570F07">
        <w:t>The Consumer and Governmental Affairs Bureau (Bureau) of the Federal Communications Commission (Commission), for the reasons set forth below, hereby adopts the attached Third Protective Order in the above-captioned dockets.  The Third Protective Order applies to the submission and review of confidential information in response to Commission requests for public comment in these dockets.  It does not apply to the submission and review of any confidential information that may be submitted in reports that are required by the rules adopted in these dockets.</w:t>
      </w:r>
      <w:r>
        <w:rPr>
          <w:sz w:val="20"/>
          <w:vertAlign w:val="superscript"/>
        </w:rPr>
        <w:footnoteReference w:id="3"/>
      </w:r>
      <w:r w:rsidRPr="00570F07">
        <w:t xml:space="preserve"> </w:t>
      </w:r>
    </w:p>
    <w:p w:rsidR="00570F07" w:rsidRPr="00570F07" w:rsidP="00570F07">
      <w:pPr>
        <w:keepNext/>
        <w:numPr>
          <w:ilvl w:val="0"/>
          <w:numId w:val="3"/>
        </w:numPr>
        <w:tabs>
          <w:tab w:val="left" w:pos="720"/>
        </w:tabs>
        <w:suppressAutoHyphens/>
        <w:spacing w:after="120"/>
        <w:outlineLvl w:val="0"/>
        <w:rPr>
          <w:b/>
          <w:caps/>
        </w:rPr>
      </w:pPr>
      <w:r w:rsidRPr="00570F07">
        <w:rPr>
          <w:b/>
          <w:caps/>
        </w:rPr>
        <w:t>Background</w:t>
      </w:r>
    </w:p>
    <w:p w:rsidR="00570F07" w:rsidRPr="00570F07" w:rsidP="00570F07">
      <w:pPr>
        <w:numPr>
          <w:ilvl w:val="0"/>
          <w:numId w:val="2"/>
        </w:numPr>
        <w:tabs>
          <w:tab w:val="clear" w:pos="1080"/>
          <w:tab w:val="left" w:pos="1440"/>
        </w:tabs>
        <w:spacing w:after="120"/>
      </w:pPr>
      <w:r w:rsidRPr="00570F07">
        <w:t>On May 4, 2018, the TRS Fund administrator submitted the 2018 TRS Rate Report proposing provider compensation rates, funding requirement, and carrier contribution factor for the period from July 1, 2018, through June 30, 2019 (2018-19 Fund year), for TRS compensated by the Interstate TRS Fund (Fund).</w:t>
      </w:r>
      <w:r>
        <w:rPr>
          <w:sz w:val="20"/>
          <w:vertAlign w:val="superscript"/>
        </w:rPr>
        <w:footnoteReference w:id="4"/>
      </w:r>
      <w:r w:rsidRPr="00570F07">
        <w:t xml:space="preserve">  The administrator’s filing included a request for confidential treatment of an exhibit detailing company-specific cost and demand data reported to the TRS Fund administrator by Internet Protocol Captioned Telephone Service (IP CTS) providers.</w:t>
      </w:r>
      <w:r>
        <w:rPr>
          <w:sz w:val="20"/>
          <w:vertAlign w:val="superscript"/>
        </w:rPr>
        <w:footnoteReference w:id="5"/>
      </w:r>
      <w:r w:rsidRPr="00570F07">
        <w:t xml:space="preserve">  On May 14, 2018, the Commission released </w:t>
      </w:r>
      <w:r w:rsidRPr="00570F07">
        <w:t xml:space="preserve">a </w:t>
      </w:r>
      <w:r w:rsidR="00435C9D">
        <w:t>p</w:t>
      </w:r>
      <w:r w:rsidRPr="00570F07">
        <w:t xml:space="preserve">ublic </w:t>
      </w:r>
      <w:r w:rsidR="00435C9D">
        <w:t>n</w:t>
      </w:r>
      <w:r w:rsidRPr="00570F07">
        <w:t xml:space="preserve">otice stating that it intends to place the confidential version of the 2018 TRS Rate Report into the record and to designate the confidential version of Exhibit 1-3.1 (Highly Confidential Rate Report Exhibit) as Highly Confidential Information subject to the </w:t>
      </w:r>
      <w:r w:rsidRPr="00570F07">
        <w:rPr>
          <w:i/>
        </w:rPr>
        <w:t xml:space="preserve">Second Protective Order </w:t>
      </w:r>
      <w:r w:rsidRPr="00570F07">
        <w:t>previously issued in CG Docket Nos. 03-123 and 10-51.</w:t>
      </w:r>
      <w:r>
        <w:rPr>
          <w:sz w:val="20"/>
          <w:vertAlign w:val="superscript"/>
        </w:rPr>
        <w:footnoteReference w:id="6"/>
      </w:r>
      <w:r w:rsidRPr="00570F07">
        <w:t xml:space="preserve">   </w:t>
      </w:r>
    </w:p>
    <w:p w:rsidR="00570F07" w:rsidRPr="00570F07" w:rsidP="00570F07">
      <w:pPr>
        <w:numPr>
          <w:ilvl w:val="0"/>
          <w:numId w:val="2"/>
        </w:numPr>
        <w:tabs>
          <w:tab w:val="clear" w:pos="1080"/>
          <w:tab w:val="left" w:pos="1440"/>
        </w:tabs>
        <w:spacing w:after="120"/>
      </w:pPr>
      <w:r w:rsidRPr="00570F07">
        <w:t xml:space="preserve">Hamilton Relay, Inc. (Hamilton) filed an opposition in response to the </w:t>
      </w:r>
      <w:r w:rsidRPr="00570F07">
        <w:rPr>
          <w:i/>
        </w:rPr>
        <w:t>Confidential Data Public Notice</w:t>
      </w:r>
      <w:r w:rsidRPr="00570F07">
        <w:t xml:space="preserve">, objecting that the </w:t>
      </w:r>
      <w:r w:rsidRPr="00570F07">
        <w:rPr>
          <w:i/>
        </w:rPr>
        <w:t>Second Protective Order</w:t>
      </w:r>
      <w:r w:rsidRPr="00570F07">
        <w:t xml:space="preserve"> affords rights to protect the Confidential Information and Highly Confidential Information only to the TRS Fund administrator, as the Submitting Party, and does not expressly afford the same rights to the IP CTS providers who supplied the company-specific data.</w:t>
      </w:r>
      <w:r>
        <w:rPr>
          <w:sz w:val="20"/>
          <w:vertAlign w:val="superscript"/>
        </w:rPr>
        <w:footnoteReference w:id="7"/>
      </w:r>
      <w:r w:rsidRPr="00570F07">
        <w:t xml:space="preserve">  Hamilton requests that a new protective order or modification be issued affording IP CTS providers third-party rights equivalent to Submitting Parties under the </w:t>
      </w:r>
      <w:r w:rsidRPr="00570F07">
        <w:rPr>
          <w:i/>
        </w:rPr>
        <w:t>Second Protective Order</w:t>
      </w:r>
      <w:r w:rsidRPr="00570F07">
        <w:t xml:space="preserve"> and that the restriction on “additional copying” of the </w:t>
      </w:r>
      <w:r w:rsidRPr="00570F07">
        <w:rPr>
          <w:i/>
        </w:rPr>
        <w:t>Second Protective Order</w:t>
      </w:r>
      <w:r w:rsidRPr="00570F07">
        <w:t xml:space="preserve"> be applied to the Highly Confidential Rate Report Exhibit.</w:t>
      </w:r>
      <w:r>
        <w:rPr>
          <w:sz w:val="20"/>
          <w:vertAlign w:val="superscript"/>
        </w:rPr>
        <w:footnoteReference w:id="8"/>
      </w:r>
      <w:r w:rsidRPr="00570F07">
        <w:t xml:space="preserve">         </w:t>
      </w:r>
    </w:p>
    <w:p w:rsidR="00570F07" w:rsidRPr="00570F07" w:rsidP="00570F07">
      <w:pPr>
        <w:keepNext/>
        <w:numPr>
          <w:ilvl w:val="0"/>
          <w:numId w:val="3"/>
        </w:numPr>
        <w:tabs>
          <w:tab w:val="left" w:pos="720"/>
        </w:tabs>
        <w:suppressAutoHyphens/>
        <w:spacing w:after="120"/>
        <w:outlineLvl w:val="0"/>
        <w:rPr>
          <w:b/>
          <w:caps/>
        </w:rPr>
      </w:pPr>
      <w:r w:rsidRPr="00570F07">
        <w:rPr>
          <w:b/>
          <w:caps/>
        </w:rPr>
        <w:t>Discussion</w:t>
      </w:r>
    </w:p>
    <w:p w:rsidR="00570F07" w:rsidRPr="00570F07" w:rsidP="00570F07">
      <w:pPr>
        <w:numPr>
          <w:ilvl w:val="0"/>
          <w:numId w:val="2"/>
        </w:numPr>
        <w:tabs>
          <w:tab w:val="clear" w:pos="1080"/>
          <w:tab w:val="num" w:pos="1440"/>
        </w:tabs>
        <w:spacing w:after="120"/>
      </w:pPr>
      <w:r w:rsidRPr="00570F07">
        <w:t>To address Hamilton’s concerns and remove any uncertainty regarding the protection of third-party information, we adopt the attached Third Protective Order, which revises the protective orders previously adopted in CG Docket Nos. 03-123 and 10-51.</w:t>
      </w:r>
      <w:r>
        <w:rPr>
          <w:vertAlign w:val="superscript"/>
        </w:rPr>
        <w:footnoteReference w:id="9"/>
      </w:r>
      <w:r w:rsidRPr="00570F07">
        <w:t xml:space="preserve">  The Third Protective Order will also apply to materials filed in CG Docket No. 13-24.   The purpose of these protective orders is to allow the Commission to consider confidential information filed in these proceedings, subject to procedures that (</w:t>
      </w:r>
      <w:r w:rsidRPr="00570F07">
        <w:t>i</w:t>
      </w:r>
      <w:r w:rsidRPr="00570F07">
        <w:t xml:space="preserve">) limit access such information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While we are mindful of the sensitive nature of some of the information involved, we are also mindful of the general right of the public, and our desire for the public, to participate in this proceeding in a meaningful way.  We reaffirm that allowing limited access to competitively sensitive materials pursuant to </w:t>
      </w:r>
      <w:r w:rsidRPr="00570F07">
        <w:rPr>
          <w:color w:val="000000"/>
        </w:rPr>
        <w:t xml:space="preserve">the procedures </w:t>
      </w:r>
      <w:r w:rsidRPr="00570F07">
        <w:t>set forth</w:t>
      </w:r>
      <w:r w:rsidRPr="00570F07">
        <w:rPr>
          <w:color w:val="000000"/>
        </w:rPr>
        <w:t xml:space="preserve"> in this Protective Order </w:t>
      </w:r>
      <w:r w:rsidRPr="00570F07">
        <w:t>allows the public (through</w:t>
      </w:r>
      <w:r w:rsidRPr="00570F07">
        <w:rPr>
          <w:color w:val="000000"/>
        </w:rPr>
        <w:t xml:space="preserve"> appropriate </w:t>
      </w:r>
      <w:r w:rsidRPr="00570F07">
        <w:t>representatives)</w:t>
      </w:r>
      <w:r w:rsidRPr="00570F07">
        <w:rPr>
          <w:color w:val="000000"/>
        </w:rPr>
        <w:t xml:space="preserve"> to fully participate in these proceedings while</w:t>
      </w:r>
      <w:r w:rsidRPr="00570F07">
        <w:t xml:space="preserve"> also</w:t>
      </w:r>
      <w:r w:rsidRPr="00570F07">
        <w:rPr>
          <w:color w:val="000000"/>
        </w:rPr>
        <w:t xml:space="preserve"> protecting competitively sensitive information from improper disclosure</w:t>
      </w:r>
      <w:r w:rsidRPr="00570F07">
        <w:t xml:space="preserve"> and use.  Accordingly, sensibly balancing the public and private interests involved, we conclude that these </w:t>
      </w:r>
      <w:r w:rsidRPr="00570F07">
        <w:rPr>
          <w:color w:val="000000"/>
        </w:rPr>
        <w:t>procedures serve the public interest</w:t>
      </w:r>
      <w:r w:rsidRPr="00570F07">
        <w:t xml:space="preserve"> and adopting them “best conduce[s] to the proper dispatch of the Commission’s business and to the ends of justice.”</w:t>
      </w:r>
      <w:r>
        <w:rPr>
          <w:sz w:val="20"/>
          <w:vertAlign w:val="superscript"/>
        </w:rPr>
        <w:footnoteReference w:id="10"/>
      </w:r>
      <w:r w:rsidRPr="00570F07">
        <w:t xml:space="preserve"> </w:t>
      </w:r>
    </w:p>
    <w:p w:rsidR="00570F07" w:rsidRPr="00570F07" w:rsidP="008B7FE8">
      <w:pPr>
        <w:widowControl/>
        <w:numPr>
          <w:ilvl w:val="0"/>
          <w:numId w:val="2"/>
        </w:numPr>
        <w:tabs>
          <w:tab w:val="clear" w:pos="1080"/>
          <w:tab w:val="num" w:pos="1440"/>
        </w:tabs>
        <w:spacing w:after="120"/>
      </w:pPr>
      <w:r w:rsidRPr="00570F07">
        <w:t xml:space="preserve">This Third Protective Order supersedes the </w:t>
      </w:r>
      <w:r w:rsidRPr="0005149B" w:rsidR="00941A97">
        <w:rPr>
          <w:i/>
        </w:rPr>
        <w:t xml:space="preserve">First </w:t>
      </w:r>
      <w:r w:rsidRPr="00570F07">
        <w:rPr>
          <w:i/>
        </w:rPr>
        <w:t>Protective Order</w:t>
      </w:r>
      <w:r w:rsidRPr="00570F07">
        <w:t xml:space="preserve"> and the </w:t>
      </w:r>
      <w:r w:rsidRPr="00570F07">
        <w:rPr>
          <w:i/>
        </w:rPr>
        <w:t>Second Protective Order</w:t>
      </w:r>
      <w:r w:rsidRPr="00570F07">
        <w:t xml:space="preserve">, previously issued in these proceedings.  This Third Protective Order does not limit the proprietary or confidential treatment of documents and other materials already submitted under the </w:t>
      </w:r>
      <w:r w:rsidRPr="00570F07">
        <w:rPr>
          <w:i/>
        </w:rPr>
        <w:t>Protective Order</w:t>
      </w:r>
      <w:r w:rsidRPr="00570F07">
        <w:t xml:space="preserve"> or </w:t>
      </w:r>
      <w:r w:rsidRPr="00570F07">
        <w:rPr>
          <w:i/>
        </w:rPr>
        <w:t>Second Protective Order</w:t>
      </w:r>
      <w:r w:rsidRPr="00570F07">
        <w:t xml:space="preserve">.  Further, parties who previously followed procedures to review materials under the </w:t>
      </w:r>
      <w:r w:rsidRPr="00570F07">
        <w:rPr>
          <w:i/>
        </w:rPr>
        <w:t>Protective Order</w:t>
      </w:r>
      <w:r w:rsidRPr="00570F07">
        <w:t xml:space="preserve"> or </w:t>
      </w:r>
      <w:r w:rsidRPr="00570F07">
        <w:rPr>
          <w:i/>
        </w:rPr>
        <w:t>Second Protective Order</w:t>
      </w:r>
      <w:r w:rsidRPr="00570F07">
        <w:t xml:space="preserve"> need not take any additional steps </w:t>
      </w:r>
      <w:r w:rsidRPr="00570F07">
        <w:t>as a result of</w:t>
      </w:r>
      <w:r w:rsidRPr="00570F07">
        <w:t xml:space="preserve"> our adoption of the Third Protective Order.</w:t>
      </w:r>
    </w:p>
    <w:p w:rsidR="00570F07" w:rsidRPr="00570F07" w:rsidP="00570F07">
      <w:pPr>
        <w:numPr>
          <w:ilvl w:val="0"/>
          <w:numId w:val="2"/>
        </w:numPr>
        <w:tabs>
          <w:tab w:val="clear" w:pos="1080"/>
          <w:tab w:val="left" w:pos="1440"/>
        </w:tabs>
        <w:spacing w:after="120"/>
      </w:pPr>
      <w:r w:rsidRPr="00570F07">
        <w:t>To address the concern raised by Hamilton, the Third Protective Order expressly defines the rights of Third-Party Interest Holders.</w:t>
      </w:r>
      <w:r>
        <w:rPr>
          <w:sz w:val="20"/>
          <w:vertAlign w:val="superscript"/>
        </w:rPr>
        <w:footnoteReference w:id="11"/>
      </w:r>
      <w:r w:rsidRPr="00570F07">
        <w:t xml:space="preserve">  A Third-Party Interest Holder, defined as any person who is not a Submitting Party and who has a confidentiality interest in Confidential Information or Highly Confidential Information that is submitted into the record,</w:t>
      </w:r>
      <w:r>
        <w:rPr>
          <w:sz w:val="20"/>
          <w:vertAlign w:val="superscript"/>
        </w:rPr>
        <w:footnoteReference w:id="12"/>
      </w:r>
      <w:r w:rsidRPr="00570F07">
        <w:t xml:space="preserve"> is expressly afforded the same notice and objection rights provided to Submitting Parties in response to requests to obtain access to Confidential Information and Highly Confidential Information.</w:t>
      </w:r>
      <w:r>
        <w:rPr>
          <w:sz w:val="20"/>
          <w:vertAlign w:val="superscript"/>
        </w:rPr>
        <w:footnoteReference w:id="13"/>
      </w:r>
      <w:r w:rsidRPr="00570F07">
        <w:t xml:space="preserve">  For example, where the TRS Fund administrator files Confidential Information or Highly Confidential Information collected from a TRS provider (or derived from information collected from a TRS provider), the TRS provider is a Third-Party Interest Holder.    </w:t>
      </w:r>
    </w:p>
    <w:p w:rsidR="00570F07" w:rsidRPr="00570F07" w:rsidP="00570F07">
      <w:pPr>
        <w:numPr>
          <w:ilvl w:val="0"/>
          <w:numId w:val="2"/>
        </w:numPr>
        <w:tabs>
          <w:tab w:val="clear" w:pos="1080"/>
          <w:tab w:val="left" w:pos="1440"/>
        </w:tabs>
        <w:spacing w:after="120"/>
      </w:pPr>
      <w:r w:rsidRPr="00570F07">
        <w:t>Having expressly protected IP CTS providers’ third-party interests by adopting the Third Protective Order, we find it appropriate to place the Highly Confidential Rate Report Exhibit</w:t>
      </w:r>
      <w:r w:rsidRPr="00570F07">
        <w:t xml:space="preserve"> </w:t>
      </w:r>
      <w:r w:rsidRPr="00570F07">
        <w:t>in the record of CG Docket Nos. 03-123 and 13-24.  This document, which includes Fund Year 2018-19 estimates for minutes, revenue, revenue requirements, profit, expenses, and the operating margin for each IP CTS provider, will be designated as Highly Confidential Information under the Third Protective Order and will be available for review only by outside counsel and outside consultants in accordance with the terms of the Third Protective Order.</w:t>
      </w:r>
      <w:r>
        <w:rPr>
          <w:sz w:val="20"/>
          <w:vertAlign w:val="superscript"/>
        </w:rPr>
        <w:footnoteReference w:id="14"/>
      </w:r>
      <w:r w:rsidRPr="00570F07">
        <w:t xml:space="preserve">  For purposes of reviewing this document, the Submitting Party is the Bureau and the Submitting Party contact person on whom copies of Acknowledgments should be served is Michael Scott, </w:t>
      </w:r>
      <w:r>
        <w:fldChar w:fldCharType="begin"/>
      </w:r>
      <w:r>
        <w:instrText xml:space="preserve"> HYPERLINK "mailto:michael.scott@fcc.gov" </w:instrText>
      </w:r>
      <w:r>
        <w:fldChar w:fldCharType="separate"/>
      </w:r>
      <w:r w:rsidRPr="00F51AF3" w:rsidR="008B7FE8">
        <w:rPr>
          <w:rStyle w:val="Hyperlink"/>
        </w:rPr>
        <w:t>michael.scott@fcc.gov</w:t>
      </w:r>
      <w:r>
        <w:fldChar w:fldCharType="end"/>
      </w:r>
      <w:r w:rsidRPr="00570F07">
        <w:t>.</w:t>
      </w:r>
    </w:p>
    <w:p w:rsidR="00570F07" w:rsidRPr="00570F07" w:rsidP="00570F07">
      <w:pPr>
        <w:numPr>
          <w:ilvl w:val="0"/>
          <w:numId w:val="2"/>
        </w:numPr>
        <w:tabs>
          <w:tab w:val="clear" w:pos="1080"/>
          <w:tab w:val="left" w:pos="1440"/>
        </w:tabs>
        <w:spacing w:after="120"/>
      </w:pPr>
      <w:r w:rsidRPr="00570F07">
        <w:t>To address Hamilton’s specific objection to additional copying, we also apply, in this instance, the additional copying restriction provided for in the Third Protective Order to the Highly Confidential Rate Report Exhibit.</w:t>
      </w:r>
      <w:r>
        <w:rPr>
          <w:sz w:val="20"/>
          <w:vertAlign w:val="superscript"/>
        </w:rPr>
        <w:footnoteReference w:id="15"/>
      </w:r>
      <w:r w:rsidRPr="00570F07">
        <w:t xml:space="preserve">  Accordingly, the legend “Additional Copying Restricted” shall be added to the document and, subject to the provisions for access to information in electronic format in paragraph 9 of the Third Protective Order, each Outside Firm shall receive only one copy of the document and no more than two additional copies, in any form, shall be made.</w:t>
      </w:r>
      <w:r>
        <w:rPr>
          <w:sz w:val="20"/>
          <w:vertAlign w:val="superscript"/>
        </w:rPr>
        <w:footnoteReference w:id="16"/>
      </w:r>
      <w:r w:rsidRPr="00570F07">
        <w:t xml:space="preserve">  Further the Outside Firms hired by any individual party to this proceeding shall collectively hold no more than 15 copies of the document.</w:t>
      </w:r>
      <w:r>
        <w:rPr>
          <w:sz w:val="20"/>
          <w:vertAlign w:val="superscript"/>
        </w:rPr>
        <w:footnoteReference w:id="17"/>
      </w:r>
      <w:r w:rsidRPr="00570F07">
        <w:rPr>
          <w:sz w:val="16"/>
          <w:szCs w:val="16"/>
        </w:rPr>
        <w:t xml:space="preserve"> </w:t>
      </w:r>
      <w:r w:rsidRPr="00570F07">
        <w:t xml:space="preserve">  Application for relief from this restriction against further copying may be made to the Commission, with notice to Counsel of Record for the Submitting Party and any known Third-Party Interest Holders, which will be granted only for cause</w:t>
      </w:r>
      <w:r w:rsidRPr="00570F07">
        <w:rPr>
          <w:i/>
        </w:rPr>
        <w:t>.</w:t>
      </w:r>
      <w:r>
        <w:rPr>
          <w:sz w:val="20"/>
          <w:vertAlign w:val="superscript"/>
        </w:rPr>
        <w:footnoteReference w:id="18"/>
      </w:r>
    </w:p>
    <w:p w:rsidR="00570F07" w:rsidRPr="00570F07" w:rsidP="00570F07">
      <w:pPr>
        <w:widowControl/>
        <w:numPr>
          <w:ilvl w:val="0"/>
          <w:numId w:val="2"/>
        </w:numPr>
        <w:tabs>
          <w:tab w:val="clear" w:pos="1080"/>
          <w:tab w:val="left" w:pos="1440"/>
        </w:tabs>
        <w:spacing w:after="120"/>
      </w:pPr>
      <w:r w:rsidRPr="005D4AA7">
        <w:t xml:space="preserve">Because the </w:t>
      </w:r>
      <w:r w:rsidR="0005149B">
        <w:t>Third Protective Order</w:t>
      </w:r>
      <w:r w:rsidRPr="005D4AA7">
        <w:t xml:space="preserve"> </w:t>
      </w:r>
      <w:r>
        <w:t xml:space="preserve">contains new language that </w:t>
      </w:r>
      <w:r w:rsidRPr="005D4AA7">
        <w:t xml:space="preserve">explicitly accords rights to third parties, we will allow </w:t>
      </w:r>
      <w:r>
        <w:t xml:space="preserve">additional time for a </w:t>
      </w:r>
      <w:r w:rsidRPr="005D4AA7">
        <w:t xml:space="preserve">Submitting Party </w:t>
      </w:r>
      <w:r>
        <w:t>or</w:t>
      </w:r>
      <w:r w:rsidRPr="005D4AA7">
        <w:t xml:space="preserve"> Third-Party Interest Holder</w:t>
      </w:r>
      <w:r>
        <w:t xml:space="preserve"> to object to acknowledgments received from parties seeking access to the Highly Confidential Rate Report Exhibit.  Specifically, we will allow </w:t>
      </w:r>
      <w:r w:rsidRPr="005D4AA7">
        <w:t xml:space="preserve">five business days after release of this Order </w:t>
      </w:r>
      <w:r>
        <w:t>for a</w:t>
      </w:r>
      <w:r w:rsidRPr="00267680">
        <w:t xml:space="preserve"> Submitting Party or Third-Party Interest Holder</w:t>
      </w:r>
      <w:r>
        <w:t xml:space="preserve"> </w:t>
      </w:r>
      <w:r w:rsidRPr="005D4AA7">
        <w:t xml:space="preserve">to </w:t>
      </w:r>
      <w:r>
        <w:t xml:space="preserve">file and serve an </w:t>
      </w:r>
      <w:r w:rsidRPr="005D4AA7">
        <w:t>object</w:t>
      </w:r>
      <w:r>
        <w:t>ion</w:t>
      </w:r>
      <w:r w:rsidRPr="005D4AA7">
        <w:t xml:space="preserve"> to any acknowledgments previously received </w:t>
      </w:r>
      <w:r w:rsidRPr="005D4AA7">
        <w:t>in response to the</w:t>
      </w:r>
      <w:r w:rsidRPr="005D4AA7">
        <w:rPr>
          <w:i/>
        </w:rPr>
        <w:t xml:space="preserve"> Confidential Data Public Notice</w:t>
      </w:r>
      <w:r w:rsidRPr="005D4AA7">
        <w:t xml:space="preserve">.  </w:t>
      </w:r>
      <w:r>
        <w:t>Similarly, f</w:t>
      </w:r>
      <w:r w:rsidRPr="005D4AA7">
        <w:t>or acknowledgments received on or after the release date</w:t>
      </w:r>
      <w:r w:rsidRPr="00B750B2">
        <w:t xml:space="preserve"> </w:t>
      </w:r>
      <w:r>
        <w:t xml:space="preserve">of this Order </w:t>
      </w:r>
      <w:r w:rsidRPr="00B750B2">
        <w:t>from parties seeking access to the Highly Confidential Rate Report Exhibit</w:t>
      </w:r>
      <w:r w:rsidRPr="005D4AA7">
        <w:t xml:space="preserve">, objections </w:t>
      </w:r>
      <w:r>
        <w:t xml:space="preserve">may </w:t>
      </w:r>
      <w:r w:rsidRPr="005D4AA7">
        <w:t xml:space="preserve">be filed </w:t>
      </w:r>
      <w:r>
        <w:t xml:space="preserve">and served </w:t>
      </w:r>
      <w:r w:rsidRPr="005D4AA7">
        <w:t xml:space="preserve">within five business days after </w:t>
      </w:r>
      <w:r>
        <w:t>receipt of the acknowledgment (rather than three business days as provided in the attached Third Protective Order)</w:t>
      </w:r>
      <w:r w:rsidRPr="005D4AA7">
        <w:t>.</w:t>
      </w:r>
      <w:r>
        <w:rPr>
          <w:rStyle w:val="FootnoteReference"/>
        </w:rPr>
        <w:footnoteReference w:id="19"/>
      </w:r>
      <w:r w:rsidRPr="006E6476">
        <w:t xml:space="preserve"> </w:t>
      </w:r>
      <w:r w:rsidR="008B7FE8">
        <w:t xml:space="preserve"> </w:t>
      </w:r>
      <w:r w:rsidRPr="006E6476">
        <w:t xml:space="preserve">These </w:t>
      </w:r>
      <w:r>
        <w:t xml:space="preserve">extended </w:t>
      </w:r>
      <w:r w:rsidRPr="006E6476">
        <w:t xml:space="preserve">time periods apply </w:t>
      </w:r>
      <w:r>
        <w:t xml:space="preserve">only </w:t>
      </w:r>
      <w:r w:rsidRPr="006E6476">
        <w:t xml:space="preserve">to acknowledgments </w:t>
      </w:r>
      <w:r>
        <w:t xml:space="preserve">that </w:t>
      </w:r>
      <w:r w:rsidRPr="006E6476">
        <w:t>seek access to the Highly Confidential Rate Report Exhibit.</w:t>
      </w:r>
      <w:r w:rsidRPr="00570F07">
        <w:rPr>
          <w:highlight w:val="yellow"/>
        </w:rPr>
        <w:t xml:space="preserve">   </w:t>
      </w:r>
    </w:p>
    <w:p w:rsidR="00570F07" w:rsidRPr="00570F07" w:rsidP="00570F07">
      <w:pPr>
        <w:keepNext/>
        <w:numPr>
          <w:ilvl w:val="0"/>
          <w:numId w:val="3"/>
        </w:numPr>
        <w:tabs>
          <w:tab w:val="left" w:pos="720"/>
        </w:tabs>
        <w:suppressAutoHyphens/>
        <w:spacing w:after="120"/>
        <w:outlineLvl w:val="0"/>
        <w:rPr>
          <w:b/>
          <w:caps/>
        </w:rPr>
      </w:pPr>
      <w:r w:rsidRPr="00570F07">
        <w:rPr>
          <w:b/>
          <w:caps/>
        </w:rPr>
        <w:t>Ordering Clause</w:t>
      </w:r>
    </w:p>
    <w:p w:rsidR="00570F07" w:rsidRPr="00570F07" w:rsidP="00570F07">
      <w:pPr>
        <w:keepNext/>
        <w:widowControl/>
        <w:numPr>
          <w:ilvl w:val="0"/>
          <w:numId w:val="2"/>
        </w:numPr>
        <w:tabs>
          <w:tab w:val="clear" w:pos="1080"/>
          <w:tab w:val="left" w:pos="1440"/>
        </w:tabs>
        <w:spacing w:after="120"/>
        <w:rPr>
          <w:snapToGrid/>
          <w:szCs w:val="22"/>
        </w:rPr>
      </w:pPr>
      <w:r w:rsidRPr="00570F07">
        <w:rPr>
          <w:snapToGrid/>
        </w:rPr>
        <w:t>Accordingly, IT IS ORDERED that pursuant to section 4(</w:t>
      </w:r>
      <w:r w:rsidRPr="00570F07">
        <w:rPr>
          <w:snapToGrid/>
        </w:rPr>
        <w:t>i</w:t>
      </w:r>
      <w:r w:rsidRPr="00570F07">
        <w:rPr>
          <w:snapToGrid/>
        </w:rPr>
        <w:t>) of the Communications Act of 1934, as amended, 47 U.S.C. § 154(</w:t>
      </w:r>
      <w:r w:rsidRPr="00570F07">
        <w:rPr>
          <w:snapToGrid/>
        </w:rPr>
        <w:t>i</w:t>
      </w:r>
      <w:r w:rsidRPr="00570F07">
        <w:rPr>
          <w:snapToGrid/>
        </w:rPr>
        <w:t>), section 4 of the Freedom of Information Act, 5 U.S.C. § 552(b)(4), and authority delegated under sections 0.141 and 0.361 of the Commission’s rules, 47 CFR §§ 0.141, 0.361, the Third Protective Order is ADOPTED and SHALL BE EFFECTIVE upon its adoption.</w:t>
      </w:r>
    </w:p>
    <w:p w:rsidR="00570F07" w:rsidRPr="00570F07" w:rsidP="00570F07">
      <w:pPr>
        <w:keepNext/>
        <w:widowControl/>
        <w:numPr>
          <w:ilvl w:val="0"/>
          <w:numId w:val="2"/>
        </w:numPr>
        <w:tabs>
          <w:tab w:val="clear" w:pos="1080"/>
          <w:tab w:val="left" w:pos="1440"/>
        </w:tabs>
        <w:spacing w:after="120"/>
        <w:rPr>
          <w:snapToGrid/>
          <w:szCs w:val="22"/>
        </w:rPr>
      </w:pPr>
      <w:r w:rsidRPr="00570F07">
        <w:rPr>
          <w:snapToGrid/>
        </w:rPr>
        <w:t xml:space="preserve">IT IS FURTHER ORDERED that this Order SHALL BE EFFECTIVE upon release. </w:t>
      </w:r>
    </w:p>
    <w:p w:rsidR="00570F07" w:rsidRPr="00570F07" w:rsidP="00570F07">
      <w:r w:rsidRPr="00570F07">
        <w:tab/>
      </w:r>
      <w:r w:rsidRPr="00570F07">
        <w:tab/>
      </w:r>
      <w:r w:rsidRPr="00570F07">
        <w:tab/>
      </w:r>
      <w:r w:rsidRPr="00570F07">
        <w:tab/>
      </w:r>
      <w:r w:rsidRPr="00570F07">
        <w:tab/>
      </w:r>
      <w:r w:rsidRPr="00570F07">
        <w:tab/>
        <w:t>FEDERAL COMMUNICATIONS COMMISSION</w:t>
      </w:r>
    </w:p>
    <w:p w:rsidR="00570F07" w:rsidRPr="00570F07" w:rsidP="00570F07"/>
    <w:p w:rsidR="00570F07" w:rsidRPr="00570F07" w:rsidP="00570F07"/>
    <w:p w:rsidR="00570F07" w:rsidRPr="00570F07" w:rsidP="00570F07"/>
    <w:p w:rsidR="00570F07" w:rsidRPr="00570F07" w:rsidP="00570F07"/>
    <w:p w:rsidR="00570F07" w:rsidRPr="00570F07" w:rsidP="00570F07">
      <w:r w:rsidRPr="00570F07">
        <w:tab/>
      </w:r>
      <w:r w:rsidRPr="00570F07">
        <w:tab/>
      </w:r>
      <w:r w:rsidRPr="00570F07">
        <w:tab/>
      </w:r>
      <w:r w:rsidRPr="00570F07">
        <w:tab/>
      </w:r>
      <w:r w:rsidRPr="00570F07">
        <w:tab/>
      </w:r>
      <w:r w:rsidRPr="00570F07">
        <w:tab/>
        <w:t>Patrick Webre</w:t>
      </w:r>
    </w:p>
    <w:p w:rsidR="00570F07" w:rsidRPr="00570F07" w:rsidP="00570F07">
      <w:r w:rsidRPr="00570F07">
        <w:tab/>
      </w:r>
      <w:r w:rsidRPr="00570F07">
        <w:tab/>
      </w:r>
      <w:r w:rsidRPr="00570F07">
        <w:tab/>
      </w:r>
      <w:r w:rsidRPr="00570F07">
        <w:tab/>
      </w:r>
      <w:r w:rsidRPr="00570F07">
        <w:tab/>
      </w:r>
      <w:r w:rsidRPr="00570F07">
        <w:tab/>
        <w:t>Chief</w:t>
      </w:r>
    </w:p>
    <w:p w:rsidR="00570F07" w:rsidRPr="00570F07" w:rsidP="00570F07">
      <w:r w:rsidRPr="00570F07">
        <w:tab/>
      </w:r>
      <w:r w:rsidRPr="00570F07">
        <w:tab/>
      </w:r>
      <w:r w:rsidRPr="00570F07">
        <w:tab/>
      </w:r>
      <w:r w:rsidRPr="00570F07">
        <w:tab/>
      </w:r>
      <w:r w:rsidRPr="00570F07">
        <w:tab/>
      </w:r>
      <w:r w:rsidRPr="00570F07">
        <w:tab/>
        <w:t>Consumer and Governmental Affairs Bureau</w:t>
      </w:r>
    </w:p>
    <w:p w:rsidR="00570F07" w:rsidRPr="00570F07" w:rsidP="00570F07">
      <w:pPr>
        <w:keepNext/>
        <w:widowControl/>
        <w:tabs>
          <w:tab w:val="left" w:pos="1440"/>
        </w:tabs>
        <w:spacing w:after="120"/>
        <w:rPr>
          <w:snapToGrid/>
          <w:szCs w:val="22"/>
        </w:rPr>
      </w:pPr>
    </w:p>
    <w:p w:rsidR="00570F07" w:rsidRPr="00570F07" w:rsidP="00570F07">
      <w:pPr>
        <w:tabs>
          <w:tab w:val="left" w:pos="1440"/>
        </w:tabs>
        <w:spacing w:after="12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570F07" w:rsidRPr="00570F07" w:rsidP="00570F07">
      <w:pPr>
        <w:spacing w:after="120"/>
        <w:jc w:val="center"/>
        <w:rPr>
          <w:b/>
        </w:rPr>
      </w:pPr>
      <w:bookmarkStart w:id="1" w:name="_Hlk515872038"/>
      <w:r w:rsidRPr="00570F07">
        <w:rPr>
          <w:b/>
        </w:rPr>
        <w:t>APPENDIX A</w:t>
      </w:r>
    </w:p>
    <w:p w:rsidR="00570F07" w:rsidRPr="00570F07" w:rsidP="00570F07">
      <w:pPr>
        <w:spacing w:after="120"/>
        <w:jc w:val="center"/>
        <w:rPr>
          <w:b/>
        </w:rPr>
      </w:pPr>
      <w:r>
        <w:rPr>
          <w:b/>
        </w:rPr>
        <w:t xml:space="preserve">THIRD </w:t>
      </w:r>
      <w:r w:rsidRPr="00570F07">
        <w:rPr>
          <w:b/>
        </w:rPr>
        <w:t>PROTECTIVE ORDER</w:t>
      </w:r>
    </w:p>
    <w:p w:rsidR="00570F07" w:rsidRPr="00570F07" w:rsidP="00570F07">
      <w:pPr>
        <w:spacing w:after="120"/>
        <w:jc w:val="center"/>
        <w:rPr>
          <w:b/>
        </w:rPr>
      </w:pPr>
      <w:r w:rsidRPr="00570F07">
        <w:rPr>
          <w:b/>
        </w:rPr>
        <w:t>CG Docket Nos. 03-123, 10-51, and 13-24</w:t>
      </w:r>
    </w:p>
    <w:p w:rsidR="00570F07" w:rsidRPr="00570F07" w:rsidP="00570F07">
      <w:pPr>
        <w:numPr>
          <w:ilvl w:val="0"/>
          <w:numId w:val="8"/>
        </w:numPr>
        <w:tabs>
          <w:tab w:val="clear" w:pos="1080"/>
          <w:tab w:val="num" w:pos="1440"/>
        </w:tabs>
        <w:spacing w:after="120"/>
        <w:rPr>
          <w:szCs w:val="22"/>
        </w:rPr>
      </w:pPr>
      <w:r w:rsidRPr="00570F07">
        <w:rPr>
          <w:i/>
        </w:rPr>
        <w:t>Definitions</w:t>
      </w:r>
      <w:r w:rsidRPr="00570F07">
        <w:t>.</w:t>
      </w:r>
      <w:r w:rsidRPr="00570F07">
        <w:rPr>
          <w:i/>
        </w:rPr>
        <w:t xml:space="preserve">  </w:t>
      </w:r>
      <w:r w:rsidRPr="00570F07">
        <w:t xml:space="preserve">As used herein, </w:t>
      </w:r>
      <w:r w:rsidRPr="00570F07">
        <w:rPr>
          <w:szCs w:val="22"/>
        </w:rPr>
        <w:t>capitalized</w:t>
      </w:r>
      <w:r w:rsidRPr="00570F07">
        <w:t xml:space="preserve"> terms not otherwise defined in this Protective Order shall have the following meanings:</w:t>
      </w:r>
    </w:p>
    <w:p w:rsidR="00570F07" w:rsidRPr="00570F07" w:rsidP="00570F07">
      <w:pPr>
        <w:snapToGrid w:val="0"/>
        <w:spacing w:after="120"/>
        <w:ind w:firstLine="720"/>
      </w:pPr>
      <w:r w:rsidRPr="00570F07">
        <w:t>“Acknowledgment” means the Acknowledgment of Confidentiality attached as Appendix C hereto.</w:t>
      </w:r>
    </w:p>
    <w:p w:rsidR="00570F07" w:rsidRPr="00570F07" w:rsidP="00570F07">
      <w:pPr>
        <w:widowControl/>
        <w:snapToGrid w:val="0"/>
        <w:spacing w:after="120"/>
        <w:ind w:firstLine="720"/>
      </w:pPr>
      <w:r w:rsidRPr="00570F07">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570F07" w:rsidRPr="00570F07" w:rsidP="00570F07">
      <w:pPr>
        <w:widowControl/>
        <w:snapToGrid w:val="0"/>
        <w:spacing w:after="120"/>
        <w:ind w:firstLine="720"/>
        <w:rPr>
          <w:snapToGrid/>
        </w:rPr>
      </w:pPr>
      <w:r w:rsidRPr="00570F07">
        <w:t>“Confidential Information” means information that is not otherwise available from publicly available sources and that is subject to protection under the Freedom of Information Act (“FOIA”), 5 U.S.C. § 552, and the Commission’s implementing rules.</w:t>
      </w:r>
    </w:p>
    <w:p w:rsidR="00570F07" w:rsidRPr="00570F07" w:rsidP="00570F07">
      <w:pPr>
        <w:snapToGrid w:val="0"/>
        <w:spacing w:after="120"/>
        <w:ind w:firstLine="720"/>
      </w:pPr>
      <w:r w:rsidRPr="00570F07">
        <w:t>“Counsel” means In-House Counsel and Outside Counsel of Record.</w:t>
      </w:r>
    </w:p>
    <w:p w:rsidR="00570F07" w:rsidRPr="00570F07" w:rsidP="00570F07">
      <w:pPr>
        <w:snapToGrid w:val="0"/>
        <w:spacing w:after="120"/>
        <w:ind w:firstLine="720"/>
      </w:pPr>
      <w:r w:rsidRPr="00570F07">
        <w:rPr>
          <w:snapToGrid/>
        </w:rPr>
        <w:t xml:space="preserve">“Document” </w:t>
      </w:r>
      <w:r w:rsidRPr="00570F07">
        <w:t>means</w:t>
      </w:r>
      <w:r w:rsidRPr="00570F07">
        <w:rPr>
          <w:snapToGrid/>
        </w:rPr>
        <w:t xml:space="preserve"> any written, recorded, electronically stored, or graphic material, whether produced or created by the Submitting Party or another person.  </w:t>
      </w:r>
    </w:p>
    <w:p w:rsidR="00570F07" w:rsidRPr="00570F07" w:rsidP="00570F07">
      <w:pPr>
        <w:snapToGrid w:val="0"/>
        <w:spacing w:after="120"/>
        <w:ind w:firstLine="720"/>
      </w:pPr>
      <w:r w:rsidRPr="00570F07">
        <w:t xml:space="preserve">“Highly Confidential Information” means information that is not otherwise available from publicly available sources; that the Submitting Party has kept strictly confidential; that is subject to </w:t>
      </w:r>
      <w:r w:rsidRPr="00570F07">
        <w:rPr>
          <w:snapToGrid/>
        </w:rPr>
        <w:t>protection under FOIA and the Commission’s implementing rules</w:t>
      </w:r>
      <w:r w:rsidRPr="00570F07">
        <w:t xml:space="preserve">; that the Submitting Party or a Third Party Interest Holder claims constitutes some of its most sensitive business data which, if released to competitors or those with whom the Submitting Party or Third Party Interest Holder does business, would allow those persons to gain a significant advantage in the marketplace or in negotiations; and </w:t>
      </w:r>
      <w:r w:rsidRPr="00570F07">
        <w:rPr>
          <w:snapToGrid/>
        </w:rPr>
        <w:t>that is described in Appendix B to this Protective Order, as the same may be amended from time to time</w:t>
      </w:r>
      <w:r w:rsidRPr="00570F07">
        <w:t>.</w:t>
      </w:r>
    </w:p>
    <w:p w:rsidR="00570F07" w:rsidRPr="00570F07" w:rsidP="00570F07">
      <w:pPr>
        <w:snapToGrid w:val="0"/>
        <w:spacing w:after="120"/>
        <w:ind w:firstLine="720"/>
      </w:pPr>
      <w:r w:rsidRPr="00570F07">
        <w:rPr>
          <w:snapToGrid/>
        </w:rPr>
        <w:t xml:space="preserve">“In-House </w:t>
      </w:r>
      <w:r w:rsidRPr="00570F07">
        <w:t>Counsel</w:t>
      </w:r>
      <w:r w:rsidRPr="00570F07">
        <w:rPr>
          <w:snapToGrid/>
        </w:rPr>
        <w:t xml:space="preserve">” means an attorney employed by a Participant in this proceeding or employed by an affiliated entity and who is actively engaged in the conduct of this proceeding, </w:t>
      </w:r>
      <w:r w:rsidRPr="00570F07">
        <w:rPr>
          <w:iCs/>
        </w:rPr>
        <w:t>provided that</w:t>
      </w:r>
      <w:r w:rsidRPr="00570F07">
        <w:rPr>
          <w:snapToGrid/>
        </w:rPr>
        <w:t xml:space="preserve"> such attorney is not involved in Competitive Decision-Making.  (In this regard, an In-House Counsel’s employer is considered his or her client.)</w:t>
      </w:r>
    </w:p>
    <w:p w:rsidR="00570F07" w:rsidRPr="00570F07" w:rsidP="00570F07">
      <w:pPr>
        <w:snapToGrid w:val="0"/>
        <w:spacing w:after="120"/>
        <w:ind w:firstLine="720"/>
      </w:pPr>
      <w:r w:rsidRPr="00570F07">
        <w:rPr>
          <w:color w:val="000000"/>
        </w:rPr>
        <w:t>“Outside Counsel of Record” or “</w:t>
      </w:r>
      <w:r w:rsidRPr="00570F07">
        <w:t>Outside</w:t>
      </w:r>
      <w:r w:rsidRPr="00570F07">
        <w:rPr>
          <w:color w:val="000000"/>
        </w:rPr>
        <w:t xml:space="preserve"> Counsel” means the attorney(s), firm(s) of attorneys, or sole practitioner(s)</w:t>
      </w:r>
      <w:r w:rsidRPr="00570F07">
        <w:rPr>
          <w:color w:val="000000"/>
        </w:rPr>
        <w:t xml:space="preserve">, as the </w:t>
      </w:r>
      <w:r w:rsidRPr="00570F07">
        <w:rPr>
          <w:snapToGrid/>
        </w:rPr>
        <w:t>case</w:t>
      </w:r>
      <w:r w:rsidRPr="00570F07">
        <w:rPr>
          <w:color w:val="000000"/>
        </w:rPr>
        <w:t xml:space="preserve"> may be, retained</w:t>
      </w:r>
      <w:r w:rsidRPr="00570F07">
        <w:rPr>
          <w:color w:val="000000"/>
        </w:rPr>
        <w:t xml:space="preserve">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570F07" w:rsidRPr="00570F07" w:rsidP="00570F07">
      <w:pPr>
        <w:snapToGrid w:val="0"/>
        <w:spacing w:after="120"/>
        <w:ind w:firstLine="720"/>
      </w:pPr>
      <w:r w:rsidRPr="00570F07">
        <w:t xml:space="preserve">“Outside Consultant” means a consultant or expert retained </w:t>
      </w:r>
      <w:r w:rsidRPr="00570F07">
        <w:t>for the purpose of</w:t>
      </w:r>
      <w:r w:rsidRPr="00570F07">
        <w:t xml:space="preserve">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570F07" w:rsidRPr="00570F07" w:rsidP="00570F07">
      <w:pPr>
        <w:snapToGrid w:val="0"/>
        <w:spacing w:after="120"/>
        <w:ind w:firstLine="720"/>
      </w:pPr>
      <w:r w:rsidRPr="00570F07">
        <w:t>“Outside Firm” means a firm, whether organized as a partnership, limited partnership, limited liability partnership, limited liability company, corporation, or otherwise, of Outside Counsel or Outside Consultants.</w:t>
      </w:r>
    </w:p>
    <w:p w:rsidR="00570F07" w:rsidRPr="00570F07" w:rsidP="00570F07">
      <w:pPr>
        <w:widowControl/>
        <w:snapToGrid w:val="0"/>
        <w:spacing w:after="120"/>
        <w:ind w:firstLine="720"/>
      </w:pPr>
      <w:r w:rsidRPr="00570F07">
        <w:t>“Participant” means a person or entity that has filed, or has a good faith intention to file, an application, petition to deny, material comments, or other documents in this proceeding.</w:t>
      </w:r>
    </w:p>
    <w:p w:rsidR="00570F07" w:rsidRPr="00570F07" w:rsidP="00570F07">
      <w:pPr>
        <w:snapToGrid w:val="0"/>
        <w:spacing w:after="120"/>
        <w:ind w:firstLine="720"/>
      </w:pPr>
      <w:r w:rsidRPr="00570F07">
        <w:t>“Redacted Confidential Document” means a copy of a Stamped Confidential Document where the Confidential Information has been redacted.</w:t>
      </w:r>
    </w:p>
    <w:p w:rsidR="00570F07" w:rsidRPr="00570F07" w:rsidP="00570F07">
      <w:pPr>
        <w:snapToGrid w:val="0"/>
        <w:spacing w:after="120"/>
        <w:ind w:firstLine="720"/>
      </w:pPr>
      <w:r w:rsidRPr="00570F07">
        <w:t>“Redacted Highly Confidential Document” means a copy of a Stamped Highly Confidential Document where the Highly Confidential Information has been redacted.</w:t>
      </w:r>
    </w:p>
    <w:p w:rsidR="00570F07" w:rsidRPr="00570F07" w:rsidP="00570F07">
      <w:pPr>
        <w:snapToGrid w:val="0"/>
        <w:spacing w:after="120"/>
        <w:ind w:firstLine="720"/>
        <w:rPr>
          <w:snapToGrid/>
        </w:rPr>
      </w:pPr>
      <w:r w:rsidRPr="00570F07">
        <w:t xml:space="preserve">“Reviewing </w:t>
      </w:r>
      <w:r w:rsidRPr="00570F07">
        <w:rPr>
          <w:color w:val="000000"/>
        </w:rPr>
        <w:t>Party</w:t>
      </w:r>
      <w:r w:rsidRPr="00570F07">
        <w:t xml:space="preserve">” means a person who has obtained access to Confidential Information (including Stamped Confidential Documents) or Highly Confidential Information (including Stamped Highly Confidential Documents) pursuant to paragraphs 6 or </w:t>
      </w:r>
      <w:r w:rsidRPr="00570F07">
        <w:fldChar w:fldCharType="begin"/>
      </w:r>
      <w:r w:rsidRPr="00570F07">
        <w:instrText xml:space="preserve"> REF _Ref287447280 \r \h  \* MERGEFORMAT </w:instrText>
      </w:r>
      <w:r w:rsidRPr="00570F07">
        <w:fldChar w:fldCharType="separate"/>
      </w:r>
      <w:r w:rsidR="00825205">
        <w:t>10</w:t>
      </w:r>
      <w:r w:rsidRPr="00570F07">
        <w:fldChar w:fldCharType="end"/>
      </w:r>
      <w:r w:rsidRPr="00570F07">
        <w:t xml:space="preserve"> </w:t>
      </w:r>
      <w:r w:rsidRPr="00570F07">
        <w:rPr>
          <w:snapToGrid/>
        </w:rPr>
        <w:t>of this Protective Order.</w:t>
      </w:r>
    </w:p>
    <w:p w:rsidR="00570F07" w:rsidRPr="00570F07" w:rsidP="00570F07">
      <w:pPr>
        <w:snapToGrid w:val="0"/>
        <w:spacing w:after="120"/>
        <w:ind w:firstLine="720"/>
        <w:rPr>
          <w:snapToGrid/>
        </w:rPr>
      </w:pPr>
      <w:r w:rsidRPr="00570F07">
        <w:rPr>
          <w:snapToGrid/>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t>
      </w:r>
      <w:r w:rsidRPr="00570F07">
        <w:rPr>
          <w:snapToGrid/>
          <w:szCs w:val="22"/>
        </w:rPr>
        <w:t xml:space="preserve">CG DOCKET NOS. 13-24. 10-51, and </w:t>
      </w:r>
      <w:r w:rsidRPr="00570F07">
        <w:rPr>
          <w:snapToGrid/>
          <w:szCs w:val="22"/>
        </w:rPr>
        <w:br/>
        <w:t xml:space="preserve">03-123 </w:t>
      </w:r>
      <w:r w:rsidRPr="00570F07">
        <w:rPr>
          <w:snapToGrid/>
        </w:rPr>
        <w:t xml:space="preserve">BEFORE THE FEDERAL COMMUNICATIONS COMMISSION,” unless the Commission determines, </w:t>
      </w:r>
      <w:r w:rsidRPr="00570F07">
        <w:rPr>
          <w:i/>
          <w:iCs/>
        </w:rPr>
        <w:t>sua</w:t>
      </w:r>
      <w:r w:rsidRPr="00570F07">
        <w:rPr>
          <w:i/>
          <w:iCs/>
        </w:rPr>
        <w:t xml:space="preserve"> sponte</w:t>
      </w:r>
      <w:r w:rsidRPr="00570F07">
        <w:rPr>
          <w:snapToGrid/>
        </w:rPr>
        <w:t xml:space="preserve"> or by request pursuant to paragraph 3 of this Protective Order or sections 0.459 or 0.461 of its rules,</w:t>
      </w:r>
      <w:r>
        <w:rPr>
          <w:sz w:val="20"/>
          <w:vertAlign w:val="superscript"/>
        </w:rPr>
        <w:footnoteReference w:id="20"/>
      </w:r>
      <w:r w:rsidRPr="00570F07">
        <w:rPr>
          <w:snapToGrid/>
        </w:rPr>
        <w:t xml:space="preserve"> that any such document is not entitled to confidential treatment.  By designating a </w:t>
      </w:r>
      <w:r w:rsidRPr="00570F07">
        <w:rPr>
          <w:snapToGrid/>
        </w:rPr>
        <w:t>document</w:t>
      </w:r>
      <w:r w:rsidRPr="00570F07">
        <w:rPr>
          <w:snapToGrid/>
        </w:rPr>
        <w:t xml:space="preserve"> a “Stamped Confidential Document,” a Submitting Party signifies and represents that it contains Confidential Information.</w:t>
      </w:r>
    </w:p>
    <w:p w:rsidR="00570F07" w:rsidRPr="00570F07" w:rsidP="00570F07">
      <w:pPr>
        <w:snapToGrid w:val="0"/>
        <w:spacing w:after="120"/>
        <w:ind w:firstLine="720"/>
        <w:rPr>
          <w:snapToGrid/>
        </w:rPr>
      </w:pPr>
      <w:r w:rsidRPr="00570F07">
        <w:rPr>
          <w:snapToGrid/>
        </w:rPr>
        <w:t xml:space="preserve">“Stamped Highly </w:t>
      </w:r>
      <w:r w:rsidRPr="00570F07">
        <w:t>Confidential</w:t>
      </w:r>
      <w:r w:rsidRPr="00570F07">
        <w:rPr>
          <w:snapToGrid/>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t>
      </w:r>
      <w:r w:rsidRPr="00570F07">
        <w:rPr>
          <w:snapToGrid/>
          <w:szCs w:val="22"/>
        </w:rPr>
        <w:t xml:space="preserve">CG DOCKET NOS. 13-24, 10-51, and </w:t>
      </w:r>
      <w:r w:rsidRPr="00570F07">
        <w:rPr>
          <w:snapToGrid/>
          <w:szCs w:val="22"/>
        </w:rPr>
        <w:br/>
        <w:t xml:space="preserve">03-123 </w:t>
      </w:r>
      <w:r w:rsidRPr="00570F07">
        <w:rPr>
          <w:snapToGrid/>
        </w:rPr>
        <w:t xml:space="preserve">BEFORE THE FEDERAL COMMUNICATIONS COMMISSION,” unless the Commission determines, </w:t>
      </w:r>
      <w:r w:rsidRPr="00570F07">
        <w:rPr>
          <w:i/>
          <w:iCs/>
        </w:rPr>
        <w:t>sua</w:t>
      </w:r>
      <w:r w:rsidRPr="00570F07">
        <w:rPr>
          <w:i/>
          <w:iCs/>
        </w:rPr>
        <w:t xml:space="preserve"> sponte</w:t>
      </w:r>
      <w:r w:rsidRPr="00570F07">
        <w:rPr>
          <w:snapToGrid/>
        </w:rPr>
        <w:t xml:space="preserve"> or by request pursuant to paragraph 3 of this Protective Order or sections 0.459 or 0.461 of its rules, that any such document is not entitled to highly confidential treatment.  By designating a </w:t>
      </w:r>
      <w:r w:rsidRPr="00570F07">
        <w:rPr>
          <w:snapToGrid/>
        </w:rPr>
        <w:t>document</w:t>
      </w:r>
      <w:r w:rsidRPr="00570F07">
        <w:rPr>
          <w:snapToGrid/>
        </w:rPr>
        <w:t xml:space="preserve"> a “Stamped Highly Confidential Document,” a Submitting Party signifies and represents that it contains Highly Confidential Information.</w:t>
      </w:r>
    </w:p>
    <w:p w:rsidR="00570F07" w:rsidRPr="00570F07" w:rsidP="00570F07">
      <w:pPr>
        <w:snapToGrid w:val="0"/>
        <w:spacing w:after="120"/>
        <w:ind w:firstLine="720"/>
        <w:rPr>
          <w:snapToGrid/>
        </w:rPr>
      </w:pPr>
      <w:r w:rsidRPr="00570F07">
        <w:rPr>
          <w:snapToGrid/>
        </w:rPr>
        <w:t xml:space="preserve">“Submitting Party” </w:t>
      </w:r>
      <w:r w:rsidRPr="00570F07">
        <w:t>means</w:t>
      </w:r>
      <w:r w:rsidRPr="00570F07">
        <w:rPr>
          <w:snapToGrid/>
        </w:rPr>
        <w:t xml:space="preserve"> a person or entity who submits a Stamped Confidential Document or a Stamped Highly Confidential Document.</w:t>
      </w:r>
    </w:p>
    <w:p w:rsidR="00570F07" w:rsidRPr="00570F07" w:rsidP="00570F07">
      <w:pPr>
        <w:snapToGrid w:val="0"/>
        <w:spacing w:after="120"/>
        <w:ind w:firstLine="720"/>
        <w:rPr>
          <w:snapToGrid/>
        </w:rPr>
      </w:pPr>
      <w:r w:rsidRPr="00570F07">
        <w:rPr>
          <w:snapToGrid/>
        </w:rPr>
        <w:t xml:space="preserve">“Support Personnel” </w:t>
      </w:r>
      <w:r w:rsidRPr="00570F07">
        <w:t>means</w:t>
      </w:r>
      <w:r w:rsidRPr="00570F07">
        <w:rPr>
          <w:snapToGrid/>
        </w:rPr>
        <w:t xml:space="preserve"> </w:t>
      </w:r>
      <w:r w:rsidRPr="00570F07">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570F07" w:rsidRPr="00570F07" w:rsidP="00570F07">
      <w:pPr>
        <w:snapToGrid w:val="0"/>
        <w:spacing w:after="120"/>
        <w:ind w:firstLine="720"/>
        <w:rPr>
          <w:snapToGrid/>
        </w:rPr>
      </w:pPr>
      <w:r w:rsidRPr="00570F07">
        <w:rPr>
          <w:snapToGrid/>
        </w:rPr>
        <w:t xml:space="preserve">“Third-Party Interest Holder” </w:t>
      </w:r>
      <w:r w:rsidRPr="00570F07">
        <w:t>means</w:t>
      </w:r>
      <w:r w:rsidRPr="00570F07">
        <w:rPr>
          <w:snapToGrid/>
        </w:rPr>
        <w:t xml:space="preserve"> a person who is not a Submitting Party who </w:t>
      </w:r>
      <w:r w:rsidRPr="00570F07">
        <w:t>has a confidentiality interest in Confidential Information or Highly Confidential Information that is submitted under this Protective Order.</w:t>
      </w:r>
    </w:p>
    <w:p w:rsidR="00570F07" w:rsidRPr="00570F07" w:rsidP="008B7FE8">
      <w:pPr>
        <w:widowControl/>
        <w:numPr>
          <w:ilvl w:val="0"/>
          <w:numId w:val="2"/>
        </w:numPr>
        <w:tabs>
          <w:tab w:val="clear" w:pos="1080"/>
          <w:tab w:val="left" w:pos="1440"/>
        </w:tabs>
        <w:spacing w:after="120"/>
      </w:pPr>
      <w:bookmarkStart w:id="2" w:name="_Ref287958858"/>
      <w:r w:rsidRPr="00570F07">
        <w:rPr>
          <w:i/>
        </w:rPr>
        <w:t>Designation of Information as Highly Confidential.</w:t>
      </w:r>
      <w:r w:rsidRPr="00570F07">
        <w:t xml:space="preserve">  </w:t>
      </w:r>
      <w:bookmarkEnd w:id="2"/>
      <w:r w:rsidRPr="00570F07">
        <w:t xml:space="preserve">A Submitting Party may designate as Highly Confidential only those types of information described in Appendix B.  If a Submitting Party believes that the descriptions contained in Appendix B should be revised, the Submitting Party shall submit a request to amend Appendix B along with a supporting explanation.  To the extent the request is granted, an amended Appendix B will be issued.  In addition, before a Submitting Party may designate </w:t>
      </w:r>
      <w:r w:rsidRPr="00570F07">
        <w:t>particular documents</w:t>
      </w:r>
      <w:r w:rsidRPr="00570F07">
        <w:t xml:space="preserve"> or information as Highly Confidential, it must receive the written approval of the Commission staff, who,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570F07">
        <w:rPr>
          <w:szCs w:val="22"/>
        </w:rPr>
        <w:t xml:space="preserve">Protective </w:t>
      </w:r>
      <w:r w:rsidRPr="00570F07">
        <w:rPr>
          <w:szCs w:val="22"/>
        </w:rPr>
        <w:t>Order</w:t>
      </w:r>
      <w:r w:rsidRPr="00570F07">
        <w:t>, a Submitting Party also will be deemed to have submitted a request that the material not be made routinely available for public inspection under the Commission’s rules.</w:t>
      </w:r>
      <w:r>
        <w:rPr>
          <w:sz w:val="20"/>
          <w:vertAlign w:val="superscript"/>
        </w:rPr>
        <w:footnoteReference w:id="21"/>
      </w:r>
    </w:p>
    <w:p w:rsidR="00570F07" w:rsidRPr="00570F07" w:rsidP="00570F07">
      <w:pPr>
        <w:numPr>
          <w:ilvl w:val="0"/>
          <w:numId w:val="2"/>
        </w:numPr>
        <w:tabs>
          <w:tab w:val="clear" w:pos="1080"/>
          <w:tab w:val="left" w:pos="1440"/>
        </w:tabs>
        <w:spacing w:after="120"/>
      </w:pPr>
      <w:bookmarkStart w:id="3" w:name="_Ref383422758"/>
      <w:r w:rsidRPr="00570F07">
        <w:rPr>
          <w:i/>
        </w:rPr>
        <w:t>Challenge to Designation</w:t>
      </w:r>
      <w:r w:rsidRPr="00570F07">
        <w:t xml:space="preserve">.  </w:t>
      </w:r>
      <w:bookmarkEnd w:id="3"/>
      <w:r w:rsidRPr="00570F07">
        <w:t xml:space="preserve">Any person wishing to challenge the designation of a document, portion of a document, or information as Confidential or Highly Confidential </w:t>
      </w:r>
      <w:r w:rsidRPr="00570F07">
        <w:rPr>
          <w:szCs w:val="22"/>
        </w:rPr>
        <w:t xml:space="preserve">must file such a challenge at the Commission and serve it on the </w:t>
      </w:r>
      <w:r w:rsidRPr="00570F07">
        <w:t>Submitting</w:t>
      </w:r>
      <w:r w:rsidRPr="00570F07">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22"/>
      </w:r>
      <w:r w:rsidRPr="00570F07">
        <w:rPr>
          <w:szCs w:val="22"/>
        </w:rPr>
        <w:t xml:space="preserve">  Any decision on whether the materials should be accorded confidential treatment </w:t>
      </w:r>
      <w:r w:rsidRPr="00570F07">
        <w:t>does not constitute a resolution of the merits concerning whether such information would be released publicly by the Commission upon an appropriate request under the Commission’s rules implementing FOIA.</w:t>
      </w:r>
      <w:r>
        <w:rPr>
          <w:vertAlign w:val="superscript"/>
        </w:rPr>
        <w:footnoteReference w:id="23"/>
      </w:r>
      <w:r w:rsidRPr="00570F07">
        <w:t xml:space="preserve">  </w:t>
      </w:r>
    </w:p>
    <w:p w:rsidR="00570F07" w:rsidRPr="00570F07" w:rsidP="00570F07">
      <w:pPr>
        <w:numPr>
          <w:ilvl w:val="0"/>
          <w:numId w:val="2"/>
        </w:numPr>
        <w:tabs>
          <w:tab w:val="clear" w:pos="1080"/>
          <w:tab w:val="left" w:pos="1440"/>
        </w:tabs>
        <w:spacing w:after="120"/>
      </w:pPr>
      <w:bookmarkStart w:id="4" w:name="_Ref287609812"/>
      <w:r w:rsidRPr="00570F07">
        <w:rPr>
          <w:i/>
        </w:rPr>
        <w:t>Submission of Stamped Confidential Documents and Stamped Highly Confidential Documents.</w:t>
      </w:r>
      <w:r w:rsidRPr="00570F07">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570F07">
        <w:rPr>
          <w:snapToGrid/>
          <w:szCs w:val="22"/>
        </w:rPr>
        <w:t xml:space="preserve">any known Third-Party Interest Holders who have a confidentiality interest in any such Stamped Confidential Document or Stamped Highly Confidential Document.  </w:t>
      </w:r>
      <w:r w:rsidRPr="00570F07">
        <w:t xml:space="preserve">Each page of the Stamped Confidential Document or Stamped Highly Confidential Document shall be stamped “CONFIDENTIAL INFORMATION – SUBJECT TO PROTECTIVE ORDER IN CG DOCKET NOS. 13-24, 10-51, AND 03-123 BEFORE THE FEDERAL COMMUNICATIONS COMMISSION” or “HIGHLY CONFIDENTIAL INFORMATION – SUBJECT TO PROTECTIVE ORDER IN CG DOCKET NOS. 13-24, 10-51, AND 03-123 BEFORE THE FEDERAL COMMUNICATIONS COMMISSION,” as appropriate.  The cover letter also shall contain this legend.  </w:t>
      </w:r>
      <w:r w:rsidRPr="00570F07">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sz w:val="20"/>
          <w:szCs w:val="22"/>
          <w:vertAlign w:val="superscript"/>
        </w:rPr>
        <w:footnoteReference w:id="24"/>
      </w:r>
      <w:r w:rsidRPr="00570F07">
        <w:rPr>
          <w:szCs w:val="22"/>
        </w:rPr>
        <w:t xml:space="preserve">  </w:t>
      </w:r>
      <w:r w:rsidRPr="00570F07">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Pr="00570F07">
        <w:rPr>
          <w:szCs w:val="22"/>
        </w:rPr>
        <w:t xml:space="preserve">Eliot Greenwald, </w:t>
      </w:r>
      <w:r>
        <w:fldChar w:fldCharType="begin"/>
      </w:r>
      <w:r>
        <w:instrText xml:space="preserve"> HYPERLINK "mailto:eliot.greenwald@fcc.gov" </w:instrText>
      </w:r>
      <w:r>
        <w:fldChar w:fldCharType="separate"/>
      </w:r>
      <w:r w:rsidRPr="00570F07">
        <w:rPr>
          <w:color w:val="0000FF"/>
          <w:szCs w:val="22"/>
          <w:u w:val="single"/>
        </w:rPr>
        <w:t>eliot.greenwald@fcc.gov</w:t>
      </w:r>
      <w:r>
        <w:fldChar w:fldCharType="end"/>
      </w:r>
      <w:r w:rsidRPr="00570F07">
        <w:rPr>
          <w:szCs w:val="22"/>
        </w:rPr>
        <w:t>, (202) 418-2235, Consumer and Governmental Affairs Bureau</w:t>
      </w:r>
      <w:r w:rsidRPr="00570F07">
        <w:t>, Federal Communications Commission, 445 12</w:t>
      </w:r>
      <w:r w:rsidRPr="00570F07">
        <w:rPr>
          <w:vertAlign w:val="superscript"/>
        </w:rPr>
        <w:t>th</w:t>
      </w:r>
      <w:r w:rsidRPr="00570F07">
        <w:t xml:space="preserve"> Street, S.W., Washington, D.C. 20554, and electronic copies of each Stamped Confidential Document or Stamped Highly Confidential Document and the accompanying cover letter shall be sent by email to </w:t>
      </w:r>
      <w:r>
        <w:fldChar w:fldCharType="begin"/>
      </w:r>
      <w:r>
        <w:instrText xml:space="preserve"> HYPERLINK "mailto:TRSReports@fcc.gov" </w:instrText>
      </w:r>
      <w:r>
        <w:fldChar w:fldCharType="separate"/>
      </w:r>
      <w:r w:rsidRPr="00570F07">
        <w:rPr>
          <w:color w:val="0000FF"/>
          <w:u w:val="single"/>
        </w:rPr>
        <w:t>TRSReports@fcc.gov</w:t>
      </w:r>
      <w:r>
        <w:fldChar w:fldCharType="end"/>
      </w:r>
      <w:r w:rsidRPr="00570F07">
        <w:t xml:space="preserve"> and </w:t>
      </w:r>
      <w:r>
        <w:fldChar w:fldCharType="begin"/>
      </w:r>
      <w:r>
        <w:instrText xml:space="preserve"> HYPERLINK "mailto:eliot.greenwald@fcc.gov" </w:instrText>
      </w:r>
      <w:r>
        <w:fldChar w:fldCharType="separate"/>
      </w:r>
      <w:r w:rsidRPr="00F51AF3" w:rsidR="008B7FE8">
        <w:rPr>
          <w:rStyle w:val="Hyperlink"/>
        </w:rPr>
        <w:t>eliot.greenwald@fcc.gov</w:t>
      </w:r>
      <w:r>
        <w:fldChar w:fldCharType="end"/>
      </w:r>
      <w:r w:rsidRPr="00570F07">
        <w:t>.</w:t>
      </w:r>
    </w:p>
    <w:p w:rsidR="00570F07" w:rsidRPr="00570F07" w:rsidP="00570F07">
      <w:pPr>
        <w:widowControl/>
        <w:numPr>
          <w:ilvl w:val="0"/>
          <w:numId w:val="2"/>
        </w:numPr>
        <w:tabs>
          <w:tab w:val="clear" w:pos="1080"/>
          <w:tab w:val="left" w:pos="1440"/>
        </w:tabs>
        <w:spacing w:after="120"/>
      </w:pPr>
      <w:bookmarkStart w:id="5" w:name="_Ref424658924"/>
      <w:r w:rsidRPr="00570F07">
        <w:rPr>
          <w:i/>
        </w:rPr>
        <w:t>Copying Sensitive Documents</w:t>
      </w:r>
      <w:r w:rsidRPr="00570F07">
        <w:t xml:space="preserve">.  </w:t>
      </w:r>
      <w:bookmarkEnd w:id="4"/>
      <w:r w:rsidRPr="00570F07">
        <w:t>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9, each Outside Firm shall receive only one copy of the document and no more than two additional copies, in any form, shall be made.  Further, the Outside Firms hired by any individual party to this proceeding shall collectively hold no more than 15 copies of the document.  Application for relief from this restriction against further copying may be made to the Commission, with notice to Counsel of Record for the Submitting Party and any known Third-Party Interest Holders, which will be granted only for cause</w:t>
      </w:r>
      <w:r w:rsidRPr="00570F07">
        <w:rPr>
          <w:i/>
        </w:rPr>
        <w:t>.</w:t>
      </w:r>
      <w:bookmarkEnd w:id="5"/>
    </w:p>
    <w:p w:rsidR="00570F07" w:rsidRPr="00570F07" w:rsidP="00570F07">
      <w:pPr>
        <w:widowControl/>
        <w:numPr>
          <w:ilvl w:val="0"/>
          <w:numId w:val="2"/>
        </w:numPr>
        <w:tabs>
          <w:tab w:val="clear" w:pos="1080"/>
          <w:tab w:val="left" w:pos="1440"/>
        </w:tabs>
        <w:spacing w:after="120"/>
        <w:rPr>
          <w:szCs w:val="22"/>
        </w:rPr>
      </w:pPr>
      <w:bookmarkStart w:id="6" w:name="_Ref287447223"/>
      <w:bookmarkStart w:id="7" w:name="_Ref379362673"/>
      <w:bookmarkStart w:id="8" w:name="_Ref133212377"/>
      <w:bookmarkStart w:id="9" w:name="_Ref287447233"/>
      <w:r w:rsidRPr="00570F07">
        <w:rPr>
          <w:i/>
        </w:rPr>
        <w:t>Procedure for Obtaining Access to Confidential Information and Highly Confidential Information</w:t>
      </w:r>
      <w:r w:rsidRPr="00570F07">
        <w:rPr>
          <w:i/>
          <w:snapToGrid/>
        </w:rPr>
        <w:t>.</w:t>
      </w:r>
      <w:r w:rsidRPr="00570F07">
        <w:rPr>
          <w:snapToGrid/>
        </w:rPr>
        <w:t xml:space="preserve">  </w:t>
      </w:r>
      <w:bookmarkEnd w:id="6"/>
      <w:r w:rsidRPr="00570F07">
        <w:rPr>
          <w:snapToGrid/>
        </w:rPr>
        <w:t xml:space="preserve">Access to Highly Confidential Information (including Stamped Highly Confidential Documents) is limited to </w:t>
      </w:r>
      <w:r w:rsidRPr="00570F07">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Submitting Party and each known Third-Party Interest Holder within the </w:t>
      </w:r>
      <w:r w:rsidRPr="00570F07">
        <w:t>time period</w:t>
      </w:r>
      <w:r w:rsidRPr="00570F07">
        <w:t xml:space="preserve"> stated above.</w:t>
      </w:r>
    </w:p>
    <w:p w:rsidR="00570F07" w:rsidRPr="00570F07" w:rsidP="00570F07">
      <w:pPr>
        <w:widowControl/>
        <w:numPr>
          <w:ilvl w:val="0"/>
          <w:numId w:val="2"/>
        </w:numPr>
        <w:tabs>
          <w:tab w:val="clear" w:pos="1080"/>
          <w:tab w:val="left" w:pos="1440"/>
        </w:tabs>
        <w:spacing w:after="120"/>
        <w:rPr>
          <w:snapToGrid/>
        </w:rPr>
      </w:pPr>
      <w:r w:rsidRPr="00570F07">
        <w:rPr>
          <w:i/>
        </w:rPr>
        <w:t xml:space="preserve">Procedure for Objecting to the Disclosure of Confidential Information and Highly Confidential Information to a </w:t>
      </w:r>
      <w:bookmarkEnd w:id="7"/>
      <w:r w:rsidRPr="00570F07">
        <w:rPr>
          <w:i/>
        </w:rPr>
        <w:t>Potential Reviewing Party</w:t>
      </w:r>
      <w:r w:rsidRPr="00570F07">
        <w:rPr>
          <w:i/>
          <w:szCs w:val="22"/>
        </w:rPr>
        <w:t>.</w:t>
      </w:r>
      <w:r>
        <w:rPr>
          <w:snapToGrid/>
          <w:sz w:val="20"/>
          <w:szCs w:val="22"/>
          <w:vertAlign w:val="superscript"/>
        </w:rPr>
        <w:footnoteReference w:id="25"/>
      </w:r>
      <w:r w:rsidRPr="00570F07">
        <w:rPr>
          <w:i/>
          <w:szCs w:val="22"/>
        </w:rPr>
        <w:t xml:space="preserve">  </w:t>
      </w:r>
      <w:r w:rsidRPr="00570F07">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570F07">
        <w:rPr>
          <w:szCs w:val="22"/>
        </w:rPr>
        <w:t>.  Persons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570F07">
        <w:t xml:space="preserve">f a Submitting Party files additional documents containing Confidential Information or Highly Confidential Information, </w:t>
      </w:r>
      <w:r w:rsidRPr="00570F07">
        <w:rPr>
          <w:szCs w:val="22"/>
        </w:rPr>
        <w:t>the Submitting Party shall notify any known Third-Party Interest Holders who have a confidentiality interest in the information before filing the additional documents.  The Submitting Party shall</w:t>
      </w:r>
      <w:r w:rsidRPr="00570F07">
        <w:t xml:space="preserve"> file any objection to the disclosure of that additional Confidential Information or Highly Confidential Information to any Reviewing Party before or contemporaneous with the filing</w:t>
      </w:r>
      <w:r w:rsidRPr="00570F07">
        <w:rPr>
          <w:szCs w:val="22"/>
        </w:rPr>
        <w:t>, and any Third-Party Interest Holder shall file any such objection as promptly as practicable.</w:t>
      </w:r>
      <w:r w:rsidRPr="00570F07">
        <w:t xml:space="preserve">  Until any </w:t>
      </w:r>
      <w:r w:rsidRPr="00570F07">
        <w:rPr>
          <w:szCs w:val="22"/>
        </w:rPr>
        <w:t xml:space="preserve">timely </w:t>
      </w:r>
      <w:r w:rsidRPr="00570F07">
        <w:t>objection is resolved by the Commission in favor of the person seeking access</w:t>
      </w:r>
      <w:r w:rsidRPr="00570F07">
        <w:rPr>
          <w:szCs w:val="22"/>
        </w:rPr>
        <w:t xml:space="preserve"> and, if a motion for a judicial stay is timely filed, until such a motion is acted upon</w:t>
      </w:r>
      <w:r w:rsidRPr="00570F07">
        <w:t>, a person subject to an objection shall not have access to the relevant Confidential Information or Highly Confidential Information</w:t>
      </w:r>
      <w:r w:rsidRPr="00570F07">
        <w:rPr>
          <w:szCs w:val="22"/>
        </w:rPr>
        <w:t>.</w:t>
      </w:r>
      <w:r>
        <w:rPr>
          <w:sz w:val="20"/>
          <w:szCs w:val="22"/>
          <w:vertAlign w:val="superscript"/>
        </w:rPr>
        <w:footnoteReference w:id="26"/>
      </w:r>
      <w:r w:rsidRPr="00570F07">
        <w:rPr>
          <w:szCs w:val="22"/>
        </w:rPr>
        <w:t xml:space="preserve">  If an objection </w:t>
      </w:r>
      <w:r w:rsidRPr="00570F07">
        <w:rPr>
          <w:szCs w:val="22"/>
        </w:rPr>
        <w:t>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570F07">
        <w:t>.</w:t>
      </w:r>
    </w:p>
    <w:p w:rsidR="00570F07" w:rsidRPr="00570F07" w:rsidP="00570F07">
      <w:pPr>
        <w:numPr>
          <w:ilvl w:val="0"/>
          <w:numId w:val="2"/>
        </w:numPr>
        <w:tabs>
          <w:tab w:val="clear" w:pos="1080"/>
          <w:tab w:val="left" w:pos="1440"/>
        </w:tabs>
        <w:spacing w:after="120"/>
      </w:pPr>
      <w:r w:rsidRPr="00570F07">
        <w:rPr>
          <w:i/>
          <w:snapToGrid/>
        </w:rPr>
        <w:t>Review of Stamped Confidential Documents and Stamped Highly Confidential Documents.</w:t>
      </w:r>
      <w:r w:rsidRPr="00570F07">
        <w:rPr>
          <w:snapToGrid/>
        </w:rPr>
        <w:t xml:space="preserve">  A Submitting Party shall make available for review the Stamped Confidential Documents and Stamped Highly Confidential Documents of such party at the offices of the party’s Outside Counsel of Record.</w:t>
      </w:r>
      <w:bookmarkEnd w:id="8"/>
      <w:r w:rsidRPr="00570F07">
        <w:rPr>
          <w:snapToGrid/>
        </w:rPr>
        <w:t xml:space="preserve">  S</w:t>
      </w:r>
      <w:r w:rsidRPr="00570F07">
        <w:t xml:space="preserve">ubject to the provisions of paragraph 5, a </w:t>
      </w:r>
      <w:r w:rsidRPr="00570F07">
        <w:rPr>
          <w:snapToGrid/>
        </w:rPr>
        <w:t xml:space="preserve">Reviewing </w:t>
      </w:r>
      <w:r w:rsidRPr="00570F07">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6.  All copies of documents that are removed from the Submitting Party’s office must be returned or destroyed in accordance with the terms of paragraph </w:t>
      </w:r>
      <w:r w:rsidRPr="00570F07">
        <w:fldChar w:fldCharType="begin"/>
      </w:r>
      <w:r w:rsidRPr="00570F07">
        <w:instrText xml:space="preserve"> REF _Ref379362621 \r \h  \* MERGEFORMAT </w:instrText>
      </w:r>
      <w:r w:rsidRPr="00570F07">
        <w:fldChar w:fldCharType="separate"/>
      </w:r>
      <w:r w:rsidR="00825205">
        <w:t>20</w:t>
      </w:r>
      <w:r w:rsidRPr="00570F07">
        <w:fldChar w:fldCharType="end"/>
      </w:r>
      <w:r w:rsidRPr="00570F07">
        <w:t>.</w:t>
      </w:r>
      <w:bookmarkStart w:id="10" w:name="_Ref379362551"/>
      <w:bookmarkStart w:id="11" w:name="_Ref287967464"/>
      <w:bookmarkEnd w:id="9"/>
    </w:p>
    <w:p w:rsidR="00570F07" w:rsidRPr="00570F07" w:rsidP="00570F07">
      <w:pPr>
        <w:numPr>
          <w:ilvl w:val="0"/>
          <w:numId w:val="2"/>
        </w:numPr>
        <w:tabs>
          <w:tab w:val="clear" w:pos="1080"/>
          <w:tab w:val="left" w:pos="1440"/>
        </w:tabs>
        <w:spacing w:after="120"/>
      </w:pPr>
      <w:r w:rsidRPr="00570F07">
        <w:rPr>
          <w:i/>
        </w:rPr>
        <w:t>Review of Highly Confidential Information in Electronic Format.</w:t>
      </w:r>
      <w:r w:rsidRPr="00570F07">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570F07">
        <w:rPr>
          <w:szCs w:val="22"/>
        </w:rPr>
        <w:t>electronically</w:t>
      </w:r>
      <w:r w:rsidRPr="00570F07">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The results of any analysis may be stored on a mobile data storage medium, which, if it contains Highly Confidential Information, shall be treated as a Stamped Highly Confidential Document and so marked.  All files containing Highly Confidential Information shall be deleted from the computer no later than two weeks after the proceedings at the Commission are complete.  The original disk or other storage medium shall be stored securely and a record kept of any persons given access to it.</w:t>
      </w:r>
      <w:bookmarkEnd w:id="10"/>
      <w:bookmarkEnd w:id="11"/>
    </w:p>
    <w:p w:rsidR="00570F07" w:rsidRPr="00570F07" w:rsidP="00570F07">
      <w:pPr>
        <w:numPr>
          <w:ilvl w:val="0"/>
          <w:numId w:val="2"/>
        </w:numPr>
        <w:tabs>
          <w:tab w:val="clear" w:pos="1080"/>
          <w:tab w:val="left" w:pos="1440"/>
        </w:tabs>
        <w:spacing w:after="120"/>
        <w:rPr>
          <w:szCs w:val="22"/>
        </w:rPr>
      </w:pPr>
      <w:bookmarkStart w:id="12" w:name="_Ref287453789"/>
      <w:r w:rsidRPr="00570F07">
        <w:rPr>
          <w:i/>
        </w:rPr>
        <w:t>U</w:t>
      </w:r>
      <w:r w:rsidRPr="00570F07">
        <w:rPr>
          <w:i/>
          <w:iCs/>
        </w:rPr>
        <w:t>se of Confidential Information and Highly Confidential Information</w:t>
      </w:r>
      <w:r w:rsidRPr="00570F07">
        <w:t xml:space="preserve">.  Persons obtaining access to Confidential Information and Highly Confidential Information under this </w:t>
      </w:r>
      <w:r w:rsidRPr="00570F07">
        <w:rPr>
          <w:szCs w:val="22"/>
        </w:rPr>
        <w:t>Protective Order</w:t>
      </w:r>
      <w:r w:rsidRPr="00570F07">
        <w:t xml:space="preserve"> shall use the information solely for the preparation and conduct of this proceeding before the Commission and any subsequent judicial proceeding arising directly from this proceeding and, except as </w:t>
      </w:r>
      <w:r w:rsidRPr="00570F07">
        <w:rPr>
          <w:szCs w:val="22"/>
        </w:rPr>
        <w:t>provided</w:t>
      </w:r>
      <w:r w:rsidRPr="00570F07">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Information or Highly Confidential Information in its orders in this proceeding, it will do so by redacting any Confidential Information or Highly Confidential Information from the public version of the order and by making the unredacted version of the order available only to a court and to those persons entitled to access to Confidential Information or Highly Confidential Information under this </w:t>
      </w:r>
      <w:r w:rsidRPr="00570F07">
        <w:rPr>
          <w:szCs w:val="22"/>
        </w:rPr>
        <w:t>Protective Order</w:t>
      </w:r>
      <w:r w:rsidRPr="00570F07">
        <w:t>, as appropriate.</w:t>
      </w:r>
      <w:bookmarkStart w:id="13" w:name="_Ref287447280"/>
    </w:p>
    <w:p w:rsidR="00570F07" w:rsidRPr="00570F07" w:rsidP="00570F07">
      <w:pPr>
        <w:numPr>
          <w:ilvl w:val="0"/>
          <w:numId w:val="2"/>
        </w:numPr>
        <w:tabs>
          <w:tab w:val="clear" w:pos="1080"/>
          <w:tab w:val="left" w:pos="1440"/>
        </w:tabs>
        <w:spacing w:after="120"/>
        <w:rPr>
          <w:szCs w:val="22"/>
        </w:rPr>
      </w:pPr>
      <w:r w:rsidRPr="00570F07">
        <w:rPr>
          <w:i/>
          <w:iCs/>
        </w:rPr>
        <w:t>Permissible Disclosure</w:t>
      </w:r>
      <w:r w:rsidRPr="00570F07">
        <w:t xml:space="preserve">.  A </w:t>
      </w:r>
      <w:r w:rsidRPr="00570F07">
        <w:rPr>
          <w:snapToGrid/>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570F07">
        <w:t>Party, and a Third-Party Interest Holder’s Confidential Information and Highly Confidential Information may be disclosed to employees and Counsel of the Third-Party Interest Holder</w:t>
      </w:r>
      <w:r w:rsidRPr="00570F07">
        <w:rPr>
          <w:snapToGrid/>
        </w:rPr>
        <w:t>.</w:t>
      </w:r>
      <w:bookmarkEnd w:id="13"/>
    </w:p>
    <w:p w:rsidR="00570F07" w:rsidRPr="00570F07" w:rsidP="00570F07">
      <w:pPr>
        <w:numPr>
          <w:ilvl w:val="0"/>
          <w:numId w:val="2"/>
        </w:numPr>
        <w:tabs>
          <w:tab w:val="clear" w:pos="1080"/>
          <w:tab w:val="left" w:pos="1440"/>
        </w:tabs>
        <w:spacing w:after="120"/>
        <w:rPr>
          <w:szCs w:val="22"/>
        </w:rPr>
      </w:pPr>
      <w:bookmarkStart w:id="14" w:name="_Ref351625876"/>
      <w:bookmarkEnd w:id="12"/>
      <w:r w:rsidRPr="00570F07">
        <w:rPr>
          <w:i/>
          <w:iCs/>
        </w:rPr>
        <w:t>Filings with the Commission</w:t>
      </w:r>
      <w:r w:rsidRPr="00570F07">
        <w:t xml:space="preserve">.  A party making a filing in this proceeding that contains Confidential Information or Highly Confidential Information </w:t>
      </w:r>
      <w:r w:rsidRPr="00570F07">
        <w:rPr>
          <w:szCs w:val="22"/>
        </w:rPr>
        <w:t xml:space="preserve">shall submit to the Secretary’s Office one copy of the filing containing the </w:t>
      </w:r>
      <w:r w:rsidRPr="00570F07">
        <w:t>Confidential Information</w:t>
      </w:r>
      <w:r w:rsidRPr="00570F07">
        <w:rPr>
          <w:szCs w:val="22"/>
        </w:rPr>
        <w:t xml:space="preserve"> or Highly Confidential </w:t>
      </w:r>
      <w:r w:rsidRPr="00570F07">
        <w:rPr>
          <w:snapToGrid/>
        </w:rPr>
        <w:t>Information</w:t>
      </w:r>
      <w:r w:rsidRPr="00570F07">
        <w:rPr>
          <w:szCs w:val="22"/>
        </w:rPr>
        <w:t xml:space="preserve"> (the “Confidential Filing”) and an accompanying cover letter.  </w:t>
      </w:r>
      <w:r w:rsidRPr="00570F07">
        <w:t>The cover or first page of the Confidential Filing and e</w:t>
      </w:r>
      <w:r w:rsidRPr="00570F07">
        <w:rPr>
          <w:snapToGrid/>
        </w:rPr>
        <w:t>ach page of the Confidential Filing that contains or discloses only Confidential Information shall be clearly marked “</w:t>
      </w:r>
      <w:r w:rsidRPr="00570F07">
        <w:rPr>
          <w:caps/>
          <w:snapToGrid/>
        </w:rPr>
        <w:t xml:space="preserve">Confidential Information – subject to Protective Order in </w:t>
      </w:r>
      <w:r w:rsidRPr="00570F07">
        <w:rPr>
          <w:caps/>
          <w:snapToGrid/>
          <w:szCs w:val="22"/>
        </w:rPr>
        <w:t xml:space="preserve">CG DOCKET NOS. 13-24, 10-51, AND 03-123 </w:t>
      </w:r>
      <w:r w:rsidRPr="00570F07">
        <w:rPr>
          <w:snapToGrid/>
        </w:rPr>
        <w:t xml:space="preserve">BEFORE THE FEDERAL COMMUNICATIONS COMMISSION.”  </w:t>
      </w:r>
      <w:r w:rsidRPr="00570F07">
        <w:t>The cover or first page of the Confidential Filing and e</w:t>
      </w:r>
      <w:r w:rsidRPr="00570F07">
        <w:rPr>
          <w:snapToGrid/>
        </w:rPr>
        <w:t>ach page of the Confidential Filing that contains or discloses Highly Confidential Information shall be clearly marked “</w:t>
      </w:r>
      <w:r w:rsidRPr="00570F07">
        <w:rPr>
          <w:caps/>
          <w:snapToGrid/>
        </w:rPr>
        <w:t xml:space="preserve">Highly Confidential Information – subject to Protective Order in </w:t>
      </w:r>
      <w:r w:rsidRPr="00570F07">
        <w:rPr>
          <w:caps/>
          <w:snapToGrid/>
          <w:szCs w:val="22"/>
        </w:rPr>
        <w:t xml:space="preserve">CG DOCKET NOS. 13-24, 10-51 AND 03-123 </w:t>
      </w:r>
      <w:r w:rsidRPr="00570F07">
        <w:rPr>
          <w:snapToGrid/>
        </w:rPr>
        <w:t xml:space="preserve">BEFORE THE FEDERAL COMMUNICATIONS COMMISSION.”  </w:t>
      </w:r>
      <w:r w:rsidRPr="00570F07">
        <w:rPr>
          <w:szCs w:val="22"/>
        </w:rPr>
        <w:t xml:space="preserve">The accompanying cover letter shall also contain the appropriate legend.  </w:t>
      </w:r>
      <w:r w:rsidRPr="00570F07">
        <w:t>The Confidential Filing shall be made under seal and will not be placed in the Commission’s public file.  The party shall submit a copy of the filing in redacted form, i.e., containing no Confidential Information or Highly Confidential Information (the “Redacted Confidential Filing”), to the Commission via ECFS.</w:t>
      </w:r>
      <w:r>
        <w:rPr>
          <w:sz w:val="20"/>
          <w:szCs w:val="22"/>
          <w:vertAlign w:val="superscript"/>
        </w:rPr>
        <w:footnoteReference w:id="27"/>
      </w:r>
      <w:r w:rsidRPr="00570F07">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Pr="00570F07">
        <w:rPr>
          <w:szCs w:val="22"/>
        </w:rPr>
        <w:t xml:space="preserve">Eliot Greenwald, </w:t>
      </w:r>
      <w:r>
        <w:fldChar w:fldCharType="begin"/>
      </w:r>
      <w:r>
        <w:instrText xml:space="preserve"> HYPERLINK "mailto:eliot.greenwald@fcc.gov" </w:instrText>
      </w:r>
      <w:r>
        <w:fldChar w:fldCharType="separate"/>
      </w:r>
      <w:r w:rsidRPr="00570F07">
        <w:rPr>
          <w:color w:val="0000FF"/>
          <w:szCs w:val="22"/>
          <w:u w:val="single"/>
        </w:rPr>
        <w:t>eliot.greenwald@fcc.gov</w:t>
      </w:r>
      <w:r>
        <w:fldChar w:fldCharType="end"/>
      </w:r>
      <w:r w:rsidRPr="00570F07">
        <w:rPr>
          <w:szCs w:val="22"/>
        </w:rPr>
        <w:t>, (202) 418-2235</w:t>
      </w:r>
      <w:r w:rsidRPr="00570F07">
        <w:t xml:space="preserve">, </w:t>
      </w:r>
      <w:r w:rsidRPr="00570F07">
        <w:rPr>
          <w:szCs w:val="22"/>
        </w:rPr>
        <w:t>Consumer and Governmental Affairs Bureau</w:t>
      </w:r>
      <w:r w:rsidRPr="00570F07">
        <w:t>, Federal Communications Commission, 445 12</w:t>
      </w:r>
      <w:r w:rsidRPr="00570F07">
        <w:rPr>
          <w:vertAlign w:val="superscript"/>
        </w:rPr>
        <w:t>th</w:t>
      </w:r>
      <w:r w:rsidRPr="00570F07">
        <w:t xml:space="preserve"> Street, S.W., Washington, D.C. 20554, and electronic copies of each Stamped Confidential Document or Stamped Highly Confidential Document and the accompanying cover letter shall be sent by email to </w:t>
      </w:r>
      <w:r>
        <w:fldChar w:fldCharType="begin"/>
      </w:r>
      <w:r>
        <w:instrText xml:space="preserve"> HYPERLINK "mailto:TRSReports@fcc.gov" </w:instrText>
      </w:r>
      <w:r>
        <w:fldChar w:fldCharType="separate"/>
      </w:r>
      <w:r w:rsidRPr="00570F07">
        <w:rPr>
          <w:color w:val="0000FF"/>
          <w:u w:val="single"/>
        </w:rPr>
        <w:t>TRSReports@fcc.gov</w:t>
      </w:r>
      <w:r>
        <w:fldChar w:fldCharType="end"/>
      </w:r>
      <w:r w:rsidRPr="00570F07">
        <w:t xml:space="preserve"> and </w:t>
      </w:r>
      <w:r>
        <w:fldChar w:fldCharType="begin"/>
      </w:r>
      <w:r>
        <w:instrText xml:space="preserve"> HYPERLINK "mailto:eliot.greenwald@fcc.gov" </w:instrText>
      </w:r>
      <w:r>
        <w:fldChar w:fldCharType="separate"/>
      </w:r>
      <w:r w:rsidRPr="00F51AF3" w:rsidR="008B7FE8">
        <w:rPr>
          <w:rStyle w:val="Hyperlink"/>
        </w:rPr>
        <w:t>eliot.greenwald@fcc.gov</w:t>
      </w:r>
      <w:r>
        <w:fldChar w:fldCharType="end"/>
      </w:r>
      <w:r w:rsidRPr="00570F07">
        <w:t>.  Parties should not provide courtesy copies of pleadings containing Confidential Information or Highly Confidential Information to Commission staff unless the staff so requests</w:t>
      </w:r>
      <w:bookmarkEnd w:id="14"/>
      <w:r w:rsidRPr="00570F07">
        <w:t>, and any such courtesy copies shall be submitted under seal.</w:t>
      </w:r>
    </w:p>
    <w:p w:rsidR="00570F07" w:rsidRPr="00570F07" w:rsidP="00570F07">
      <w:pPr>
        <w:numPr>
          <w:ilvl w:val="0"/>
          <w:numId w:val="2"/>
        </w:numPr>
        <w:tabs>
          <w:tab w:val="clear" w:pos="1080"/>
          <w:tab w:val="left" w:pos="1440"/>
        </w:tabs>
        <w:spacing w:after="120"/>
      </w:pPr>
      <w:r w:rsidRPr="00570F07">
        <w:rPr>
          <w:i/>
          <w:iCs/>
        </w:rPr>
        <w:t>Non-Disclosure of Confidential Information and Highly Confidential Information</w:t>
      </w:r>
      <w:r w:rsidRPr="00570F07">
        <w:rPr>
          <w:i/>
        </w:rPr>
        <w:t>.</w:t>
      </w:r>
      <w:r w:rsidRPr="00570F07">
        <w:t xml:space="preserve">  Except with the prior written consent of the Submitting Party or as provided under this Protective Order, Confidential Information and Highly Confidential </w:t>
      </w:r>
      <w:r w:rsidRPr="00570F07">
        <w:rPr>
          <w:snapToGrid/>
        </w:rPr>
        <w:t>Information</w:t>
      </w:r>
      <w:r w:rsidRPr="00570F07">
        <w:t xml:space="preserve"> shall not be disclosed further.</w:t>
      </w:r>
    </w:p>
    <w:p w:rsidR="00570F07" w:rsidRPr="00570F07" w:rsidP="00570F07">
      <w:pPr>
        <w:numPr>
          <w:ilvl w:val="0"/>
          <w:numId w:val="2"/>
        </w:numPr>
        <w:tabs>
          <w:tab w:val="clear" w:pos="1080"/>
          <w:tab w:val="left" w:pos="1440"/>
        </w:tabs>
        <w:spacing w:after="120"/>
      </w:pPr>
      <w:r w:rsidRPr="00570F07">
        <w:rPr>
          <w:i/>
        </w:rPr>
        <w:t>Protection of Stamped Confidential Documents and Stamped Highly Confidential Documents and Confidential Information and Highly Confidential Information.</w:t>
      </w:r>
      <w:r w:rsidRPr="00570F07">
        <w:t xml:space="preserve">  A Reviewing Party shall have the obligation to ensure that access to Confidential Information and Highly Confidential Information (including Stamped Confidential Documents and Stamped Highly </w:t>
      </w:r>
      <w:r w:rsidRPr="00570F07">
        <w:rPr>
          <w:snapToGrid/>
        </w:rPr>
        <w:t>Confidential</w:t>
      </w:r>
      <w:r w:rsidRPr="00570F07">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570F07" w:rsidRPr="00570F07" w:rsidP="00570F07">
      <w:pPr>
        <w:numPr>
          <w:ilvl w:val="0"/>
          <w:numId w:val="2"/>
        </w:numPr>
        <w:tabs>
          <w:tab w:val="clear" w:pos="1080"/>
          <w:tab w:val="left" w:pos="1440"/>
        </w:tabs>
        <w:spacing w:after="120"/>
      </w:pPr>
      <w:r w:rsidRPr="00570F07">
        <w:rPr>
          <w:i/>
          <w:iCs/>
        </w:rPr>
        <w:t>Requests for Additional Disclosure</w:t>
      </w:r>
      <w:r w:rsidRPr="00570F07">
        <w:t xml:space="preserve">.  If any person requests disclosure of Confidential Information or Highly Confidential Information outside the terms of </w:t>
      </w:r>
      <w:r w:rsidRPr="00570F07">
        <w:rPr>
          <w:snapToGrid/>
        </w:rPr>
        <w:t>this</w:t>
      </w:r>
      <w:r w:rsidRPr="00570F07">
        <w:t xml:space="preserve"> Protective Order, such a request will be treated in accordance with sections 0.442 and 0.461 of the Commission’s rules.</w:t>
      </w:r>
      <w:r>
        <w:rPr>
          <w:sz w:val="20"/>
          <w:vertAlign w:val="superscript"/>
        </w:rPr>
        <w:footnoteReference w:id="28"/>
      </w:r>
    </w:p>
    <w:p w:rsidR="00570F07" w:rsidRPr="00570F07" w:rsidP="00570F07">
      <w:pPr>
        <w:numPr>
          <w:ilvl w:val="0"/>
          <w:numId w:val="2"/>
        </w:numPr>
        <w:tabs>
          <w:tab w:val="clear" w:pos="1080"/>
          <w:tab w:val="left" w:pos="1440"/>
        </w:tabs>
        <w:spacing w:after="120"/>
      </w:pPr>
      <w:r w:rsidRPr="00570F07">
        <w:rPr>
          <w:i/>
          <w:iCs/>
        </w:rPr>
        <w:t>Client Consultation</w:t>
      </w:r>
      <w:r w:rsidRPr="00570F07">
        <w:t xml:space="preserve">.  Nothing in this Protective Order shall prevent or otherwise restrict Counsel from rendering advice to their clients relating to the conduct of this proceeding and any subsequent judicial proceeding arising therefrom </w:t>
      </w:r>
      <w:r w:rsidRPr="00570F07">
        <w:rPr>
          <w:snapToGrid/>
        </w:rPr>
        <w:t>and</w:t>
      </w:r>
      <w:r w:rsidRPr="00570F07">
        <w:t xml:space="preserve">, in the course thereof, relying generally on examination of Confidential Information or Highly Confidential Information to which they have access under this Protective Order; </w:t>
      </w:r>
      <w:r w:rsidRPr="00570F07">
        <w:rPr>
          <w:i/>
          <w:iCs/>
        </w:rPr>
        <w:t>provided, however</w:t>
      </w:r>
      <w:r w:rsidRPr="00570F07">
        <w:t>, that in rendering such advice and otherwise communicating with such clients, Counsel shall not disclose Confidential Information or Highly Confidential Information.</w:t>
      </w:r>
    </w:p>
    <w:p w:rsidR="00570F07" w:rsidRPr="00570F07" w:rsidP="00570F07">
      <w:pPr>
        <w:widowControl/>
        <w:numPr>
          <w:ilvl w:val="0"/>
          <w:numId w:val="2"/>
        </w:numPr>
        <w:tabs>
          <w:tab w:val="clear" w:pos="1080"/>
          <w:tab w:val="left" w:pos="1440"/>
        </w:tabs>
        <w:spacing w:after="120"/>
      </w:pPr>
      <w:r w:rsidRPr="00570F07">
        <w:rPr>
          <w:i/>
          <w:iCs/>
        </w:rPr>
        <w:t>No Waiver of Confidentiality</w:t>
      </w:r>
      <w:r w:rsidRPr="00570F07">
        <w:t xml:space="preserve">.  Disclosure of </w:t>
      </w:r>
      <w:r w:rsidRPr="00570F07">
        <w:rPr>
          <w:snapToGrid/>
        </w:rPr>
        <w:t>Confidential Information</w:t>
      </w:r>
      <w:r w:rsidRPr="00570F07">
        <w:t xml:space="preserve"> or Highly Confidential Information as provided herein by any person shall not be deemed a waiver by any Submitting Party of any privilege or entitlement to confidential treatment of such Confidential Information or Highly Confidential Information.  Reviewing Parties, by</w:t>
      </w:r>
      <w:r w:rsidR="00ED46BB">
        <w:t xml:space="preserve"> viewing this material, agree:  </w:t>
      </w:r>
      <w:r w:rsidRPr="00570F07">
        <w:t>(1) not to assert any such waiver; (2) not to use Confidential Information or Highly Confidential Information to seek disclosure in any other proceeding; and (3) that accidental disclosure of Confidential Information or Highly Confidential Information by a Submitting Party to a Reviewing Party shall not be deemed a waiver of any privilege or entitlement provided that the Submitting Party takes prompt remedial action.</w:t>
      </w:r>
    </w:p>
    <w:p w:rsidR="00570F07" w:rsidRPr="00570F07" w:rsidP="00570F07">
      <w:pPr>
        <w:numPr>
          <w:ilvl w:val="0"/>
          <w:numId w:val="2"/>
        </w:numPr>
        <w:tabs>
          <w:tab w:val="clear" w:pos="1080"/>
          <w:tab w:val="left" w:pos="1440"/>
        </w:tabs>
        <w:spacing w:after="120"/>
      </w:pPr>
      <w:bookmarkStart w:id="15" w:name="_Ref287618273"/>
      <w:r w:rsidRPr="00570F07">
        <w:rPr>
          <w:i/>
          <w:iCs/>
        </w:rPr>
        <w:t>Subpoena by Courts, Departments</w:t>
      </w:r>
      <w:r w:rsidRPr="00570F07">
        <w:rPr>
          <w:iCs/>
        </w:rPr>
        <w:t>,</w:t>
      </w:r>
      <w:r w:rsidRPr="00570F07">
        <w:rPr>
          <w:i/>
          <w:iCs/>
        </w:rPr>
        <w:t xml:space="preserve"> or Agencies</w:t>
      </w:r>
      <w:r w:rsidRPr="00570F07">
        <w:t>.  If a court or a federal or state department or agency issues a subpoena for or orders the production of Stamped Confidential Documents or Stamped Highly Confidential Documents or Confidential Information or Highly Confidential Information that a party has obtained under the terms of this Protective Order, such party shall promptly notify each relevant Submitting Party and each known Third-</w:t>
      </w:r>
      <w:r w:rsidRPr="00570F07">
        <w:rPr>
          <w:snapToGrid/>
        </w:rPr>
        <w:t>Party</w:t>
      </w:r>
      <w:r w:rsidRPr="00570F07">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or Stamped Highly Confidential Document or Confidential Information or Highly Confidential Information.</w:t>
      </w:r>
    </w:p>
    <w:p w:rsidR="00570F07" w:rsidRPr="00570F07" w:rsidP="00570F07">
      <w:pPr>
        <w:numPr>
          <w:ilvl w:val="0"/>
          <w:numId w:val="2"/>
        </w:numPr>
        <w:tabs>
          <w:tab w:val="clear" w:pos="1080"/>
          <w:tab w:val="left" w:pos="1440"/>
        </w:tabs>
        <w:spacing w:after="120"/>
      </w:pPr>
      <w:r w:rsidRPr="00570F07">
        <w:rPr>
          <w:i/>
          <w:iCs/>
        </w:rPr>
        <w:t xml:space="preserve">Violations of the Protective Order.  </w:t>
      </w:r>
      <w:r w:rsidRPr="00570F07">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or Highly Confidential Information in a manner not authorized by this Protective Order.</w:t>
      </w:r>
    </w:p>
    <w:p w:rsidR="00570F07" w:rsidRPr="00570F07" w:rsidP="00570F07">
      <w:pPr>
        <w:numPr>
          <w:ilvl w:val="0"/>
          <w:numId w:val="2"/>
        </w:numPr>
        <w:tabs>
          <w:tab w:val="clear" w:pos="1080"/>
          <w:tab w:val="left" w:pos="1440"/>
        </w:tabs>
        <w:spacing w:after="120"/>
      </w:pPr>
      <w:bookmarkStart w:id="16" w:name="_Ref379362621"/>
      <w:r w:rsidRPr="00570F07">
        <w:rPr>
          <w:i/>
          <w:iCs/>
        </w:rPr>
        <w:t>Termination of Proceeding</w:t>
      </w:r>
      <w:r w:rsidRPr="00570F07">
        <w:t xml:space="preserve">.  The provisions of this Protective Order shall not terminate </w:t>
      </w:r>
      <w:r w:rsidRPr="00570F07">
        <w:t>at the conclusion of</w:t>
      </w:r>
      <w:r w:rsidRPr="00570F07">
        <w:t xml:space="preserve">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Information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Information or Highly Confidential Information and one physical copy (which shall not be copied or converted to electronic format) of any FCC order containing Confidential Information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w:t>
      </w:r>
      <w:r w:rsidRPr="00570F07">
        <w:t>made pursuant to 28 U.S.C. § 1746 and is subject to 18 U.S.C. § 1001.  The provisions of</w:t>
      </w:r>
      <w:r w:rsidRPr="00570F07">
        <w:rPr>
          <w:b/>
          <w:bCs/>
        </w:rPr>
        <w:t xml:space="preserve"> </w:t>
      </w:r>
      <w:r w:rsidRPr="00570F07">
        <w:t>this paragraph regarding retention of Stamped Confidential Documents and Stamped Highly Confidential Documents and copies of the same and Confidential Information and Highly Confidential Information shall not be construed to apply to the Commission or its staff.</w:t>
      </w:r>
      <w:bookmarkEnd w:id="16"/>
    </w:p>
    <w:p w:rsidR="00570F07" w:rsidRPr="00570F07" w:rsidP="00570F07">
      <w:pPr>
        <w:numPr>
          <w:ilvl w:val="0"/>
          <w:numId w:val="2"/>
        </w:numPr>
        <w:tabs>
          <w:tab w:val="clear" w:pos="1080"/>
          <w:tab w:val="left" w:pos="1440"/>
        </w:tabs>
        <w:spacing w:after="120"/>
      </w:pPr>
      <w:r w:rsidRPr="00570F07">
        <w:rPr>
          <w:i/>
          <w:iCs/>
        </w:rPr>
        <w:t>Questions</w:t>
      </w:r>
      <w:r w:rsidRPr="00570F07">
        <w:t xml:space="preserve">.  Questions concerning this Protective Order should be addressed to </w:t>
      </w:r>
      <w:r w:rsidRPr="00570F07">
        <w:rPr>
          <w:szCs w:val="22"/>
        </w:rPr>
        <w:t xml:space="preserve">Eliot Greenwald, </w:t>
      </w:r>
      <w:r>
        <w:fldChar w:fldCharType="begin"/>
      </w:r>
      <w:r>
        <w:instrText xml:space="preserve"> HYPERLINK "mailto:eliot.greenwald@fcc.gov" </w:instrText>
      </w:r>
      <w:r>
        <w:fldChar w:fldCharType="separate"/>
      </w:r>
      <w:r w:rsidRPr="00570F07">
        <w:rPr>
          <w:color w:val="0000FF"/>
          <w:szCs w:val="22"/>
          <w:u w:val="single"/>
        </w:rPr>
        <w:t>eliot.greenwald@fcc.gov</w:t>
      </w:r>
      <w:r>
        <w:fldChar w:fldCharType="end"/>
      </w:r>
      <w:r w:rsidRPr="00570F07">
        <w:rPr>
          <w:szCs w:val="22"/>
        </w:rPr>
        <w:t>, (202) 418-2235, Consumer and Governmental Affairs Bureau</w:t>
      </w:r>
      <w:r w:rsidRPr="00570F07">
        <w:t>.</w:t>
      </w:r>
      <w:bookmarkEnd w:id="1"/>
      <w:bookmarkEnd w:id="15"/>
    </w:p>
    <w:p w:rsidR="00570F07" w:rsidRPr="00570F07" w:rsidP="00570F07">
      <w:pPr>
        <w:numPr>
          <w:ilvl w:val="0"/>
          <w:numId w:val="7"/>
        </w:numPr>
        <w:tabs>
          <w:tab w:val="left" w:pos="1440"/>
        </w:tabs>
        <w:spacing w:after="120"/>
        <w:sectPr w:rsidSect="00570F07">
          <w:footnotePr>
            <w:numRestart w:val="eachSect"/>
          </w:footnotePr>
          <w:type w:val="continuous"/>
          <w:pgSz w:w="12240" w:h="15840"/>
          <w:pgMar w:top="1440" w:right="1440" w:bottom="720" w:left="1440" w:header="720" w:footer="720" w:gutter="0"/>
          <w:cols w:space="720"/>
          <w:noEndnote/>
          <w:docGrid w:linePitch="299"/>
        </w:sectPr>
      </w:pPr>
    </w:p>
    <w:p w:rsidR="00570F07" w:rsidRPr="00570F07" w:rsidP="00570F07">
      <w:pPr>
        <w:snapToGrid w:val="0"/>
        <w:spacing w:after="120"/>
        <w:jc w:val="center"/>
        <w:rPr>
          <w:b/>
          <w:bCs/>
        </w:rPr>
      </w:pPr>
      <w:r w:rsidRPr="00570F07">
        <w:rPr>
          <w:b/>
          <w:bCs/>
        </w:rPr>
        <w:t>APPENDIX B</w:t>
      </w:r>
    </w:p>
    <w:p w:rsidR="00570F07" w:rsidRPr="00570F07" w:rsidP="00570F07">
      <w:pPr>
        <w:tabs>
          <w:tab w:val="center" w:pos="4680"/>
          <w:tab w:val="left" w:pos="7992"/>
        </w:tabs>
        <w:snapToGrid w:val="0"/>
        <w:spacing w:after="120"/>
        <w:rPr>
          <w:b/>
          <w:bCs/>
        </w:rPr>
      </w:pPr>
      <w:r w:rsidRPr="00570F07">
        <w:rPr>
          <w:b/>
          <w:bCs/>
        </w:rPr>
        <w:tab/>
        <w:t>Highly Confidential Information and Documents</w:t>
      </w:r>
      <w:r w:rsidRPr="00570F07">
        <w:rPr>
          <w:b/>
          <w:bCs/>
        </w:rPr>
        <w:tab/>
      </w:r>
    </w:p>
    <w:p w:rsidR="00570F07" w:rsidRPr="00570F07" w:rsidP="00570F07">
      <w:pPr>
        <w:snapToGrid w:val="0"/>
        <w:spacing w:after="120"/>
        <w:rPr>
          <w:b/>
          <w:bCs/>
        </w:rPr>
      </w:pPr>
    </w:p>
    <w:p w:rsidR="00570F07" w:rsidRPr="00570F07" w:rsidP="00570F07">
      <w:pPr>
        <w:snapToGrid w:val="0"/>
        <w:spacing w:after="120" w:line="259" w:lineRule="auto"/>
        <w:rPr>
          <w:bCs/>
        </w:rPr>
      </w:pPr>
      <w:r w:rsidRPr="00570F07">
        <w:rPr>
          <w:b/>
          <w:bCs/>
        </w:rPr>
        <w:tab/>
      </w:r>
      <w:r w:rsidRPr="00570F07">
        <w:rPr>
          <w:bCs/>
        </w:rPr>
        <w:t>As specified in paragraphs 1 and 2 of the Protective Order, only information and documents set forth in this Appendix and that otherwise meet the definition of Highly Confidential Information or Stamped Highly Confidential Documents may be designated as Highly Confidential.  This Appendix will be updated as necessary.</w:t>
      </w:r>
    </w:p>
    <w:p w:rsidR="00570F07" w:rsidRPr="00570F07" w:rsidP="00570F07">
      <w:pPr>
        <w:widowControl/>
        <w:numPr>
          <w:ilvl w:val="0"/>
          <w:numId w:val="9"/>
        </w:numPr>
        <w:snapToGrid w:val="0"/>
        <w:spacing w:after="120"/>
        <w:rPr>
          <w:szCs w:val="22"/>
        </w:rPr>
      </w:pPr>
      <w:r w:rsidRPr="00570F07">
        <w:t>Information that details the terms and conditions of or strategy related to a Submitting Party’s most sensitive business negotiations or contracts (e.g., marketing, service or product agreements, loan agreements and other debt instruments, agreements relating to potential mergers and acquisitions or to technology licensing, and comparably sensitive contracts).</w:t>
      </w:r>
    </w:p>
    <w:p w:rsidR="00570F07" w:rsidRPr="00570F07" w:rsidP="00570F07">
      <w:pPr>
        <w:widowControl/>
        <w:numPr>
          <w:ilvl w:val="0"/>
          <w:numId w:val="9"/>
        </w:numPr>
        <w:snapToGrid w:val="0"/>
        <w:spacing w:after="120"/>
        <w:rPr>
          <w:szCs w:val="22"/>
        </w:rPr>
      </w:pPr>
      <w:r w:rsidRPr="00570F07">
        <w:t xml:space="preserve">Information that </w:t>
      </w:r>
      <w:r w:rsidRPr="00570F07">
        <w:rPr>
          <w:bCs/>
          <w:szCs w:val="22"/>
        </w:rPr>
        <w:t>discusses</w:t>
      </w:r>
      <w:r w:rsidRPr="00570F07">
        <w:t xml:space="preserve"> in detail current or </w:t>
      </w:r>
      <w:r w:rsidRPr="00570F07">
        <w:t>future plans</w:t>
      </w:r>
      <w:r w:rsidRPr="00570F07">
        <w:t xml:space="preserve"> to compete for a customer or specific groups or types of customers, including specific pricing or contract proposals, pricing strategies, product strategies, advertising or marketing strategies, business plans, procurement strategies, technology implementation or deployment plans and strategies, plans for handling acquired customers, and human resources and staffing strategies.</w:t>
      </w:r>
    </w:p>
    <w:p w:rsidR="00570F07" w:rsidRPr="00570F07" w:rsidP="00570F07">
      <w:pPr>
        <w:widowControl/>
        <w:numPr>
          <w:ilvl w:val="0"/>
          <w:numId w:val="9"/>
        </w:numPr>
        <w:snapToGrid w:val="0"/>
        <w:spacing w:after="120"/>
        <w:rPr>
          <w:szCs w:val="22"/>
        </w:rPr>
      </w:pPr>
      <w:r w:rsidRPr="00570F07">
        <w:t>Granular information about a Submitting Party’s past, current or future costs, revenues, marginal revenues, profits, dividends, market share, or customers.</w:t>
      </w:r>
    </w:p>
    <w:p w:rsidR="00570F07" w:rsidRPr="00570F07" w:rsidP="00570F07">
      <w:pPr>
        <w:numPr>
          <w:ilvl w:val="0"/>
          <w:numId w:val="9"/>
        </w:numPr>
        <w:rPr>
          <w:szCs w:val="22"/>
        </w:rPr>
      </w:pPr>
      <w:r w:rsidRPr="00570F07">
        <w:rPr>
          <w:szCs w:val="22"/>
        </w:rPr>
        <w:t>Granular information describing or illustrating how a Submitting Party analyzes its competitors, including sources and methods used in these analyses, any limits on use of these analyses or data, and how such analyses or data are used.</w:t>
      </w:r>
    </w:p>
    <w:p w:rsidR="00570F07" w:rsidRPr="00570F07" w:rsidP="00570F07">
      <w:pPr>
        <w:ind w:left="1080"/>
        <w:rPr>
          <w:szCs w:val="22"/>
        </w:rPr>
      </w:pPr>
    </w:p>
    <w:p w:rsidR="00570F07" w:rsidRPr="00570F07" w:rsidP="00570F07">
      <w:pPr>
        <w:widowControl/>
        <w:numPr>
          <w:ilvl w:val="0"/>
          <w:numId w:val="9"/>
        </w:numPr>
        <w:snapToGrid w:val="0"/>
        <w:spacing w:after="120"/>
        <w:rPr>
          <w:szCs w:val="22"/>
        </w:rPr>
      </w:pPr>
      <w:r w:rsidRPr="00570F07">
        <w:t>Information that provides numbers of customers or devices when broken down by sub-national geography, customer type, or levels or patterns of usage, or when in a time series.</w:t>
      </w:r>
    </w:p>
    <w:p w:rsidR="00570F07" w:rsidRPr="00570F07" w:rsidP="00570F07">
      <w:pPr>
        <w:widowControl/>
        <w:numPr>
          <w:ilvl w:val="0"/>
          <w:numId w:val="9"/>
        </w:numPr>
        <w:snapToGrid w:val="0"/>
        <w:spacing w:after="120"/>
        <w:rPr>
          <w:szCs w:val="22"/>
        </w:rPr>
      </w:pPr>
      <w:r w:rsidRPr="00570F07">
        <w:t>Information that discusses in detail the number or anticipated changes in the number of customers or amount of traffic, including levels or patterns of usage, churn rate data, detailed information about why customers discontinue service, numbering assignments, and customer complaints.</w:t>
      </w:r>
    </w:p>
    <w:p w:rsidR="00570F07" w:rsidRPr="00570F07" w:rsidP="00570F07">
      <w:pPr>
        <w:widowControl/>
        <w:numPr>
          <w:ilvl w:val="0"/>
          <w:numId w:val="9"/>
        </w:numPr>
        <w:snapToGrid w:val="0"/>
        <w:spacing w:after="120"/>
        <w:rPr>
          <w:szCs w:val="22"/>
        </w:rPr>
      </w:pPr>
      <w:r w:rsidRPr="00570F07">
        <w:t xml:space="preserve">Detailed or granular information about specific </w:t>
      </w:r>
      <w:r w:rsidRPr="00570F07">
        <w:t>end point</w:t>
      </w:r>
      <w:r w:rsidRPr="00570F07">
        <w:t xml:space="preserve"> equipment or network facilities and operations, including engineering information and information related to equipment purchases or licensing fees.</w:t>
      </w:r>
    </w:p>
    <w:p w:rsidR="00570F07" w:rsidRPr="00570F07" w:rsidP="00570F07">
      <w:pPr>
        <w:widowControl/>
        <w:numPr>
          <w:ilvl w:val="0"/>
          <w:numId w:val="9"/>
        </w:numPr>
        <w:snapToGrid w:val="0"/>
        <w:spacing w:after="120"/>
        <w:rPr>
          <w:szCs w:val="22"/>
        </w:rPr>
      </w:pPr>
      <w:r w:rsidRPr="00570F07">
        <w:t>Granular data and test results regarding a provider’s technical and service performance.</w:t>
      </w:r>
    </w:p>
    <w:p w:rsidR="00570F07" w:rsidRPr="00570F07" w:rsidP="00570F07">
      <w:pPr>
        <w:widowControl/>
        <w:numPr>
          <w:ilvl w:val="0"/>
          <w:numId w:val="9"/>
        </w:numPr>
        <w:snapToGrid w:val="0"/>
        <w:spacing w:after="120"/>
        <w:rPr>
          <w:szCs w:val="22"/>
        </w:rPr>
      </w:pPr>
      <w:r w:rsidRPr="00570F07">
        <w:t>Granular information regarding Communications Assistant training.</w:t>
      </w:r>
    </w:p>
    <w:p w:rsidR="00570F07" w:rsidRPr="00570F07" w:rsidP="00570F07">
      <w:pPr>
        <w:widowControl/>
        <w:numPr>
          <w:ilvl w:val="0"/>
          <w:numId w:val="9"/>
        </w:numPr>
        <w:snapToGrid w:val="0"/>
        <w:spacing w:after="120"/>
        <w:rPr>
          <w:szCs w:val="22"/>
        </w:rPr>
      </w:pPr>
      <w:r w:rsidRPr="00570F07">
        <w:t>Information estimating the number of potential users of a specific type of TRS, and the number of potential customers who lack broadband service or access to broadband service, excluding any data that is publicly available, but not excluding information derived therefrom.</w:t>
      </w:r>
    </w:p>
    <w:p w:rsidR="00570F07" w:rsidRPr="00570F07" w:rsidP="00570F07">
      <w:pPr>
        <w:snapToGrid w:val="0"/>
        <w:spacing w:after="120"/>
        <w:rPr>
          <w:bCs/>
        </w:rPr>
      </w:pPr>
    </w:p>
    <w:p w:rsidR="00570F07" w:rsidRPr="00570F07" w:rsidP="00570F07">
      <w:pPr>
        <w:snapToGrid w:val="0"/>
        <w:spacing w:after="120"/>
        <w:jc w:val="center"/>
        <w:rPr>
          <w:bCs/>
        </w:rPr>
        <w:sectPr w:rsidSect="00091FDE">
          <w:footerReference w:type="default" r:id="rId10"/>
          <w:footerReference w:type="first" r:id="rId11"/>
          <w:pgSz w:w="12240" w:h="15840"/>
          <w:pgMar w:top="1440" w:right="1440" w:bottom="720" w:left="1440" w:header="720" w:footer="720" w:gutter="0"/>
          <w:cols w:space="720"/>
          <w:noEndnote/>
          <w:titlePg/>
        </w:sectPr>
      </w:pPr>
    </w:p>
    <w:p w:rsidR="00570F07" w:rsidRPr="00570F07" w:rsidP="00570F07">
      <w:pPr>
        <w:snapToGrid w:val="0"/>
        <w:spacing w:after="120"/>
        <w:jc w:val="center"/>
      </w:pPr>
      <w:r w:rsidRPr="00570F07">
        <w:rPr>
          <w:b/>
          <w:bCs/>
        </w:rPr>
        <w:t>APPENDIX C</w:t>
      </w:r>
    </w:p>
    <w:p w:rsidR="00570F07" w:rsidRPr="00570F07" w:rsidP="00570F07">
      <w:pPr>
        <w:tabs>
          <w:tab w:val="center" w:pos="4680"/>
          <w:tab w:val="left" w:pos="7500"/>
        </w:tabs>
        <w:snapToGrid w:val="0"/>
        <w:spacing w:after="120"/>
        <w:rPr>
          <w:b/>
          <w:bCs/>
        </w:rPr>
      </w:pPr>
      <w:r w:rsidRPr="00570F07">
        <w:rPr>
          <w:b/>
          <w:bCs/>
        </w:rPr>
        <w:tab/>
        <w:t>Acknowledgment of Confidentiality</w:t>
      </w:r>
      <w:r w:rsidRPr="00570F07">
        <w:rPr>
          <w:b/>
          <w:bCs/>
        </w:rPr>
        <w:tab/>
      </w:r>
    </w:p>
    <w:p w:rsidR="00570F07" w:rsidRPr="00570F07" w:rsidP="00570F07">
      <w:pPr>
        <w:snapToGrid w:val="0"/>
        <w:jc w:val="center"/>
      </w:pPr>
      <w:bookmarkStart w:id="17" w:name="OLE_LINK1"/>
      <w:bookmarkStart w:id="18" w:name="OLE_LINK2"/>
      <w:r w:rsidRPr="00570F07">
        <w:rPr>
          <w:b/>
          <w:snapToGrid/>
          <w:szCs w:val="22"/>
        </w:rPr>
        <w:t xml:space="preserve">CG Docket Nos. 13-24, 10-51, and 03-123 </w:t>
      </w:r>
      <w:bookmarkStart w:id="19" w:name="_GoBack"/>
      <w:bookmarkEnd w:id="19"/>
    </w:p>
    <w:p w:rsidR="00570F07" w:rsidRPr="00570F07" w:rsidP="00570F07">
      <w:pPr>
        <w:snapToGrid w:val="0"/>
      </w:pPr>
      <w:bookmarkEnd w:id="17"/>
      <w:bookmarkEnd w:id="18"/>
      <w:r w:rsidRPr="00570F07">
        <w:t> </w:t>
      </w:r>
    </w:p>
    <w:p w:rsidR="00570F07" w:rsidRPr="00570F07" w:rsidP="00570F07">
      <w:pPr>
        <w:snapToGrid w:val="0"/>
        <w:spacing w:after="120"/>
        <w:ind w:firstLine="720"/>
      </w:pPr>
      <w:r w:rsidRPr="00570F07">
        <w:t xml:space="preserve">I am seeking access to </w:t>
      </w:r>
      <w:r w:rsidRPr="00570F07">
        <w:t>[ ]</w:t>
      </w:r>
      <w:r w:rsidRPr="00570F07">
        <w:t xml:space="preserve"> only Confidential Information or [ ] Confidential Information and Highly Confidential Information.</w:t>
      </w:r>
    </w:p>
    <w:p w:rsidR="00570F07" w:rsidRPr="00570F07" w:rsidP="00570F07">
      <w:pPr>
        <w:snapToGrid w:val="0"/>
        <w:spacing w:after="120"/>
        <w:ind w:firstLine="720"/>
      </w:pPr>
      <w:r w:rsidRPr="00570F07">
        <w:t xml:space="preserve">I hereby acknowledge that I have received and read a copy of the foregoing Protective Order in the above-captioned proceeding, and I understand it.  </w:t>
      </w:r>
    </w:p>
    <w:p w:rsidR="00570F07" w:rsidRPr="00570F07" w:rsidP="00570F07">
      <w:pPr>
        <w:snapToGrid w:val="0"/>
        <w:spacing w:after="120"/>
        <w:ind w:firstLine="720"/>
      </w:pPr>
      <w:r w:rsidRPr="00570F07">
        <w:t xml:space="preserve">I agree that I am bound by the Protective Order and that I shall not disclose or use Stamped Confidential Documents or Stamped Highly Confidential Documents or Confidential Information or Highly Confidential Information except as allowed by the Protective Order.  </w:t>
      </w:r>
    </w:p>
    <w:p w:rsidR="00570F07" w:rsidRPr="00570F07" w:rsidP="00570F07">
      <w:pPr>
        <w:snapToGrid w:val="0"/>
        <w:spacing w:after="120"/>
        <w:ind w:firstLine="720"/>
      </w:pPr>
      <w:r w:rsidRPr="00570F07">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  </w:t>
      </w:r>
    </w:p>
    <w:p w:rsidR="00570F07" w:rsidRPr="00570F07" w:rsidP="00570F07">
      <w:pPr>
        <w:snapToGrid w:val="0"/>
        <w:spacing w:after="120"/>
        <w:ind w:firstLine="720"/>
      </w:pPr>
      <w:r w:rsidRPr="00570F07">
        <w:t>I acknowledge that nothing in the Protective Order limits any other rights and remedies available to a Submitting Party or Third-Party Interest Holder at law or in equity against me if I use Confidential Information or Highly Confidential Information in a manner not authorized by this Protective Order.</w:t>
      </w:r>
    </w:p>
    <w:p w:rsidR="00570F07" w:rsidRPr="00570F07" w:rsidP="00570F07">
      <w:pPr>
        <w:snapToGrid w:val="0"/>
        <w:spacing w:after="120"/>
        <w:ind w:firstLine="720"/>
      </w:pPr>
      <w:r w:rsidRPr="00570F07">
        <w:t>I certify that I am not involved in Competitive Decision-Making.</w:t>
      </w:r>
    </w:p>
    <w:p w:rsidR="00570F07" w:rsidRPr="00570F07" w:rsidP="00570F07">
      <w:pPr>
        <w:snapToGrid w:val="0"/>
        <w:spacing w:after="120"/>
        <w:ind w:firstLine="720"/>
      </w:pPr>
      <w:r w:rsidRPr="00570F07">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570F07" w:rsidRPr="00570F07" w:rsidP="00570F07">
      <w:pPr>
        <w:snapToGrid w:val="0"/>
        <w:spacing w:after="120"/>
        <w:ind w:firstLine="720"/>
      </w:pPr>
      <w:r w:rsidRPr="00570F07">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570F07" w:rsidRPr="00570F07" w:rsidP="00570F07">
      <w:pPr>
        <w:snapToGrid w:val="0"/>
        <w:spacing w:after="120"/>
        <w:ind w:firstLine="720"/>
      </w:pPr>
      <w:r w:rsidRPr="00570F07">
        <w:t>I certify that I have verified that there are in place procedures at my firm or office to prevent unauthorized disclosure of Confidential Information and Highly Confidential Information.</w:t>
      </w:r>
    </w:p>
    <w:p w:rsidR="00570F07" w:rsidRPr="00570F07" w:rsidP="00570F07">
      <w:pPr>
        <w:snapToGrid w:val="0"/>
        <w:spacing w:after="120"/>
        <w:ind w:firstLine="720"/>
      </w:pPr>
      <w:r w:rsidRPr="00570F07">
        <w:t>Capitalized terms used herein and not otherwise defined shall have the meanings ascribed to them in the Protective Order. </w:t>
      </w:r>
    </w:p>
    <w:p w:rsidR="00570F07" w:rsidRPr="00570F07" w:rsidP="00570F07">
      <w:pPr>
        <w:snapToGrid w:val="0"/>
        <w:spacing w:after="120" w:line="200" w:lineRule="exact"/>
        <w:ind w:left="3600" w:firstLine="720"/>
      </w:pPr>
      <w:r w:rsidRPr="00570F07">
        <w:t>Executed this ___ day of _____________, 20__.</w:t>
      </w:r>
    </w:p>
    <w:p w:rsidR="00570F07" w:rsidRPr="00570F07" w:rsidP="00570F07">
      <w:pPr>
        <w:snapToGrid w:val="0"/>
        <w:spacing w:after="120" w:line="200" w:lineRule="exact"/>
      </w:pPr>
      <w:r w:rsidRPr="00570F07">
        <w:t> </w:t>
      </w:r>
    </w:p>
    <w:p w:rsidR="00570F07" w:rsidRPr="00570F07" w:rsidP="00570F07">
      <w:pPr>
        <w:snapToGrid w:val="0"/>
        <w:spacing w:after="120" w:line="200" w:lineRule="exact"/>
        <w:rPr>
          <w:szCs w:val="22"/>
        </w:rPr>
      </w:pPr>
      <w:r w:rsidRPr="00570F07">
        <w:rPr>
          <w:szCs w:val="22"/>
        </w:rPr>
        <w:t>                                                                   </w:t>
      </w:r>
      <w:r w:rsidRPr="00570F07">
        <w:rPr>
          <w:szCs w:val="22"/>
        </w:rPr>
        <w:tab/>
        <w:t>_________________________________</w:t>
      </w:r>
    </w:p>
    <w:p w:rsidR="00570F07" w:rsidRPr="00570F07" w:rsidP="00570F07">
      <w:pPr>
        <w:snapToGrid w:val="0"/>
        <w:spacing w:line="200" w:lineRule="exact"/>
        <w:rPr>
          <w:szCs w:val="22"/>
        </w:rPr>
      </w:pPr>
      <w:r w:rsidRPr="00570F07">
        <w:rPr>
          <w:szCs w:val="22"/>
        </w:rPr>
        <w:t>                                                                 </w:t>
      </w:r>
      <w:r w:rsidRPr="00570F07">
        <w:rPr>
          <w:szCs w:val="22"/>
        </w:rPr>
        <w:tab/>
      </w:r>
      <w:r w:rsidRPr="00570F07">
        <w:rPr>
          <w:szCs w:val="22"/>
        </w:rPr>
        <w:tab/>
        <w:t>[Name]</w:t>
      </w:r>
    </w:p>
    <w:p w:rsidR="00570F07" w:rsidRPr="00570F07" w:rsidP="00570F07">
      <w:pPr>
        <w:snapToGrid w:val="0"/>
        <w:spacing w:line="200" w:lineRule="exact"/>
      </w:pPr>
      <w:r w:rsidRPr="00570F07">
        <w:rPr>
          <w:szCs w:val="22"/>
        </w:rPr>
        <w:t>                                                                  </w:t>
      </w:r>
      <w:r w:rsidRPr="00570F07">
        <w:tab/>
        <w:t>[Position]</w:t>
      </w:r>
    </w:p>
    <w:p w:rsidR="00570F07" w:rsidRPr="00570F07" w:rsidP="00570F07">
      <w:pPr>
        <w:snapToGrid w:val="0"/>
        <w:spacing w:line="200" w:lineRule="exact"/>
        <w:rPr>
          <w:szCs w:val="22"/>
        </w:rPr>
      </w:pPr>
      <w:r w:rsidRPr="00570F07">
        <w:rPr>
          <w:szCs w:val="22"/>
        </w:rPr>
        <w:t>                                                                  </w:t>
      </w:r>
      <w:r w:rsidRPr="00570F07">
        <w:rPr>
          <w:szCs w:val="22"/>
        </w:rPr>
        <w:tab/>
        <w:t>[Firm]</w:t>
      </w:r>
    </w:p>
    <w:p w:rsidR="00570F07" w:rsidRPr="00570F07" w:rsidP="00570F07">
      <w:pPr>
        <w:snapToGrid w:val="0"/>
        <w:spacing w:line="200" w:lineRule="exact"/>
        <w:ind w:left="3600" w:firstLine="720"/>
      </w:pPr>
      <w:r w:rsidRPr="00570F07">
        <w:t>[Telephone]</w:t>
      </w:r>
    </w:p>
    <w:p w:rsidR="00570F07" w:rsidRPr="00570F07" w:rsidP="00570F07"/>
    <w:p w:rsidR="002C00E8" w:rsidRPr="00570F07" w:rsidP="00570F07"/>
    <w:sectPr w:rsidSect="00570F07">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rsidP="0055614C">
    <w:pPr>
      <w:pStyle w:val="Footer"/>
      <w:framePr w:wrap="around" w:vAnchor="text" w:hAnchor="margin" w:xAlign="center" w:y="1"/>
    </w:pPr>
    <w:r>
      <w:fldChar w:fldCharType="begin"/>
    </w:r>
    <w:r>
      <w:instrText xml:space="preserve">PAGE  </w:instrText>
    </w:r>
    <w:r>
      <w:fldChar w:fldCharType="separate"/>
    </w:r>
    <w:r>
      <w:fldChar w:fldCharType="end"/>
    </w:r>
  </w:p>
  <w:p w:rsidR="00570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rsidP="0055614C">
    <w:pPr>
      <w:pStyle w:val="Footer"/>
      <w:framePr w:wrap="around" w:vAnchor="text" w:hAnchor="margin" w:xAlign="center" w:y="1"/>
    </w:pPr>
    <w:r>
      <w:fldChar w:fldCharType="begin"/>
    </w:r>
    <w:r>
      <w:instrText xml:space="preserve">PAGE  </w:instrText>
    </w:r>
    <w:r>
      <w:fldChar w:fldCharType="separate"/>
    </w:r>
    <w:r>
      <w:t>12</w:t>
    </w:r>
    <w:r>
      <w:fldChar w:fldCharType="end"/>
    </w:r>
  </w:p>
  <w:p w:rsidR="00570F0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rsidP="00091F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pPr>
      <w:pStyle w:val="Footer"/>
      <w:jc w:val="center"/>
    </w:pPr>
    <w:r>
      <w:fldChar w:fldCharType="begin"/>
    </w:r>
    <w:r>
      <w:instrText xml:space="preserve"> PAGE   \* MERGEFORMAT </w:instrText>
    </w:r>
    <w:r>
      <w:fldChar w:fldCharType="separate"/>
    </w:r>
    <w:r w:rsidR="00F52926">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70F07">
      <w:rPr>
        <w:noProof/>
      </w:rPr>
      <w:t>15</w:t>
    </w:r>
    <w:r>
      <w:fldChar w:fldCharType="end"/>
    </w:r>
  </w:p>
  <w:p w:rsidR="00D25FB5">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pPr>
      <w:pStyle w:val="Footer"/>
      <w:jc w:val="center"/>
    </w:pPr>
    <w:r>
      <w:fldChar w:fldCharType="begin"/>
    </w:r>
    <w:r>
      <w:instrText xml:space="preserve"> PAGE   \* MERGEFORMAT </w:instrText>
    </w:r>
    <w:r>
      <w:fldChar w:fldCharType="separate"/>
    </w:r>
    <w:r w:rsidR="00F52926">
      <w:rPr>
        <w:noProof/>
      </w:rPr>
      <w:t>14</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F07">
      <w:r>
        <w:separator/>
      </w:r>
    </w:p>
  </w:footnote>
  <w:footnote w:type="continuationSeparator" w:id="1">
    <w:p w:rsidR="00570F07" w:rsidP="00C721AC">
      <w:pPr>
        <w:spacing w:before="120"/>
        <w:rPr>
          <w:sz w:val="20"/>
        </w:rPr>
      </w:pPr>
      <w:r>
        <w:rPr>
          <w:sz w:val="20"/>
        </w:rPr>
        <w:t xml:space="preserve">(Continued from previous page)  </w:t>
      </w:r>
      <w:r>
        <w:rPr>
          <w:sz w:val="20"/>
        </w:rPr>
        <w:separator/>
      </w:r>
    </w:p>
  </w:footnote>
  <w:footnote w:type="continuationNotice" w:id="2">
    <w:p w:rsidR="00570F07" w:rsidP="00C721AC">
      <w:pPr>
        <w:jc w:val="right"/>
        <w:rPr>
          <w:sz w:val="20"/>
        </w:rPr>
      </w:pPr>
      <w:r>
        <w:rPr>
          <w:sz w:val="20"/>
        </w:rPr>
        <w:t>(continued….)</w:t>
      </w:r>
    </w:p>
  </w:footnote>
  <w:footnote w:id="3">
    <w:p w:rsidR="00570F07" w:rsidP="00570F07">
      <w:pPr>
        <w:pStyle w:val="FootnoteText"/>
      </w:pPr>
      <w:r>
        <w:rPr>
          <w:rStyle w:val="FootnoteReference"/>
        </w:rPr>
        <w:footnoteRef/>
      </w:r>
      <w:r>
        <w:t xml:space="preserve"> </w:t>
      </w:r>
      <w:r w:rsidRPr="00D6267B">
        <w:rPr>
          <w:i/>
        </w:rPr>
        <w:t>See, e.g.</w:t>
      </w:r>
      <w:r>
        <w:t>, 47 CFR § 64.606(g) (requiring Internet-based TRS providers to submit annual reports demonstrating compliance with section 64.604).</w:t>
      </w:r>
    </w:p>
  </w:footnote>
  <w:footnote w:id="4">
    <w:p w:rsidR="00570F07" w:rsidP="00570F07">
      <w:pPr>
        <w:pStyle w:val="FootnoteText"/>
      </w:pPr>
      <w:r>
        <w:rPr>
          <w:rStyle w:val="FootnoteReference"/>
        </w:rPr>
        <w:footnoteRef/>
      </w:r>
      <w:r>
        <w:t xml:space="preserve"> </w:t>
      </w:r>
      <w:r w:rsidRPr="00E83A95">
        <w:rPr>
          <w:i/>
        </w:rPr>
        <w:t>See</w:t>
      </w:r>
      <w:r>
        <w:t xml:space="preserve"> Rolka Loube Associates LLC, Interstate Telecommunications Relay Services Fund Payment Formula and Fund Size Estimate, CG Docket Nos. 03-123 and 10-51 (filed May 4, 2018) (2018 TRS Rate Filing).</w:t>
      </w:r>
    </w:p>
  </w:footnote>
  <w:footnote w:id="5">
    <w:p w:rsidR="00570F07" w:rsidP="00570F07">
      <w:pPr>
        <w:pStyle w:val="FootnoteText"/>
      </w:pPr>
      <w:r>
        <w:rPr>
          <w:rStyle w:val="FootnoteReference"/>
        </w:rPr>
        <w:footnoteRef/>
      </w:r>
      <w:r>
        <w:t xml:space="preserve"> Letter from David Rolka, President, Rolka Loube Associates, LLC, to Marlene H. Dortch, Secretary, FCC, CG Docket Nos. 03-123 and 10-51 at 1 (filed May 4, 2018) (requesting confidential treatment of Exhibit 1-3.1 of the 2018 TRS Rate Filing).  The TRS Fund administrator subsequently submitted a revised Exhibit 1-3 and a request for confidential treatment of revised Exhibit 1-3.1 of the 2018 TRS Rate Filing.  </w:t>
      </w:r>
      <w:r>
        <w:rPr>
          <w:i/>
        </w:rPr>
        <w:t>See</w:t>
      </w:r>
      <w:r>
        <w:t xml:space="preserve"> Letter from David Rolka, President, Rolka Loube Associates, LLC, to Marlene H. Dortch, Secretary, FCC, CG Docket Nos. 03-123 and 10-51</w:t>
      </w:r>
      <w:r w:rsidR="008B7FE8">
        <w:t>,</w:t>
      </w:r>
      <w:r>
        <w:t xml:space="preserve"> at 1 (filed May 25, 2018).</w:t>
      </w:r>
    </w:p>
  </w:footnote>
  <w:footnote w:id="6">
    <w:p w:rsidR="00570F07" w:rsidRPr="00267E64" w:rsidP="00570F07">
      <w:pPr>
        <w:pStyle w:val="FootnoteText"/>
      </w:pPr>
      <w:r>
        <w:rPr>
          <w:rStyle w:val="FootnoteReference"/>
        </w:rPr>
        <w:footnoteRef/>
      </w:r>
      <w:r>
        <w:t xml:space="preserve"> </w:t>
      </w:r>
      <w:r>
        <w:rPr>
          <w:i/>
        </w:rPr>
        <w:t>Telecommunications Relay Services and Speech-to-Speech Services for Individuals with Hearing and Speech Disabilities</w:t>
      </w:r>
      <w:r>
        <w:t xml:space="preserve">; </w:t>
      </w:r>
      <w:r>
        <w:rPr>
          <w:i/>
        </w:rPr>
        <w:t>Individual IP CTS Provider Cost and Demand Data to be Placed in the Record Subject to Second Protective Order</w:t>
      </w:r>
      <w:r>
        <w:t>, Public Notice, DA 18-495, at 1 (May 14, 2018) (</w:t>
      </w:r>
      <w:r w:rsidRPr="00267E64">
        <w:rPr>
          <w:i/>
        </w:rPr>
        <w:t>Confidential Data Public Notice</w:t>
      </w:r>
      <w:r>
        <w:t xml:space="preserve">); </w:t>
      </w:r>
      <w:r w:rsidRPr="00500F01">
        <w:rPr>
          <w:i/>
        </w:rPr>
        <w:t>see also</w:t>
      </w:r>
      <w:r>
        <w:t xml:space="preserve"> </w:t>
      </w:r>
      <w:r>
        <w:rPr>
          <w:i/>
        </w:rPr>
        <w:t>Structure and Practices of the Video Relay Service Program; Telecommunications Relay Services and Speech-to-Speech Services for Individuals with Hearing and Speech Disabilities</w:t>
      </w:r>
      <w:r>
        <w:t>, Second Protective Order, 27 FCC Rcd 5914 (CGB 2012) (</w:t>
      </w:r>
      <w:r>
        <w:rPr>
          <w:i/>
        </w:rPr>
        <w:t>Second Protective Order</w:t>
      </w:r>
      <w:r>
        <w:t>).</w:t>
      </w:r>
    </w:p>
  </w:footnote>
  <w:footnote w:id="7">
    <w:p w:rsidR="00570F07" w:rsidP="00570F07">
      <w:pPr>
        <w:pStyle w:val="FootnoteText"/>
      </w:pPr>
      <w:r>
        <w:rPr>
          <w:rStyle w:val="FootnoteReference"/>
        </w:rPr>
        <w:footnoteRef/>
      </w:r>
      <w:r>
        <w:t xml:space="preserve"> Opposition of Hamilton Relay, Inc., CG Docket Nos. 03-123 and 10-51, at 2, 4-5 (filed May 24, 2018) (Hamilton Opposition).</w:t>
      </w:r>
    </w:p>
  </w:footnote>
  <w:footnote w:id="8">
    <w:p w:rsidR="00570F07" w:rsidP="00570F07">
      <w:pPr>
        <w:pStyle w:val="FootnoteText"/>
      </w:pPr>
      <w:r>
        <w:rPr>
          <w:rStyle w:val="FootnoteReference"/>
        </w:rPr>
        <w:footnoteRef/>
      </w:r>
      <w:r>
        <w:t xml:space="preserve"> </w:t>
      </w:r>
      <w:r w:rsidRPr="008B634F">
        <w:rPr>
          <w:i/>
        </w:rPr>
        <w:t>Id</w:t>
      </w:r>
      <w:r>
        <w:t>. at 2, 4-6.</w:t>
      </w:r>
    </w:p>
  </w:footnote>
  <w:footnote w:id="9">
    <w:p w:rsidR="00570F07" w:rsidP="00570F07">
      <w:pPr>
        <w:pStyle w:val="FootnoteText"/>
      </w:pPr>
      <w:r>
        <w:rPr>
          <w:rStyle w:val="FootnoteReference"/>
        </w:rPr>
        <w:footnoteRef/>
      </w:r>
      <w:r>
        <w:t xml:space="preserve"> </w:t>
      </w:r>
      <w:r w:rsidRPr="003D0C0B">
        <w:rPr>
          <w:i/>
        </w:rPr>
        <w:t>See, e.g.</w:t>
      </w:r>
      <w:r w:rsidRPr="003D0C0B">
        <w:t xml:space="preserve">, </w:t>
      </w:r>
      <w:r>
        <w:rPr>
          <w:i/>
        </w:rPr>
        <w:t>Structure and Practices of the Video Relay Service Program; Telecommunications Relay Services and Speech-to-Speech Services for Individuals with Hearing and Speech Disabilities</w:t>
      </w:r>
      <w:r>
        <w:t>, Protective Order, 27 FCC Rcd 2557 (CGB 2012) (</w:t>
      </w:r>
      <w:r w:rsidRPr="0005149B" w:rsidR="00941A97">
        <w:rPr>
          <w:i/>
        </w:rPr>
        <w:t xml:space="preserve">First </w:t>
      </w:r>
      <w:r>
        <w:rPr>
          <w:i/>
        </w:rPr>
        <w:t>Protective Order</w:t>
      </w:r>
      <w:r>
        <w:t>);</w:t>
      </w:r>
      <w:r w:rsidRPr="0056193B">
        <w:rPr>
          <w:i/>
          <w:snapToGrid w:val="0"/>
          <w:kern w:val="28"/>
          <w:sz w:val="22"/>
        </w:rPr>
        <w:t xml:space="preserve"> </w:t>
      </w:r>
      <w:r w:rsidRPr="0056193B">
        <w:rPr>
          <w:i/>
        </w:rPr>
        <w:t>Second Protective Order</w:t>
      </w:r>
      <w:r>
        <w:t>, 27 FCC Rcd 5914</w:t>
      </w:r>
      <w:r w:rsidRPr="003D0C0B">
        <w:rPr>
          <w:iCs/>
        </w:rPr>
        <w:t>.</w:t>
      </w:r>
    </w:p>
  </w:footnote>
  <w:footnote w:id="10">
    <w:p w:rsidR="00570F07" w:rsidRPr="001106B2" w:rsidP="00570F07">
      <w:pPr>
        <w:pStyle w:val="FootnoteText"/>
      </w:pPr>
      <w:r w:rsidRPr="001106B2">
        <w:rPr>
          <w:rStyle w:val="FootnoteReference"/>
        </w:rPr>
        <w:footnoteRef/>
      </w:r>
      <w:r w:rsidRPr="001106B2">
        <w:t xml:space="preserve"> 47 U.S.C. § 154(j).</w:t>
      </w:r>
    </w:p>
  </w:footnote>
  <w:footnote w:id="11">
    <w:p w:rsidR="00570F07" w:rsidP="00570F07">
      <w:pPr>
        <w:pStyle w:val="FootnoteText"/>
      </w:pPr>
      <w:r>
        <w:rPr>
          <w:rStyle w:val="FootnoteReference"/>
        </w:rPr>
        <w:footnoteRef/>
      </w:r>
      <w:r>
        <w:t xml:space="preserve"> </w:t>
      </w:r>
      <w:r>
        <w:rPr>
          <w:i/>
        </w:rPr>
        <w:t xml:space="preserve">Infra </w:t>
      </w:r>
      <w:r>
        <w:t>Appx. A, Third Protective Order</w:t>
      </w:r>
      <w:r w:rsidR="008B634F">
        <w:t>,</w:t>
      </w:r>
      <w:r>
        <w:t xml:space="preserve"> at paras. 1, 3-7, 11, 18-19.</w:t>
      </w:r>
    </w:p>
  </w:footnote>
  <w:footnote w:id="12">
    <w:p w:rsidR="00570F07" w:rsidRPr="00F1517E" w:rsidP="00570F07">
      <w:pPr>
        <w:pStyle w:val="FootnoteText"/>
      </w:pPr>
      <w:r>
        <w:rPr>
          <w:rStyle w:val="FootnoteReference"/>
        </w:rPr>
        <w:footnoteRef/>
      </w:r>
      <w:r>
        <w:t xml:space="preserve"> </w:t>
      </w:r>
      <w:r w:rsidR="008B634F">
        <w:rPr>
          <w:i/>
        </w:rPr>
        <w:t>Id.</w:t>
      </w:r>
      <w:r>
        <w:t xml:space="preserve"> at para. 1. </w:t>
      </w:r>
    </w:p>
  </w:footnote>
  <w:footnote w:id="13">
    <w:p w:rsidR="00570F07" w:rsidRPr="00A12904" w:rsidP="00570F07">
      <w:pPr>
        <w:pStyle w:val="FootnoteText"/>
      </w:pPr>
      <w:r>
        <w:rPr>
          <w:rStyle w:val="FootnoteReference"/>
        </w:rPr>
        <w:footnoteRef/>
      </w:r>
      <w:r>
        <w:t xml:space="preserve"> </w:t>
      </w:r>
      <w:r w:rsidRPr="00280A6B">
        <w:rPr>
          <w:i/>
        </w:rPr>
        <w:t>Compare</w:t>
      </w:r>
      <w:r>
        <w:t xml:space="preserve"> Appx. A </w:t>
      </w:r>
      <w:r w:rsidRPr="008B634F" w:rsidR="008B634F">
        <w:rPr>
          <w:i/>
        </w:rPr>
        <w:t>with</w:t>
      </w:r>
      <w:r>
        <w:t xml:space="preserve"> </w:t>
      </w:r>
      <w:r>
        <w:rPr>
          <w:i/>
        </w:rPr>
        <w:t>Second Protective Order</w:t>
      </w:r>
      <w:r>
        <w:t xml:space="preserve">, 27 FCC Rcd 5914. </w:t>
      </w:r>
    </w:p>
  </w:footnote>
  <w:footnote w:id="14">
    <w:p w:rsidR="00570F07" w:rsidP="00570F07">
      <w:pPr>
        <w:pStyle w:val="FootnoteText"/>
      </w:pPr>
      <w:r>
        <w:rPr>
          <w:rStyle w:val="FootnoteReference"/>
        </w:rPr>
        <w:footnoteRef/>
      </w:r>
      <w:r>
        <w:t xml:space="preserve"> </w:t>
      </w:r>
      <w:r>
        <w:rPr>
          <w:i/>
        </w:rPr>
        <w:t xml:space="preserve">See infra </w:t>
      </w:r>
      <w:r>
        <w:t>Appx. C, Acknowledgment of Confidentiality.</w:t>
      </w:r>
    </w:p>
  </w:footnote>
  <w:footnote w:id="15">
    <w:p w:rsidR="00570F07" w:rsidRPr="00C91C5C" w:rsidP="00570F07">
      <w:pPr>
        <w:pStyle w:val="FootnoteText"/>
      </w:pPr>
      <w:r>
        <w:rPr>
          <w:rStyle w:val="FootnoteReference"/>
        </w:rPr>
        <w:footnoteRef/>
      </w:r>
      <w:r>
        <w:t xml:space="preserve"> </w:t>
      </w:r>
      <w:r>
        <w:rPr>
          <w:i/>
        </w:rPr>
        <w:t xml:space="preserve">See </w:t>
      </w:r>
      <w:r>
        <w:t xml:space="preserve">Hamilton Opposition at 5-6 (requesting application of the copying restriction in the </w:t>
      </w:r>
      <w:r>
        <w:rPr>
          <w:i/>
        </w:rPr>
        <w:t>Second Protective Order</w:t>
      </w:r>
      <w:r>
        <w:t xml:space="preserve">). </w:t>
      </w:r>
    </w:p>
  </w:footnote>
  <w:footnote w:id="16">
    <w:p w:rsidR="00570F07" w:rsidP="00570F07">
      <w:pPr>
        <w:pStyle w:val="FootnoteText"/>
      </w:pPr>
      <w:r>
        <w:rPr>
          <w:rStyle w:val="FootnoteReference"/>
        </w:rPr>
        <w:footnoteRef/>
      </w:r>
      <w:r>
        <w:t xml:space="preserve"> </w:t>
      </w:r>
      <w:r w:rsidRPr="0022700B">
        <w:t>Appx. A at para. 5</w:t>
      </w:r>
      <w:r>
        <w:t>.</w:t>
      </w:r>
    </w:p>
  </w:footnote>
  <w:footnote w:id="17">
    <w:p w:rsidR="00570F07" w:rsidP="00570F07">
      <w:pPr>
        <w:pStyle w:val="FootnoteText"/>
      </w:pPr>
      <w:r>
        <w:rPr>
          <w:rStyle w:val="FootnoteReference"/>
        </w:rPr>
        <w:footnoteRef/>
      </w:r>
      <w:r>
        <w:t xml:space="preserve"> </w:t>
      </w:r>
      <w:r w:rsidRPr="0022700B">
        <w:rPr>
          <w:i/>
        </w:rPr>
        <w:t>Id.</w:t>
      </w:r>
    </w:p>
  </w:footnote>
  <w:footnote w:id="18">
    <w:p w:rsidR="00570F07" w:rsidRPr="001E48D8" w:rsidP="00570F07">
      <w:pPr>
        <w:pStyle w:val="FootnoteText"/>
      </w:pPr>
      <w:r>
        <w:rPr>
          <w:rStyle w:val="FootnoteReference"/>
        </w:rPr>
        <w:footnoteRef/>
      </w:r>
      <w:r>
        <w:t xml:space="preserve"> </w:t>
      </w:r>
      <w:bookmarkStart w:id="0" w:name="_Hlk515891148"/>
      <w:r>
        <w:rPr>
          <w:i/>
        </w:rPr>
        <w:t>Id.</w:t>
      </w:r>
    </w:p>
  </w:footnote>
  <w:footnote w:id="19">
    <w:p w:rsidR="00941A97" w:rsidP="00941A97">
      <w:pPr>
        <w:pStyle w:val="FootnoteText"/>
      </w:pPr>
      <w:bookmarkEnd w:id="0"/>
      <w:r>
        <w:rPr>
          <w:rStyle w:val="FootnoteReference"/>
        </w:rPr>
        <w:footnoteRef/>
      </w:r>
      <w:r>
        <w:t xml:space="preserve"> </w:t>
      </w:r>
      <w:r w:rsidR="008B634F">
        <w:rPr>
          <w:i/>
        </w:rPr>
        <w:t>Id.</w:t>
      </w:r>
      <w:r w:rsidRPr="0027329F">
        <w:t xml:space="preserve"> at para. 7</w:t>
      </w:r>
      <w:r>
        <w:t>.</w:t>
      </w:r>
    </w:p>
  </w:footnote>
  <w:footnote w:id="20">
    <w:p w:rsidR="00570F07" w:rsidRPr="001106B2" w:rsidP="00570F07">
      <w:pPr>
        <w:pStyle w:val="FootnoteText"/>
      </w:pPr>
      <w:r w:rsidRPr="001106B2">
        <w:rPr>
          <w:rStyle w:val="FootnoteReference"/>
        </w:rPr>
        <w:footnoteRef/>
      </w:r>
      <w:r w:rsidRPr="001106B2">
        <w:t xml:space="preserve"> </w:t>
      </w:r>
      <w:r>
        <w:t>47 CF</w:t>
      </w:r>
      <w:r w:rsidRPr="00D804B8">
        <w:t>R §§ 0.459, 0.461.</w:t>
      </w:r>
    </w:p>
  </w:footnote>
  <w:footnote w:id="21">
    <w:p w:rsidR="00570F07" w:rsidRPr="001106B2" w:rsidP="00570F07">
      <w:pPr>
        <w:pStyle w:val="FootnoteText"/>
      </w:pPr>
      <w:r w:rsidRPr="001106B2">
        <w:rPr>
          <w:rStyle w:val="FootnoteReference"/>
        </w:rPr>
        <w:footnoteRef/>
      </w:r>
      <w:r>
        <w:t xml:space="preserve"> </w:t>
      </w:r>
      <w:r w:rsidRPr="008B634F" w:rsidR="008B634F">
        <w:rPr>
          <w:i/>
        </w:rPr>
        <w:t>Id</w:t>
      </w:r>
      <w:r w:rsidR="008B634F">
        <w:t>.</w:t>
      </w:r>
      <w:r>
        <w:t xml:space="preserve"> § 0.459(a).</w:t>
      </w:r>
    </w:p>
  </w:footnote>
  <w:footnote w:id="22">
    <w:p w:rsidR="00570F07" w:rsidRPr="001106B2" w:rsidP="00570F07">
      <w:pPr>
        <w:pStyle w:val="FootnoteText"/>
      </w:pPr>
      <w:r w:rsidRPr="001106B2">
        <w:rPr>
          <w:rStyle w:val="FootnoteReference"/>
        </w:rPr>
        <w:footnoteRef/>
      </w:r>
      <w:r w:rsidRPr="001106B2">
        <w:t xml:space="preserve"> </w:t>
      </w:r>
      <w:r w:rsidRPr="001106B2">
        <w:rPr>
          <w:i/>
        </w:rPr>
        <w:t>Cf.</w:t>
      </w:r>
      <w:r w:rsidRPr="001106B2">
        <w:t xml:space="preserve"> </w:t>
      </w:r>
      <w:r w:rsidRPr="008B634F" w:rsidR="008B634F">
        <w:rPr>
          <w:i/>
        </w:rPr>
        <w:t>id</w:t>
      </w:r>
      <w:r w:rsidR="008B634F">
        <w:t>.</w:t>
      </w:r>
      <w:r w:rsidRPr="001106B2">
        <w:t xml:space="preserve"> §§ 0.459(g), 0.461(</w:t>
      </w:r>
      <w:r w:rsidRPr="001106B2">
        <w:t>i</w:t>
      </w:r>
      <w:r w:rsidRPr="001106B2">
        <w:t>).</w:t>
      </w:r>
    </w:p>
  </w:footnote>
  <w:footnote w:id="23">
    <w:p w:rsidR="00570F07" w:rsidRPr="001106B2" w:rsidP="00570F07">
      <w:pPr>
        <w:pStyle w:val="FootnoteText"/>
      </w:pPr>
      <w:r w:rsidRPr="001106B2">
        <w:rPr>
          <w:rStyle w:val="FootnoteReference"/>
        </w:rPr>
        <w:footnoteRef/>
      </w:r>
      <w:r w:rsidRPr="001106B2">
        <w:t xml:space="preserve"> </w:t>
      </w:r>
      <w:r w:rsidRPr="001106B2">
        <w:rPr>
          <w:i/>
        </w:rPr>
        <w:t>See</w:t>
      </w:r>
      <w:r w:rsidRPr="001106B2">
        <w:t xml:space="preserve"> </w:t>
      </w:r>
      <w:r w:rsidRPr="008B634F" w:rsidR="008B634F">
        <w:rPr>
          <w:i/>
        </w:rPr>
        <w:t>id</w:t>
      </w:r>
      <w:r w:rsidR="008B634F">
        <w:t>.</w:t>
      </w:r>
      <w:r w:rsidRPr="001106B2">
        <w:t xml:space="preserve"> §§ 0.459(h), 0.461.</w:t>
      </w:r>
    </w:p>
  </w:footnote>
  <w:footnote w:id="24">
    <w:p w:rsidR="00570F07" w:rsidRPr="001106B2" w:rsidP="00570F0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25">
    <w:p w:rsidR="00570F07" w:rsidRPr="001106B2" w:rsidP="00570F07">
      <w:pPr>
        <w:pStyle w:val="FootnoteText"/>
      </w:pPr>
      <w:r w:rsidRPr="00C50B7B">
        <w:rPr>
          <w:rStyle w:val="FootnoteReference"/>
        </w:rPr>
        <w:footnoteRef/>
      </w:r>
      <w:r w:rsidRPr="00C50B7B">
        <w:t xml:space="preserve"> This paragraph describes the procedure for objecting to a specific individual being permitted to review Confidential </w:t>
      </w:r>
      <w:r>
        <w:t xml:space="preserve">Information </w:t>
      </w:r>
      <w:r w:rsidRPr="00C50B7B">
        <w:t xml:space="preserve">and Highly Confidential Information pursuant to this Protective Order.  </w:t>
      </w:r>
      <w:r>
        <w:t xml:space="preserve">If a party timely </w:t>
      </w:r>
      <w:r w:rsidRPr="00C50B7B">
        <w:t>reques</w:t>
      </w:r>
      <w:r>
        <w:t>ts</w:t>
      </w:r>
      <w:r w:rsidRPr="00C50B7B">
        <w:t xml:space="preserve"> that certain information be entirely withheld from review by </w:t>
      </w:r>
      <w:r w:rsidRPr="00C50B7B">
        <w:rPr>
          <w:i/>
        </w:rPr>
        <w:t>any</w:t>
      </w:r>
      <w:r w:rsidRPr="00C50B7B">
        <w:t xml:space="preserve"> individual under the Protective Order</w:t>
      </w:r>
      <w:r>
        <w:t xml:space="preserve">, </w:t>
      </w:r>
      <w:r w:rsidRPr="00C50B7B">
        <w:t>we will not require that the information at issue be disclosed under the Protective Order until the Commission resolves the objection, and if a timely motion for judicial stay is filed, until the court rules upon the stay motion.</w:t>
      </w:r>
    </w:p>
  </w:footnote>
  <w:footnote w:id="26">
    <w:p w:rsidR="00570F07" w:rsidRPr="001106B2" w:rsidP="00570F07">
      <w:pPr>
        <w:pStyle w:val="FootnoteText"/>
      </w:pPr>
      <w:r w:rsidRPr="00C50B7B">
        <w:rPr>
          <w:rStyle w:val="FootnoteReference"/>
        </w:rPr>
        <w:footnoteRef/>
      </w:r>
      <w:r w:rsidRPr="00C50B7B">
        <w:t xml:space="preserve"> An objection ordinarily will first be ruled upon by the </w:t>
      </w:r>
      <w:r>
        <w:t>Consumer and Governmental Affairs</w:t>
      </w:r>
      <w:r w:rsidRPr="00C50B7B">
        <w:t xml:space="preserve"> Bureau.  If the Bureau rejects the objection, the objecting party will be provided 10 business days to file an Application for Review with the Commission; if an Application for Review is not filed within that time, the Confidential</w:t>
      </w:r>
      <w:r>
        <w:t xml:space="preserve"> Information</w:t>
      </w:r>
      <w:r w:rsidRPr="00C50B7B">
        <w:t xml:space="preserve">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w:t>
      </w:r>
      <w:r>
        <w:t xml:space="preserve">Information </w:t>
      </w:r>
      <w:r w:rsidRPr="00C50B7B">
        <w:t>or Highly Confidential Information shall be made available to the Reviewing Party.</w:t>
      </w:r>
      <w:r w:rsidRPr="001106B2">
        <w:t xml:space="preserve">  </w:t>
      </w:r>
    </w:p>
  </w:footnote>
  <w:footnote w:id="27">
    <w:p w:rsidR="00570F07" w:rsidRPr="00693FDE" w:rsidP="00570F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28">
    <w:p w:rsidR="00570F07" w:rsidP="00570F0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rsidP="00810B6F">
    <w:pPr>
      <w:pStyle w:val="Header"/>
      <w:rPr>
        <w:b w:val="0"/>
      </w:rPr>
    </w:pPr>
    <w:r>
      <w:tab/>
      <w:t>Federal Communications Commission</w:t>
    </w:r>
    <w:r>
      <w:tab/>
    </w:r>
    <w:r w:rsidR="00785108">
      <w:t>DA 18-</w:t>
    </w:r>
    <w:r w:rsidR="00825205">
      <w:t>751</w:t>
    </w:r>
  </w:p>
  <w:p w:rsidR="00570F0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570F07">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F07"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18-</w:t>
    </w:r>
    <w:r w:rsidR="00825205">
      <w:rPr>
        <w:spacing w:val="-2"/>
      </w:rPr>
      <w:t>751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5108">
      <w:rPr>
        <w:spacing w:val="-2"/>
      </w:rPr>
      <w:t>DA 18-</w:t>
    </w:r>
    <w:r>
      <w:rPr>
        <w:spacing w:val="-2"/>
      </w:rPr>
      <w:t>751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570F07"/>
  </w:style>
  <w:style w:type="character" w:customStyle="1" w:styleId="FooterChar">
    <w:name w:val="Footer Char"/>
    <w:link w:val="Footer"/>
    <w:uiPriority w:val="99"/>
    <w:rsid w:val="00570F07"/>
    <w:rPr>
      <w:snapToGrid w:val="0"/>
      <w:kern w:val="28"/>
      <w:sz w:val="22"/>
    </w:rPr>
  </w:style>
  <w:style w:type="character" w:customStyle="1" w:styleId="HeaderChar">
    <w:name w:val="Header Char"/>
    <w:link w:val="Header"/>
    <w:rsid w:val="00570F07"/>
    <w:rPr>
      <w:b/>
      <w:snapToGrid w:val="0"/>
      <w:kern w:val="28"/>
      <w:sz w:val="22"/>
    </w:rPr>
  </w:style>
  <w:style w:type="paragraph" w:styleId="BalloonText">
    <w:name w:val="Balloon Text"/>
    <w:basedOn w:val="Normal"/>
    <w:link w:val="BalloonTextChar"/>
    <w:rsid w:val="00941A97"/>
    <w:rPr>
      <w:rFonts w:ascii="Segoe UI" w:hAnsi="Segoe UI" w:cs="Segoe UI"/>
      <w:sz w:val="18"/>
      <w:szCs w:val="18"/>
    </w:rPr>
  </w:style>
  <w:style w:type="character" w:customStyle="1" w:styleId="BalloonTextChar">
    <w:name w:val="Balloon Text Char"/>
    <w:basedOn w:val="DefaultParagraphFont"/>
    <w:link w:val="BalloonText"/>
    <w:rsid w:val="00941A9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8B7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