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E3880" w:rsidP="00BE3880">
      <w:pPr>
        <w:jc w:val="center"/>
        <w:rPr>
          <w:b/>
        </w:rPr>
      </w:pPr>
      <w:r w:rsidRPr="0070224F">
        <w:rPr>
          <w:rFonts w:ascii="Times New Roman Bold" w:hAnsi="Times New Roman Bold"/>
          <w:b/>
          <w:kern w:val="0"/>
          <w:szCs w:val="22"/>
        </w:rPr>
        <w:t>Before</w:t>
      </w:r>
      <w:r>
        <w:rPr>
          <w:b/>
        </w:rPr>
        <w:t xml:space="preserve"> the</w:t>
      </w:r>
    </w:p>
    <w:p w:rsidR="00BE3880" w:rsidP="00BE3880">
      <w:pPr>
        <w:pStyle w:val="StyleBoldCentered"/>
      </w:pPr>
      <w:r>
        <w:t>F</w:t>
      </w:r>
      <w:r>
        <w:rPr>
          <w:caps w:val="0"/>
        </w:rPr>
        <w:t>ederal Communications Commission</w:t>
      </w:r>
    </w:p>
    <w:p w:rsidR="00BE3880" w:rsidP="00BE3880">
      <w:pPr>
        <w:pStyle w:val="StyleBoldCentered"/>
      </w:pPr>
      <w:r>
        <w:rPr>
          <w:caps w:val="0"/>
        </w:rPr>
        <w:t>Washington, D.C.  20554</w:t>
      </w:r>
    </w:p>
    <w:p w:rsidR="00BE3880" w:rsidP="00BE3880"/>
    <w:p w:rsidR="00BE3880" w:rsidP="00BE3880"/>
    <w:tbl>
      <w:tblPr>
        <w:tblW w:w="0" w:type="auto"/>
        <w:tblLayout w:type="fixed"/>
        <w:tblLook w:val="0000"/>
      </w:tblPr>
      <w:tblGrid>
        <w:gridCol w:w="4698"/>
        <w:gridCol w:w="630"/>
        <w:gridCol w:w="4248"/>
      </w:tblGrid>
      <w:tr w:rsidTr="000A4176">
        <w:tblPrEx>
          <w:tblW w:w="0" w:type="auto"/>
          <w:tblLayout w:type="fixed"/>
          <w:tblLook w:val="0000"/>
        </w:tblPrEx>
        <w:tc>
          <w:tcPr>
            <w:tcW w:w="4698" w:type="dxa"/>
          </w:tcPr>
          <w:p w:rsidR="00BE3880" w:rsidP="000A4176">
            <w:pPr>
              <w:tabs>
                <w:tab w:val="center" w:pos="4680"/>
              </w:tabs>
              <w:suppressAutoHyphens/>
              <w:rPr>
                <w:spacing w:val="-2"/>
              </w:rPr>
            </w:pPr>
            <w:r>
              <w:rPr>
                <w:spacing w:val="-2"/>
              </w:rPr>
              <w:t>In the Matter of</w:t>
            </w:r>
          </w:p>
          <w:p w:rsidR="00BE3880" w:rsidP="000A4176">
            <w:pPr>
              <w:tabs>
                <w:tab w:val="center" w:pos="4680"/>
              </w:tabs>
              <w:suppressAutoHyphens/>
              <w:rPr>
                <w:spacing w:val="-2"/>
              </w:rPr>
            </w:pPr>
          </w:p>
          <w:p w:rsidR="00BE3880" w:rsidP="000A4176">
            <w:pPr>
              <w:tabs>
                <w:tab w:val="center" w:pos="4680"/>
              </w:tabs>
              <w:suppressAutoHyphens/>
              <w:rPr>
                <w:spacing w:val="-2"/>
              </w:rPr>
            </w:pPr>
            <w:r>
              <w:rPr>
                <w:spacing w:val="-2"/>
              </w:rPr>
              <w:t>CITY OF NEW BRITAIN, CONNECTICUT</w:t>
            </w:r>
          </w:p>
          <w:p w:rsidR="00BE3880" w:rsidP="000A4176">
            <w:pPr>
              <w:tabs>
                <w:tab w:val="center" w:pos="4680"/>
              </w:tabs>
              <w:suppressAutoHyphens/>
              <w:rPr>
                <w:spacing w:val="-2"/>
              </w:rPr>
            </w:pPr>
          </w:p>
          <w:p w:rsidR="00BE3880" w:rsidRPr="007115F7" w:rsidP="000A4176">
            <w:pPr>
              <w:tabs>
                <w:tab w:val="center" w:pos="4680"/>
              </w:tabs>
              <w:suppressAutoHyphens/>
              <w:rPr>
                <w:spacing w:val="-2"/>
              </w:rPr>
            </w:pPr>
            <w:r>
              <w:rPr>
                <w:spacing w:val="-2"/>
              </w:rPr>
              <w:t>Request for Waiver for Early Access to 800 MHz Expansion Band Channel</w:t>
            </w:r>
          </w:p>
        </w:tc>
        <w:tc>
          <w:tcPr>
            <w:tcW w:w="630" w:type="dxa"/>
          </w:tcPr>
          <w:p w:rsidR="00BE3880" w:rsidP="000A4176">
            <w:pPr>
              <w:tabs>
                <w:tab w:val="center" w:pos="4680"/>
              </w:tabs>
              <w:suppressAutoHyphens/>
              <w:rPr>
                <w:b/>
                <w:spacing w:val="-2"/>
              </w:rPr>
            </w:pPr>
            <w:r>
              <w:rPr>
                <w:b/>
                <w:spacing w:val="-2"/>
              </w:rPr>
              <w:t>)</w:t>
            </w:r>
          </w:p>
          <w:p w:rsidR="00BE3880" w:rsidP="000A4176">
            <w:pPr>
              <w:tabs>
                <w:tab w:val="center" w:pos="4680"/>
              </w:tabs>
              <w:suppressAutoHyphens/>
              <w:rPr>
                <w:b/>
                <w:spacing w:val="-2"/>
              </w:rPr>
            </w:pPr>
            <w:r>
              <w:rPr>
                <w:b/>
                <w:spacing w:val="-2"/>
              </w:rPr>
              <w:t>)</w:t>
            </w:r>
          </w:p>
          <w:p w:rsidR="00BE3880" w:rsidP="000A4176">
            <w:pPr>
              <w:tabs>
                <w:tab w:val="center" w:pos="4680"/>
              </w:tabs>
              <w:suppressAutoHyphens/>
              <w:rPr>
                <w:b/>
                <w:spacing w:val="-2"/>
              </w:rPr>
            </w:pPr>
            <w:r>
              <w:rPr>
                <w:b/>
                <w:spacing w:val="-2"/>
              </w:rPr>
              <w:t>)</w:t>
            </w:r>
          </w:p>
          <w:p w:rsidR="00BE3880" w:rsidP="000A4176">
            <w:pPr>
              <w:tabs>
                <w:tab w:val="center" w:pos="4680"/>
              </w:tabs>
              <w:suppressAutoHyphens/>
              <w:rPr>
                <w:b/>
                <w:spacing w:val="-2"/>
              </w:rPr>
            </w:pPr>
            <w:r>
              <w:rPr>
                <w:b/>
                <w:spacing w:val="-2"/>
              </w:rPr>
              <w:t>)</w:t>
            </w:r>
          </w:p>
          <w:p w:rsidR="00BE3880" w:rsidP="000A4176">
            <w:pPr>
              <w:tabs>
                <w:tab w:val="center" w:pos="4680"/>
              </w:tabs>
              <w:suppressAutoHyphens/>
              <w:rPr>
                <w:b/>
                <w:spacing w:val="-2"/>
              </w:rPr>
            </w:pPr>
            <w:r>
              <w:rPr>
                <w:b/>
                <w:spacing w:val="-2"/>
              </w:rPr>
              <w:t>)</w:t>
            </w:r>
          </w:p>
          <w:p w:rsidR="00BE3880" w:rsidRPr="00051520" w:rsidP="000A4176">
            <w:pPr>
              <w:tabs>
                <w:tab w:val="center" w:pos="4680"/>
              </w:tabs>
              <w:suppressAutoHyphens/>
              <w:rPr>
                <w:b/>
                <w:spacing w:val="-2"/>
              </w:rPr>
            </w:pPr>
            <w:r>
              <w:rPr>
                <w:b/>
                <w:spacing w:val="-2"/>
              </w:rPr>
              <w:t>)</w:t>
            </w:r>
          </w:p>
        </w:tc>
        <w:tc>
          <w:tcPr>
            <w:tcW w:w="4248" w:type="dxa"/>
          </w:tcPr>
          <w:p w:rsidR="00BE3880" w:rsidP="000A4176">
            <w:pPr>
              <w:tabs>
                <w:tab w:val="center" w:pos="4680"/>
              </w:tabs>
              <w:suppressAutoHyphens/>
              <w:rPr>
                <w:spacing w:val="-2"/>
              </w:rPr>
            </w:pPr>
          </w:p>
          <w:p w:rsidR="00BE3880" w:rsidP="000A4176">
            <w:pPr>
              <w:pStyle w:val="TOAHeading"/>
              <w:tabs>
                <w:tab w:val="center" w:pos="4680"/>
                <w:tab w:val="clear" w:pos="9360"/>
              </w:tabs>
              <w:rPr>
                <w:spacing w:val="-2"/>
              </w:rPr>
            </w:pPr>
          </w:p>
          <w:p w:rsidR="00BE3880" w:rsidRPr="003834E6" w:rsidP="000A4176">
            <w:pPr>
              <w:tabs>
                <w:tab w:val="center" w:pos="4680"/>
              </w:tabs>
              <w:suppressAutoHyphens/>
              <w:rPr>
                <w:spacing w:val="-2"/>
                <w:szCs w:val="22"/>
              </w:rPr>
            </w:pPr>
            <w:r w:rsidRPr="003834E6">
              <w:rPr>
                <w:szCs w:val="22"/>
              </w:rPr>
              <w:t>File No. 0007585881</w:t>
            </w:r>
          </w:p>
        </w:tc>
      </w:tr>
    </w:tbl>
    <w:p w:rsidR="00BE3880" w:rsidP="00BE3880"/>
    <w:p w:rsidR="00BE3880" w:rsidP="00BE3880">
      <w:pPr>
        <w:pStyle w:val="StyleBoldCentered"/>
      </w:pPr>
      <w:r>
        <w:t>ORDER</w:t>
      </w:r>
    </w:p>
    <w:p w:rsidR="00BE3880" w:rsidP="00BE3880">
      <w:pPr>
        <w:tabs>
          <w:tab w:val="left" w:pos="-720"/>
        </w:tabs>
        <w:suppressAutoHyphens/>
        <w:spacing w:line="227" w:lineRule="auto"/>
        <w:rPr>
          <w:spacing w:val="-2"/>
        </w:rPr>
      </w:pPr>
    </w:p>
    <w:p w:rsidR="00BE3880" w:rsidP="00BE3880">
      <w:pPr>
        <w:tabs>
          <w:tab w:val="left" w:pos="720"/>
          <w:tab w:val="right" w:pos="9360"/>
        </w:tabs>
        <w:suppressAutoHyphens/>
        <w:spacing w:line="227" w:lineRule="auto"/>
        <w:rPr>
          <w:spacing w:val="-2"/>
        </w:rPr>
      </w:pPr>
      <w:r>
        <w:rPr>
          <w:b/>
          <w:spacing w:val="-2"/>
        </w:rPr>
        <w:t>Adopted:  Ju</w:t>
      </w:r>
      <w:r w:rsidR="00531216">
        <w:rPr>
          <w:b/>
          <w:spacing w:val="-2"/>
        </w:rPr>
        <w:t>ly</w:t>
      </w:r>
      <w:r>
        <w:rPr>
          <w:b/>
          <w:spacing w:val="-2"/>
        </w:rPr>
        <w:t xml:space="preserve"> </w:t>
      </w:r>
      <w:r w:rsidR="007C1A54">
        <w:rPr>
          <w:b/>
          <w:spacing w:val="-2"/>
        </w:rPr>
        <w:t>25</w:t>
      </w:r>
      <w:r>
        <w:rPr>
          <w:b/>
          <w:spacing w:val="-2"/>
        </w:rPr>
        <w:t>, 2018</w:t>
      </w:r>
      <w:r>
        <w:rPr>
          <w:b/>
          <w:spacing w:val="-2"/>
        </w:rPr>
        <w:tab/>
        <w:t>Released:  Ju</w:t>
      </w:r>
      <w:r w:rsidR="00531216">
        <w:rPr>
          <w:b/>
          <w:spacing w:val="-2"/>
        </w:rPr>
        <w:t>ly</w:t>
      </w:r>
      <w:r w:rsidR="007C1A54">
        <w:rPr>
          <w:b/>
          <w:spacing w:val="-2"/>
        </w:rPr>
        <w:t xml:space="preserve"> 25</w:t>
      </w:r>
      <w:r>
        <w:rPr>
          <w:b/>
          <w:spacing w:val="-2"/>
        </w:rPr>
        <w:t>, 2018</w:t>
      </w:r>
    </w:p>
    <w:p w:rsidR="00BE3880" w:rsidP="00BE3880"/>
    <w:p w:rsidR="00BE3880" w:rsidRPr="00CA52B8" w:rsidP="00BE3880">
      <w:pPr>
        <w:rPr>
          <w:spacing w:val="-2"/>
          <w:szCs w:val="22"/>
        </w:rPr>
      </w:pPr>
      <w:r w:rsidRPr="00CA52B8">
        <w:rPr>
          <w:szCs w:val="22"/>
        </w:rPr>
        <w:t>By the</w:t>
      </w:r>
      <w:r w:rsidRPr="00CA52B8">
        <w:rPr>
          <w:spacing w:val="-2"/>
          <w:szCs w:val="22"/>
        </w:rPr>
        <w:t xml:space="preserve"> Chief, Policy and Licensing Division, Public Safety and Homeland Security Bureau:</w:t>
      </w:r>
    </w:p>
    <w:p w:rsidR="00BE3880" w:rsidRPr="00CA52B8" w:rsidP="00BE3880">
      <w:pPr>
        <w:tabs>
          <w:tab w:val="left" w:pos="4680"/>
          <w:tab w:val="left" w:pos="5580"/>
          <w:tab w:val="left" w:pos="6480"/>
        </w:tabs>
        <w:jc w:val="both"/>
        <w:rPr>
          <w:szCs w:val="22"/>
        </w:rPr>
      </w:pPr>
    </w:p>
    <w:p w:rsidR="00BE3880" w:rsidRPr="00CA52B8" w:rsidP="00BE3880">
      <w:pPr>
        <w:pStyle w:val="Heading1"/>
        <w:rPr>
          <w:rFonts w:ascii="Times New Roman" w:hAnsi="Times New Roman"/>
          <w:szCs w:val="22"/>
        </w:rPr>
      </w:pPr>
      <w:r w:rsidRPr="00CA52B8">
        <w:rPr>
          <w:rFonts w:ascii="Times New Roman" w:hAnsi="Times New Roman"/>
          <w:szCs w:val="22"/>
        </w:rPr>
        <w:t>INTRODUCTION</w:t>
      </w:r>
      <w:r w:rsidR="00531216">
        <w:rPr>
          <w:rFonts w:ascii="Times New Roman" w:hAnsi="Times New Roman"/>
          <w:szCs w:val="22"/>
        </w:rPr>
        <w:t xml:space="preserve"> and Background</w:t>
      </w:r>
    </w:p>
    <w:p w:rsidR="00BE3880" w:rsidRPr="00531216" w:rsidP="00531216">
      <w:pPr>
        <w:pStyle w:val="ParaNum"/>
        <w:rPr>
          <w:szCs w:val="22"/>
        </w:rPr>
      </w:pPr>
      <w:r>
        <w:rPr>
          <w:szCs w:val="22"/>
        </w:rPr>
        <w:t>In this Order, we address t</w:t>
      </w:r>
      <w:r w:rsidRPr="00CA52B8">
        <w:rPr>
          <w:szCs w:val="22"/>
        </w:rPr>
        <w:t>he City of New Britain, Connecticut</w:t>
      </w:r>
      <w:r>
        <w:rPr>
          <w:szCs w:val="22"/>
        </w:rPr>
        <w:t>’s</w:t>
      </w:r>
      <w:r w:rsidRPr="00CA52B8">
        <w:rPr>
          <w:szCs w:val="22"/>
        </w:rPr>
        <w:t xml:space="preserve"> (New Britain), </w:t>
      </w:r>
      <w:r w:rsidRPr="00CA52B8">
        <w:rPr>
          <w:color w:val="212121"/>
          <w:szCs w:val="22"/>
        </w:rPr>
        <w:t xml:space="preserve">application and associated </w:t>
      </w:r>
      <w:r w:rsidRPr="00CA52B8">
        <w:rPr>
          <w:bCs/>
          <w:color w:val="252525"/>
          <w:szCs w:val="22"/>
        </w:rPr>
        <w:t>waiver</w:t>
      </w:r>
      <w:r w:rsidRPr="00CA52B8">
        <w:rPr>
          <w:color w:val="212121"/>
          <w:szCs w:val="22"/>
        </w:rPr>
        <w:t xml:space="preserve"> request for authority to license Expansion Band channel </w:t>
      </w:r>
      <w:r w:rsidRPr="00CA52B8">
        <w:rPr>
          <w:szCs w:val="22"/>
        </w:rPr>
        <w:t xml:space="preserve">860/815.2125 MHz </w:t>
      </w:r>
      <w:r w:rsidRPr="00CA52B8">
        <w:rPr>
          <w:color w:val="212121"/>
          <w:szCs w:val="22"/>
        </w:rPr>
        <w:t xml:space="preserve">for </w:t>
      </w:r>
      <w:r w:rsidRPr="00CA52B8">
        <w:rPr>
          <w:bCs/>
          <w:color w:val="252525"/>
          <w:szCs w:val="22"/>
        </w:rPr>
        <w:t>public</w:t>
      </w:r>
      <w:r w:rsidRPr="00CA52B8">
        <w:rPr>
          <w:color w:val="212121"/>
          <w:szCs w:val="22"/>
        </w:rPr>
        <w:t xml:space="preserve"> </w:t>
      </w:r>
      <w:r w:rsidRPr="00CA52B8">
        <w:rPr>
          <w:bCs/>
          <w:color w:val="252525"/>
          <w:szCs w:val="22"/>
        </w:rPr>
        <w:t>safety</w:t>
      </w:r>
      <w:r w:rsidRPr="00CA52B8">
        <w:rPr>
          <w:color w:val="212121"/>
          <w:szCs w:val="22"/>
        </w:rPr>
        <w:t xml:space="preserve"> communications purposes</w:t>
      </w:r>
      <w:r w:rsidRPr="00CA52B8">
        <w:rPr>
          <w:szCs w:val="22"/>
        </w:rPr>
        <w:t>.</w:t>
      </w:r>
      <w:r>
        <w:rPr>
          <w:rStyle w:val="FootnoteReference"/>
          <w:sz w:val="22"/>
          <w:szCs w:val="22"/>
        </w:rPr>
        <w:footnoteReference w:id="3"/>
      </w:r>
      <w:r w:rsidRPr="00CA52B8">
        <w:rPr>
          <w:szCs w:val="22"/>
        </w:rPr>
        <w:t xml:space="preserve">  </w:t>
      </w:r>
    </w:p>
    <w:p w:rsidR="00BE3880" w:rsidRPr="00CA52B8" w:rsidP="00BE3880">
      <w:pPr>
        <w:pStyle w:val="ParaNum"/>
        <w:rPr>
          <w:szCs w:val="22"/>
        </w:rPr>
      </w:pPr>
      <w:r w:rsidRPr="00CA52B8">
        <w:rPr>
          <w:szCs w:val="22"/>
        </w:rPr>
        <w:t xml:space="preserve">The Commission created the </w:t>
      </w:r>
      <w:r>
        <w:rPr>
          <w:szCs w:val="22"/>
        </w:rPr>
        <w:t xml:space="preserve">800 MHz </w:t>
      </w:r>
      <w:r w:rsidRPr="00CA52B8">
        <w:rPr>
          <w:szCs w:val="22"/>
        </w:rPr>
        <w:t>Expansion Band and Guard Band to provide spectral separation between commercial licensees operating in the Enhanced Specialized Mobile Radio (ESMR) segment of the 800 MHz band above 817/862 MHz and public safety licensees operating below 815/860 MHz</w:t>
      </w:r>
      <w:r>
        <w:rPr>
          <w:szCs w:val="22"/>
        </w:rPr>
        <w:t>.</w:t>
      </w:r>
      <w:r>
        <w:rPr>
          <w:rStyle w:val="FootnoteReference"/>
          <w:szCs w:val="22"/>
        </w:rPr>
        <w:footnoteReference w:id="4"/>
      </w:r>
      <w:r w:rsidRPr="00CA52B8">
        <w:rPr>
          <w:szCs w:val="22"/>
        </w:rPr>
        <w:t xml:space="preserve">  Expansion Band spectrum is designated for SMR stations </w:t>
      </w:r>
      <w:r>
        <w:rPr>
          <w:szCs w:val="22"/>
        </w:rPr>
        <w:t xml:space="preserve">and </w:t>
      </w:r>
      <w:r w:rsidRPr="00CA52B8">
        <w:rPr>
          <w:szCs w:val="22"/>
        </w:rPr>
        <w:t xml:space="preserve">Business/Industrial/Land Transportation (B/ILT) </w:t>
      </w:r>
      <w:r>
        <w:rPr>
          <w:szCs w:val="22"/>
        </w:rPr>
        <w:t>stations</w:t>
      </w:r>
      <w:r w:rsidRPr="00CA52B8">
        <w:rPr>
          <w:szCs w:val="22"/>
        </w:rPr>
        <w:t>.</w:t>
      </w:r>
      <w:r>
        <w:rPr>
          <w:rStyle w:val="FootnoteReference"/>
          <w:sz w:val="22"/>
          <w:szCs w:val="22"/>
        </w:rPr>
        <w:footnoteReference w:id="5"/>
      </w:r>
      <w:r w:rsidRPr="00CA52B8">
        <w:rPr>
          <w:szCs w:val="22"/>
        </w:rPr>
        <w:t xml:space="preserve">  </w:t>
      </w:r>
      <w:r>
        <w:rPr>
          <w:szCs w:val="22"/>
        </w:rPr>
        <w:t xml:space="preserve">However, </w:t>
      </w:r>
      <w:r w:rsidRPr="00CA52B8">
        <w:rPr>
          <w:snapToGrid/>
          <w:kern w:val="0"/>
          <w:szCs w:val="22"/>
        </w:rPr>
        <w:t xml:space="preserve">Expansion Band users also include Public Safety licensees that </w:t>
      </w:r>
      <w:r>
        <w:rPr>
          <w:snapToGrid/>
          <w:kern w:val="0"/>
          <w:szCs w:val="22"/>
        </w:rPr>
        <w:t xml:space="preserve">elected to remain in the band in lieu of being relocated. </w:t>
      </w:r>
    </w:p>
    <w:p w:rsidR="00BE3880" w:rsidP="00BE3880">
      <w:pPr>
        <w:pStyle w:val="ParaNum"/>
      </w:pPr>
      <w:r w:rsidRPr="00CA52B8">
        <w:rPr>
          <w:szCs w:val="22"/>
        </w:rPr>
        <w:t xml:space="preserve">On December 9, 2016, the Public Safety and Homeland Security Bureau and the Wireless Telecommunications Bureau (Bureaus) announced the completion of 800 MHz </w:t>
      </w:r>
      <w:r>
        <w:rPr>
          <w:szCs w:val="22"/>
        </w:rPr>
        <w:t>reb</w:t>
      </w:r>
      <w:r w:rsidRPr="00CA52B8">
        <w:rPr>
          <w:szCs w:val="22"/>
        </w:rPr>
        <w:t>and</w:t>
      </w:r>
      <w:r>
        <w:rPr>
          <w:szCs w:val="22"/>
        </w:rPr>
        <w:t xml:space="preserve">ing </w:t>
      </w:r>
      <w:r w:rsidRPr="00CA52B8">
        <w:rPr>
          <w:szCs w:val="22"/>
        </w:rPr>
        <w:t xml:space="preserve">in </w:t>
      </w:r>
      <w:r>
        <w:rPr>
          <w:szCs w:val="22"/>
        </w:rPr>
        <w:t xml:space="preserve">several </w:t>
      </w:r>
      <w:r w:rsidRPr="00CA52B8">
        <w:rPr>
          <w:szCs w:val="22"/>
        </w:rPr>
        <w:t>National Public Safety Planning Advisory Committee (NPSPAC) regions, including the region covering Connecticut and the New York metropolitan area.</w:t>
      </w:r>
      <w:r>
        <w:rPr>
          <w:rStyle w:val="FootnoteReference"/>
          <w:sz w:val="22"/>
          <w:szCs w:val="22"/>
        </w:rPr>
        <w:footnoteReference w:id="6"/>
      </w:r>
      <w:r w:rsidRPr="00CA52B8">
        <w:rPr>
          <w:szCs w:val="22"/>
        </w:rPr>
        <w:t xml:space="preserve">  The Bureaus announced that any remaining channels in the interleaved segment of the band vacated by Sprint Corporation (Sprint) would be available for licensing to public safety entities.</w:t>
      </w:r>
      <w:r>
        <w:rPr>
          <w:rStyle w:val="FootnoteReference"/>
          <w:sz w:val="22"/>
          <w:szCs w:val="22"/>
        </w:rPr>
        <w:footnoteReference w:id="7"/>
      </w:r>
      <w:r w:rsidRPr="00CA52B8">
        <w:rPr>
          <w:szCs w:val="22"/>
        </w:rPr>
        <w:t xml:space="preserve">  However, the Bureaus did not make unoccupied channels in the </w:t>
      </w:r>
      <w:r w:rsidRPr="00CA52B8">
        <w:rPr>
          <w:szCs w:val="22"/>
        </w:rPr>
        <w:t xml:space="preserve">Expansion and Guard Bands available for licensing at that time, </w:t>
      </w:r>
      <w:r>
        <w:rPr>
          <w:szCs w:val="22"/>
        </w:rPr>
        <w:t>and stated that</w:t>
      </w:r>
      <w:r w:rsidRPr="00CA52B8">
        <w:rPr>
          <w:szCs w:val="22"/>
        </w:rPr>
        <w:t xml:space="preserve"> the availability of those channels</w:t>
      </w:r>
      <w:r>
        <w:rPr>
          <w:szCs w:val="22"/>
        </w:rPr>
        <w:t xml:space="preserve"> would be addressed in</w:t>
      </w:r>
      <w:r w:rsidRPr="00CA52B8">
        <w:rPr>
          <w:szCs w:val="22"/>
        </w:rPr>
        <w:t xml:space="preserve"> a separate Public Notice.</w:t>
      </w:r>
      <w:r>
        <w:rPr>
          <w:rStyle w:val="FootnoteReference"/>
          <w:sz w:val="22"/>
          <w:szCs w:val="22"/>
        </w:rPr>
        <w:footnoteReference w:id="8"/>
      </w:r>
      <w:r w:rsidRPr="00CA52B8">
        <w:rPr>
          <w:szCs w:val="22"/>
        </w:rPr>
        <w:t xml:space="preserve">  The Bureaus </w:t>
      </w:r>
      <w:r>
        <w:rPr>
          <w:szCs w:val="22"/>
        </w:rPr>
        <w:t xml:space="preserve">did so because eligibility for </w:t>
      </w:r>
      <w:r>
        <w:t>Guard Band and Expansion Band channels is the subject a pending rulemaking proceeding.</w:t>
      </w:r>
      <w:r>
        <w:rPr>
          <w:rStyle w:val="FootnoteReference"/>
        </w:rPr>
        <w:footnoteReference w:id="9"/>
      </w:r>
      <w:r>
        <w:t xml:space="preserve"> </w:t>
      </w:r>
    </w:p>
    <w:p w:rsidR="00BE3880" w:rsidRPr="00793664" w:rsidP="00BE3880">
      <w:pPr>
        <w:pStyle w:val="ParaNum"/>
      </w:pPr>
      <w:r>
        <w:t xml:space="preserve">On the same day that the Bureaus announced the unavailability of Expansion Band channels for licensing, New Britain filed the instant waiver request.  In its request, </w:t>
      </w:r>
      <w:r w:rsidRPr="003556C7">
        <w:rPr>
          <w:szCs w:val="22"/>
        </w:rPr>
        <w:t xml:space="preserve">New Britain seeks to add </w:t>
      </w:r>
      <w:r w:rsidRPr="003556C7">
        <w:rPr>
          <w:color w:val="212121"/>
          <w:szCs w:val="22"/>
        </w:rPr>
        <w:t xml:space="preserve">Expansion Band </w:t>
      </w:r>
      <w:r w:rsidRPr="003556C7">
        <w:rPr>
          <w:szCs w:val="22"/>
        </w:rPr>
        <w:t xml:space="preserve">channel 860/815.2125 </w:t>
      </w:r>
      <w:r>
        <w:t xml:space="preserve">MHz </w:t>
      </w:r>
      <w:r w:rsidRPr="003556C7">
        <w:rPr>
          <w:szCs w:val="22"/>
        </w:rPr>
        <w:t>to three sites licensed under call sign WNCE562 in Hartford County, Connecticut.</w:t>
      </w:r>
      <w:r>
        <w:rPr>
          <w:rStyle w:val="FootnoteReference"/>
          <w:szCs w:val="22"/>
        </w:rPr>
        <w:footnoteReference w:id="10"/>
      </w:r>
      <w:r w:rsidRPr="003556C7">
        <w:rPr>
          <w:szCs w:val="22"/>
        </w:rPr>
        <w:t xml:space="preserve">  New Britain </w:t>
      </w:r>
      <w:r>
        <w:rPr>
          <w:szCs w:val="22"/>
        </w:rPr>
        <w:t xml:space="preserve">indicates </w:t>
      </w:r>
      <w:r w:rsidRPr="003556C7">
        <w:rPr>
          <w:szCs w:val="22"/>
        </w:rPr>
        <w:t xml:space="preserve">that </w:t>
      </w:r>
      <w:r>
        <w:rPr>
          <w:szCs w:val="22"/>
        </w:rPr>
        <w:t xml:space="preserve">given </w:t>
      </w:r>
      <w:r w:rsidRPr="003556C7">
        <w:rPr>
          <w:szCs w:val="22"/>
        </w:rPr>
        <w:t xml:space="preserve">the lack of public safety spectrum and the close proximity of other 800 MHz users in the metropolitan Hartford, New York/New Jersey, and Massachusetts regions, </w:t>
      </w:r>
      <w:r>
        <w:rPr>
          <w:szCs w:val="22"/>
        </w:rPr>
        <w:t xml:space="preserve">New Britain is not able to expand its </w:t>
      </w:r>
      <w:r w:rsidRPr="003556C7">
        <w:rPr>
          <w:szCs w:val="22"/>
        </w:rPr>
        <w:t>s</w:t>
      </w:r>
      <w:r>
        <w:rPr>
          <w:szCs w:val="22"/>
        </w:rPr>
        <w:t>ystem’s</w:t>
      </w:r>
      <w:r w:rsidRPr="003556C7">
        <w:rPr>
          <w:szCs w:val="22"/>
        </w:rPr>
        <w:t xml:space="preserve"> capacity and offer coverage from </w:t>
      </w:r>
      <w:r>
        <w:rPr>
          <w:szCs w:val="22"/>
        </w:rPr>
        <w:t>its</w:t>
      </w:r>
      <w:r w:rsidRPr="003556C7">
        <w:rPr>
          <w:szCs w:val="22"/>
        </w:rPr>
        <w:t xml:space="preserve"> three sites with</w:t>
      </w:r>
      <w:r>
        <w:rPr>
          <w:szCs w:val="22"/>
        </w:rPr>
        <w:t>in</w:t>
      </w:r>
      <w:r w:rsidRPr="003556C7">
        <w:rPr>
          <w:szCs w:val="22"/>
        </w:rPr>
        <w:t xml:space="preserve"> the </w:t>
      </w:r>
      <w:r>
        <w:rPr>
          <w:szCs w:val="22"/>
        </w:rPr>
        <w:t>New Britain city limits</w:t>
      </w:r>
      <w:r w:rsidRPr="003556C7">
        <w:rPr>
          <w:szCs w:val="22"/>
        </w:rPr>
        <w:t>.</w:t>
      </w:r>
      <w:r>
        <w:rPr>
          <w:rStyle w:val="FootnoteReference"/>
          <w:szCs w:val="22"/>
        </w:rPr>
        <w:footnoteReference w:id="11"/>
      </w:r>
      <w:r w:rsidRPr="003556C7">
        <w:rPr>
          <w:szCs w:val="22"/>
        </w:rPr>
        <w:t xml:space="preserve">  Accordingly, New Britain claims that it has no alternative but to seek spectrum in the Expansion Band.</w:t>
      </w:r>
      <w:r>
        <w:rPr>
          <w:rStyle w:val="FootnoteReference"/>
          <w:szCs w:val="22"/>
        </w:rPr>
        <w:footnoteReference w:id="12"/>
      </w:r>
      <w:r w:rsidRPr="003556C7">
        <w:rPr>
          <w:szCs w:val="22"/>
        </w:rPr>
        <w:t xml:space="preserve"> </w:t>
      </w:r>
    </w:p>
    <w:p w:rsidR="00BE3880" w:rsidP="00BE3880">
      <w:pPr>
        <w:pStyle w:val="Heading1"/>
      </w:pPr>
      <w:r w:rsidRPr="00793664">
        <w:t>DISCUSSION</w:t>
      </w:r>
    </w:p>
    <w:p w:rsidR="00BE3880" w:rsidRPr="008B5423" w:rsidP="00BE3880">
      <w:pPr>
        <w:pStyle w:val="ParaNum"/>
        <w:rPr>
          <w:szCs w:val="22"/>
        </w:rPr>
      </w:pPr>
      <w:r w:rsidRPr="00CA3FDE">
        <w:t>To obtain a waiver of the Commission’s rule</w:t>
      </w:r>
      <w:bookmarkStart w:id="0" w:name="_GoBack"/>
      <w:bookmarkEnd w:id="0"/>
      <w:r w:rsidRPr="00CA3FDE">
        <w:t>s, a petitioner must demonstrate either that: (1) the underlying purpose of the rule(s) would not be served or would be frustrated by the application to the present case, and that a grant of the waiver would serve the public interest;</w:t>
      </w:r>
      <w:r>
        <w:rPr>
          <w:rStyle w:val="FootnoteReference"/>
        </w:rPr>
        <w:footnoteReference w:id="13"/>
      </w:r>
      <w:r w:rsidRPr="00CA3FDE">
        <w:t xml:space="preserve"> or (2)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4"/>
      </w:r>
      <w:r w:rsidRPr="00CA3FDE">
        <w:t xml:space="preserve"> </w:t>
      </w:r>
      <w:r>
        <w:t xml:space="preserve"> </w:t>
      </w:r>
      <w:r w:rsidRPr="00CA3FDE">
        <w:t xml:space="preserve">An applicant </w:t>
      </w:r>
      <w:r w:rsidRPr="008B5423">
        <w:rPr>
          <w:szCs w:val="22"/>
        </w:rPr>
        <w:t>seeking a waiver faces a high hurdle and must plead with particularity the facts and circumstances that warrant a waiver.</w:t>
      </w:r>
      <w:r>
        <w:rPr>
          <w:rStyle w:val="FootnoteReference"/>
          <w:sz w:val="22"/>
          <w:szCs w:val="22"/>
        </w:rPr>
        <w:footnoteReference w:id="15"/>
      </w:r>
    </w:p>
    <w:p w:rsidR="00BE3880" w:rsidRPr="008B5423" w:rsidP="00BE3880">
      <w:pPr>
        <w:pStyle w:val="ParaNum"/>
        <w:rPr>
          <w:snapToGrid/>
          <w:kern w:val="0"/>
          <w:szCs w:val="22"/>
        </w:rPr>
      </w:pPr>
      <w:r w:rsidRPr="008B5423">
        <w:rPr>
          <w:szCs w:val="22"/>
        </w:rPr>
        <w:t xml:space="preserve">New Britain fails to meet the standard for </w:t>
      </w:r>
      <w:r w:rsidRPr="008B5423">
        <w:rPr>
          <w:bCs/>
          <w:color w:val="252525"/>
          <w:szCs w:val="22"/>
        </w:rPr>
        <w:t>waiver</w:t>
      </w:r>
      <w:r w:rsidRPr="008B5423">
        <w:rPr>
          <w:szCs w:val="22"/>
        </w:rPr>
        <w:t xml:space="preserve"> relief.  As noted above, the underlying purpose of withholding the Guard Band and Expansion Band frequencies is to avoid prejudicing an ongoing rulemaking proceeding </w:t>
      </w:r>
      <w:r w:rsidRPr="00A921B0">
        <w:rPr>
          <w:color w:val="212121"/>
          <w:szCs w:val="22"/>
        </w:rPr>
        <w:t xml:space="preserve">regarding a proposal to afford filing priority to </w:t>
      </w:r>
      <w:r w:rsidRPr="00A921B0">
        <w:rPr>
          <w:bCs/>
          <w:color w:val="252525"/>
          <w:szCs w:val="22"/>
        </w:rPr>
        <w:t>800</w:t>
      </w:r>
      <w:r w:rsidRPr="00A921B0">
        <w:rPr>
          <w:color w:val="212121"/>
          <w:szCs w:val="22"/>
        </w:rPr>
        <w:t xml:space="preserve"> </w:t>
      </w:r>
      <w:r w:rsidRPr="00A921B0">
        <w:rPr>
          <w:bCs/>
          <w:color w:val="252525"/>
          <w:szCs w:val="22"/>
        </w:rPr>
        <w:t>MHz</w:t>
      </w:r>
      <w:r w:rsidRPr="00A921B0">
        <w:rPr>
          <w:color w:val="212121"/>
          <w:szCs w:val="22"/>
        </w:rPr>
        <w:t xml:space="preserve"> incumbent licensees</w:t>
      </w:r>
      <w:r w:rsidRPr="008B5423">
        <w:rPr>
          <w:szCs w:val="22"/>
        </w:rPr>
        <w:t xml:space="preserve"> – a purpose that would be frustrated were we to grant the requested waiver. </w:t>
      </w:r>
      <w:r>
        <w:rPr>
          <w:szCs w:val="22"/>
        </w:rPr>
        <w:t xml:space="preserve"> </w:t>
      </w:r>
      <w:r w:rsidRPr="008B5423">
        <w:rPr>
          <w:szCs w:val="22"/>
        </w:rPr>
        <w:t xml:space="preserve">Further, spectrum congestion in the </w:t>
      </w:r>
      <w:r w:rsidRPr="008B5423">
        <w:rPr>
          <w:bCs/>
          <w:color w:val="252525"/>
          <w:szCs w:val="22"/>
        </w:rPr>
        <w:t>800</w:t>
      </w:r>
      <w:r w:rsidRPr="008B5423">
        <w:rPr>
          <w:szCs w:val="22"/>
        </w:rPr>
        <w:t xml:space="preserve"> </w:t>
      </w:r>
      <w:r w:rsidRPr="008B5423">
        <w:rPr>
          <w:bCs/>
          <w:color w:val="252525"/>
          <w:szCs w:val="22"/>
        </w:rPr>
        <w:t>MHz</w:t>
      </w:r>
      <w:r w:rsidRPr="008B5423">
        <w:rPr>
          <w:szCs w:val="22"/>
        </w:rPr>
        <w:t xml:space="preserve"> </w:t>
      </w:r>
      <w:r w:rsidRPr="008B5423">
        <w:rPr>
          <w:bCs/>
          <w:color w:val="252525"/>
          <w:szCs w:val="22"/>
        </w:rPr>
        <w:t>band</w:t>
      </w:r>
      <w:r w:rsidRPr="008B5423">
        <w:rPr>
          <w:szCs w:val="22"/>
        </w:rPr>
        <w:t xml:space="preserve"> is neither a unique nor an unusual circumstance that makes denial of the waiver inequitable, unduly burdensome or contrary to the public interest.</w:t>
      </w:r>
      <w:r>
        <w:rPr>
          <w:rStyle w:val="FootnoteReference"/>
          <w:szCs w:val="22"/>
        </w:rPr>
        <w:footnoteReference w:id="16"/>
      </w:r>
      <w:r w:rsidRPr="008B5423">
        <w:rPr>
          <w:szCs w:val="22"/>
        </w:rPr>
        <w:t xml:space="preserve">  Moreover, New Britain arguably has a reasonable alternative, </w:t>
      </w:r>
      <w:r w:rsidRPr="008B5423">
        <w:rPr>
          <w:i/>
          <w:szCs w:val="22"/>
        </w:rPr>
        <w:t xml:space="preserve">i.e., </w:t>
      </w:r>
      <w:r w:rsidRPr="008B5423">
        <w:rPr>
          <w:szCs w:val="22"/>
        </w:rPr>
        <w:t xml:space="preserve">use of Sprint-vacated frequencies in the interleaved band, </w:t>
      </w:r>
      <w:r>
        <w:rPr>
          <w:szCs w:val="22"/>
        </w:rPr>
        <w:t>which remain</w:t>
      </w:r>
      <w:r w:rsidRPr="008B5423">
        <w:rPr>
          <w:snapToGrid/>
          <w:kern w:val="0"/>
          <w:szCs w:val="22"/>
        </w:rPr>
        <w:t xml:space="preserve"> available exclusively for licensing to public safety eligible entities</w:t>
      </w:r>
      <w:r>
        <w:rPr>
          <w:snapToGrid/>
          <w:kern w:val="0"/>
          <w:szCs w:val="22"/>
        </w:rPr>
        <w:t xml:space="preserve"> until</w:t>
      </w:r>
      <w:r w:rsidRPr="008B5423">
        <w:rPr>
          <w:snapToGrid/>
          <w:kern w:val="0"/>
          <w:szCs w:val="22"/>
        </w:rPr>
        <w:t xml:space="preserve"> </w:t>
      </w:r>
      <w:r w:rsidRPr="008B5423">
        <w:rPr>
          <w:bCs/>
          <w:snapToGrid/>
          <w:kern w:val="0"/>
          <w:szCs w:val="22"/>
        </w:rPr>
        <w:t>February 22, 2020</w:t>
      </w:r>
      <w:r>
        <w:rPr>
          <w:bCs/>
          <w:snapToGrid/>
          <w:kern w:val="0"/>
          <w:szCs w:val="22"/>
        </w:rPr>
        <w:t>.  Our staff determined that Sprint-vacated frequencies remain available for licensing in Hartford County, Connecticut, which includes New Britain</w:t>
      </w:r>
      <w:r w:rsidRPr="008B5423">
        <w:rPr>
          <w:color w:val="212121"/>
          <w:szCs w:val="22"/>
        </w:rPr>
        <w:t xml:space="preserve">. </w:t>
      </w:r>
    </w:p>
    <w:p w:rsidR="00BE3880" w:rsidRPr="00793664" w:rsidP="00BE3880">
      <w:pPr>
        <w:pStyle w:val="ParaNum"/>
      </w:pPr>
      <w:r w:rsidRPr="00793664">
        <w:rPr>
          <w:color w:val="212121"/>
          <w:szCs w:val="22"/>
        </w:rPr>
        <w:t xml:space="preserve">Based on the record before us, we find that </w:t>
      </w:r>
      <w:r w:rsidRPr="00793664">
        <w:rPr>
          <w:color w:val="212121"/>
        </w:rPr>
        <w:t>New Britain</w:t>
      </w:r>
      <w:r w:rsidRPr="00793664">
        <w:rPr>
          <w:color w:val="212121"/>
          <w:szCs w:val="22"/>
        </w:rPr>
        <w:t xml:space="preserve"> does not satisfy the </w:t>
      </w:r>
      <w:r w:rsidRPr="00793664">
        <w:rPr>
          <w:bCs/>
          <w:color w:val="252525"/>
          <w:szCs w:val="22"/>
        </w:rPr>
        <w:t>waiver</w:t>
      </w:r>
      <w:r w:rsidRPr="00793664">
        <w:rPr>
          <w:color w:val="212121"/>
          <w:szCs w:val="22"/>
        </w:rPr>
        <w:t xml:space="preserve"> criteria </w:t>
      </w:r>
      <w:r>
        <w:rPr>
          <w:color w:val="212121"/>
          <w:szCs w:val="22"/>
        </w:rPr>
        <w:t xml:space="preserve">in </w:t>
      </w:r>
      <w:r w:rsidRPr="00793664">
        <w:rPr>
          <w:color w:val="212121"/>
          <w:szCs w:val="22"/>
        </w:rPr>
        <w:t xml:space="preserve">Section </w:t>
      </w:r>
      <w:r w:rsidRPr="00793664">
        <w:rPr>
          <w:bCs/>
          <w:color w:val="252525"/>
          <w:szCs w:val="22"/>
        </w:rPr>
        <w:t>1</w:t>
      </w:r>
      <w:r w:rsidRPr="00793664">
        <w:rPr>
          <w:color w:val="212121"/>
          <w:szCs w:val="22"/>
        </w:rPr>
        <w:t>.</w:t>
      </w:r>
      <w:r w:rsidRPr="00793664">
        <w:rPr>
          <w:bCs/>
          <w:color w:val="252525"/>
          <w:szCs w:val="22"/>
        </w:rPr>
        <w:t>925</w:t>
      </w:r>
      <w:r w:rsidRPr="00793664">
        <w:rPr>
          <w:color w:val="212121"/>
          <w:szCs w:val="22"/>
        </w:rPr>
        <w:t xml:space="preserve"> of</w:t>
      </w:r>
      <w:r w:rsidRPr="00793664">
        <w:rPr>
          <w:color w:val="212121"/>
        </w:rPr>
        <w:t xml:space="preserve"> the Commission’s</w:t>
      </w:r>
      <w:r w:rsidRPr="00793664">
        <w:rPr>
          <w:color w:val="212121"/>
          <w:szCs w:val="22"/>
        </w:rPr>
        <w:t xml:space="preserve"> rules.</w:t>
      </w:r>
      <w:r>
        <w:rPr>
          <w:color w:val="212121"/>
          <w:szCs w:val="22"/>
        </w:rPr>
        <w:t xml:space="preserve"> </w:t>
      </w:r>
      <w:r w:rsidRPr="00793664">
        <w:rPr>
          <w:color w:val="212121"/>
          <w:szCs w:val="22"/>
        </w:rPr>
        <w:t xml:space="preserve"> Therefore, we deny the </w:t>
      </w:r>
      <w:r w:rsidRPr="00793664">
        <w:rPr>
          <w:bCs/>
          <w:color w:val="252525"/>
          <w:szCs w:val="22"/>
        </w:rPr>
        <w:t>waiver</w:t>
      </w:r>
      <w:r>
        <w:rPr>
          <w:bCs/>
          <w:color w:val="252525"/>
          <w:szCs w:val="22"/>
        </w:rPr>
        <w:t xml:space="preserve"> request</w:t>
      </w:r>
      <w:r w:rsidRPr="00793664">
        <w:rPr>
          <w:color w:val="212121"/>
          <w:szCs w:val="22"/>
        </w:rPr>
        <w:t xml:space="preserve"> and di</w:t>
      </w:r>
      <w:r w:rsidRPr="00793664">
        <w:rPr>
          <w:color w:val="212121"/>
        </w:rPr>
        <w:t>smiss the application</w:t>
      </w:r>
      <w:r w:rsidRPr="00793664">
        <w:rPr>
          <w:color w:val="212121"/>
          <w:szCs w:val="22"/>
        </w:rPr>
        <w:t>.</w:t>
      </w:r>
      <w:r>
        <w:rPr>
          <w:color w:val="212121"/>
          <w:szCs w:val="22"/>
        </w:rPr>
        <w:t xml:space="preserve">  The dismissal is without prejudice to New Britain, which may reapply for Expansion Band channels when they become available.</w:t>
      </w:r>
    </w:p>
    <w:p w:rsidR="00BE3880" w:rsidP="00BE3880">
      <w:pPr>
        <w:pStyle w:val="Heading1"/>
      </w:pPr>
      <w:r w:rsidRPr="00793664">
        <w:t>ORDERING CLAUSES</w:t>
      </w:r>
    </w:p>
    <w:p w:rsidR="00BE3880" w:rsidRPr="005C429A" w:rsidP="00BE3880">
      <w:pPr>
        <w:pStyle w:val="ParaNum"/>
        <w:rPr>
          <w:szCs w:val="22"/>
        </w:rPr>
      </w:pPr>
      <w:r w:rsidRPr="002A7CC2">
        <w:rPr>
          <w:color w:val="212121"/>
          <w:szCs w:val="22"/>
        </w:rPr>
        <w:t xml:space="preserve">Accordingly, </w:t>
      </w:r>
      <w:r>
        <w:rPr>
          <w:color w:val="212121"/>
          <w:szCs w:val="22"/>
        </w:rPr>
        <w:t xml:space="preserve">IT IS </w:t>
      </w:r>
      <w:r w:rsidRPr="002A7CC2">
        <w:rPr>
          <w:color w:val="212121"/>
          <w:szCs w:val="22"/>
        </w:rPr>
        <w:t>ORDER</w:t>
      </w:r>
      <w:r>
        <w:rPr>
          <w:color w:val="212121"/>
          <w:szCs w:val="22"/>
        </w:rPr>
        <w:t>ED</w:t>
      </w:r>
      <w:r w:rsidRPr="002A7CC2">
        <w:rPr>
          <w:color w:val="212121"/>
          <w:szCs w:val="22"/>
        </w:rPr>
        <w:t xml:space="preserve"> that, pursuant to Sections 4(i) and </w:t>
      </w:r>
      <w:r>
        <w:rPr>
          <w:color w:val="212121"/>
          <w:szCs w:val="22"/>
        </w:rPr>
        <w:t>303</w:t>
      </w:r>
      <w:r w:rsidRPr="002A7CC2">
        <w:rPr>
          <w:color w:val="212121"/>
          <w:szCs w:val="22"/>
        </w:rPr>
        <w:t xml:space="preserve"> of the Communications Act of 1934, as amended, 47 U.S.C. §§ 154(i) and </w:t>
      </w:r>
      <w:r>
        <w:rPr>
          <w:color w:val="212121"/>
          <w:szCs w:val="22"/>
        </w:rPr>
        <w:t>303</w:t>
      </w:r>
      <w:r w:rsidRPr="002A7CC2">
        <w:rPr>
          <w:color w:val="212121"/>
          <w:szCs w:val="22"/>
        </w:rPr>
        <w:t xml:space="preserve"> and Section </w:t>
      </w:r>
      <w:r w:rsidRPr="002A7CC2">
        <w:rPr>
          <w:bCs/>
          <w:color w:val="252525"/>
          <w:szCs w:val="22"/>
        </w:rPr>
        <w:t>1</w:t>
      </w:r>
      <w:r w:rsidRPr="002A7CC2">
        <w:rPr>
          <w:color w:val="212121"/>
          <w:szCs w:val="22"/>
        </w:rPr>
        <w:t>.</w:t>
      </w:r>
      <w:r w:rsidRPr="002A7CC2">
        <w:rPr>
          <w:bCs/>
          <w:color w:val="252525"/>
          <w:szCs w:val="22"/>
        </w:rPr>
        <w:t>925</w:t>
      </w:r>
      <w:r w:rsidRPr="002A7CC2">
        <w:rPr>
          <w:color w:val="212121"/>
          <w:szCs w:val="22"/>
        </w:rPr>
        <w:t xml:space="preserve"> of the Commission's rules, 47 CFR §</w:t>
      </w:r>
      <w:r>
        <w:fldChar w:fldCharType="begin"/>
      </w:r>
      <w:r>
        <w:instrText xml:space="preserve"> HYPERLINK "https://1.next.westlaw.com/Link/Document/FullText?findType=L&amp;pubNum=1000547&amp;cite=47CFRS1.925&amp;originatingDoc=I0f14daf8d1e011e1b343c837631e1747&amp;refType=LQ&amp;originationContext=document&amp;transitionType=DocumentItem&amp;contextData=(sc.Search)" </w:instrText>
      </w:r>
      <w:r>
        <w:fldChar w:fldCharType="separate"/>
      </w:r>
      <w:r w:rsidRPr="002A7CC2">
        <w:rPr>
          <w:color w:val="145DA4"/>
          <w:szCs w:val="22"/>
        </w:rPr>
        <w:t xml:space="preserve"> </w:t>
      </w:r>
      <w:r w:rsidRPr="002A7CC2">
        <w:rPr>
          <w:bCs/>
          <w:color w:val="252525"/>
          <w:szCs w:val="22"/>
        </w:rPr>
        <w:t>1</w:t>
      </w:r>
      <w:r w:rsidRPr="002A7CC2">
        <w:rPr>
          <w:color w:val="145DA4"/>
          <w:szCs w:val="22"/>
        </w:rPr>
        <w:t>.</w:t>
      </w:r>
      <w:r w:rsidRPr="002A7CC2">
        <w:rPr>
          <w:bCs/>
          <w:color w:val="252525"/>
          <w:szCs w:val="22"/>
        </w:rPr>
        <w:t>925</w:t>
      </w:r>
      <w:r>
        <w:fldChar w:fldCharType="end"/>
      </w:r>
      <w:r w:rsidRPr="002A7CC2">
        <w:rPr>
          <w:color w:val="212121"/>
          <w:szCs w:val="22"/>
        </w:rPr>
        <w:t xml:space="preserve">, the request for </w:t>
      </w:r>
      <w:r w:rsidRPr="002A7CC2">
        <w:rPr>
          <w:bCs/>
          <w:color w:val="252525"/>
          <w:szCs w:val="22"/>
        </w:rPr>
        <w:t>waiver</w:t>
      </w:r>
      <w:r w:rsidRPr="002A7CC2">
        <w:rPr>
          <w:color w:val="212121"/>
          <w:szCs w:val="22"/>
        </w:rPr>
        <w:t xml:space="preserve"> associated with the captioned application filed by the City of New Britain, Connecticut, on December 9, 2016, IS DENIED</w:t>
      </w:r>
      <w:r>
        <w:rPr>
          <w:color w:val="212121"/>
          <w:szCs w:val="22"/>
        </w:rPr>
        <w:t>, and the captioned application</w:t>
      </w:r>
      <w:r w:rsidRPr="002A7CC2">
        <w:rPr>
          <w:color w:val="212121"/>
          <w:szCs w:val="22"/>
        </w:rPr>
        <w:t xml:space="preserve"> </w:t>
      </w:r>
      <w:r>
        <w:rPr>
          <w:color w:val="212121"/>
          <w:szCs w:val="22"/>
        </w:rPr>
        <w:t>IS</w:t>
      </w:r>
      <w:r w:rsidRPr="002A7CC2">
        <w:rPr>
          <w:color w:val="212121"/>
          <w:szCs w:val="22"/>
        </w:rPr>
        <w:t xml:space="preserve"> DISMISSED consistent with this </w:t>
      </w:r>
      <w:r w:rsidRPr="002A7CC2">
        <w:rPr>
          <w:i/>
          <w:iCs/>
          <w:color w:val="212121"/>
          <w:szCs w:val="22"/>
        </w:rPr>
        <w:t>Order</w:t>
      </w:r>
      <w:r>
        <w:rPr>
          <w:color w:val="212121"/>
          <w:szCs w:val="22"/>
        </w:rPr>
        <w:t xml:space="preserve"> and the Commission’</w:t>
      </w:r>
      <w:r w:rsidRPr="002A7CC2">
        <w:rPr>
          <w:color w:val="212121"/>
          <w:szCs w:val="22"/>
        </w:rPr>
        <w:t>s rules</w:t>
      </w:r>
      <w:r>
        <w:rPr>
          <w:color w:val="212121"/>
          <w:szCs w:val="22"/>
        </w:rPr>
        <w:t>.</w:t>
      </w:r>
    </w:p>
    <w:p w:rsidR="00BE3880" w:rsidRPr="00793664" w:rsidP="00BE3880">
      <w:pPr>
        <w:pStyle w:val="ParaNum"/>
      </w:pPr>
      <w:r w:rsidRPr="00CA3FDE">
        <w:t xml:space="preserve">This action is taken under delegated authority pursuant to </w:t>
      </w:r>
      <w:r>
        <w:t>Sections</w:t>
      </w:r>
      <w:r w:rsidRPr="00CA3FDE">
        <w:t xml:space="preserve"> 0.191 and 0.392 of the Commission’s rules, 47 CFR §§ 0.191 and 0.392. </w:t>
      </w:r>
    </w:p>
    <w:p w:rsidR="00BE3880" w:rsidRPr="00CA3FDE" w:rsidP="00555241">
      <w:pPr>
        <w:tabs>
          <w:tab w:val="left" w:pos="1440"/>
          <w:tab w:val="left" w:pos="3420"/>
          <w:tab w:val="left" w:pos="4320"/>
          <w:tab w:val="left" w:pos="5580"/>
          <w:tab w:val="left" w:pos="6480"/>
        </w:tabs>
      </w:pPr>
      <w:r w:rsidRPr="00CA3FDE">
        <w:rPr>
          <w:b/>
        </w:rPr>
        <w:tab/>
      </w:r>
      <w:r w:rsidRPr="00CA3FDE">
        <w:rPr>
          <w:b/>
        </w:rPr>
        <w:tab/>
      </w:r>
      <w:r w:rsidR="00555241">
        <w:rPr>
          <w:b/>
        </w:rPr>
        <w:tab/>
      </w:r>
      <w:r w:rsidRPr="00CA3FDE">
        <w:t>FEDERAL COMMUNICATIONS COMMISSION</w:t>
      </w:r>
    </w:p>
    <w:p w:rsidR="00BE3880" w:rsidP="00555241">
      <w:pPr>
        <w:tabs>
          <w:tab w:val="left" w:pos="1440"/>
          <w:tab w:val="left" w:pos="3420"/>
          <w:tab w:val="left" w:pos="4320"/>
          <w:tab w:val="left" w:pos="5580"/>
          <w:tab w:val="left" w:pos="6480"/>
        </w:tabs>
      </w:pPr>
    </w:p>
    <w:p w:rsidR="00BE3880" w:rsidRPr="00CA3FDE" w:rsidP="00555241">
      <w:pPr>
        <w:tabs>
          <w:tab w:val="left" w:pos="1440"/>
          <w:tab w:val="left" w:pos="3420"/>
          <w:tab w:val="left" w:pos="4320"/>
          <w:tab w:val="left" w:pos="5580"/>
          <w:tab w:val="left" w:pos="6480"/>
        </w:tabs>
      </w:pPr>
    </w:p>
    <w:p w:rsidR="00BE3880" w:rsidRPr="00CA3FDE" w:rsidP="00555241">
      <w:pPr>
        <w:tabs>
          <w:tab w:val="left" w:pos="1440"/>
          <w:tab w:val="left" w:pos="3420"/>
          <w:tab w:val="left" w:pos="4320"/>
          <w:tab w:val="left" w:pos="5580"/>
          <w:tab w:val="left" w:pos="6480"/>
        </w:tabs>
      </w:pPr>
    </w:p>
    <w:p w:rsidR="00BE3880" w:rsidRPr="00CA3FDE" w:rsidP="00555241">
      <w:pPr>
        <w:tabs>
          <w:tab w:val="left" w:pos="1440"/>
          <w:tab w:val="left" w:pos="3420"/>
          <w:tab w:val="left" w:pos="4320"/>
          <w:tab w:val="left" w:pos="5580"/>
          <w:tab w:val="left" w:pos="6480"/>
        </w:tabs>
      </w:pPr>
      <w:r w:rsidRPr="00CA3FDE">
        <w:tab/>
      </w:r>
      <w:r w:rsidRPr="00CA3FDE">
        <w:tab/>
      </w:r>
      <w:r w:rsidR="00555241">
        <w:tab/>
      </w:r>
      <w:r w:rsidRPr="00CA3FDE">
        <w:t xml:space="preserve">Michael </w:t>
      </w:r>
      <w:r>
        <w:t>J</w:t>
      </w:r>
      <w:r w:rsidRPr="00CA3FDE">
        <w:t>. Wilhelm</w:t>
      </w:r>
    </w:p>
    <w:p w:rsidR="00BE3880" w:rsidRPr="00CA3FDE" w:rsidP="00555241">
      <w:pPr>
        <w:tabs>
          <w:tab w:val="left" w:pos="1440"/>
          <w:tab w:val="left" w:pos="3420"/>
          <w:tab w:val="left" w:pos="4320"/>
          <w:tab w:val="left" w:pos="5580"/>
          <w:tab w:val="left" w:pos="6480"/>
        </w:tabs>
      </w:pPr>
      <w:r w:rsidRPr="00CA3FDE">
        <w:tab/>
      </w:r>
      <w:r w:rsidRPr="00CA3FDE">
        <w:tab/>
      </w:r>
      <w:r w:rsidR="00555241">
        <w:tab/>
      </w:r>
      <w:r w:rsidRPr="00CA3FDE">
        <w:t>Chief, Policy and Licensing Division</w:t>
      </w:r>
    </w:p>
    <w:p w:rsidR="00BE3880" w:rsidRPr="002C00E8" w:rsidP="00555241">
      <w:pPr>
        <w:tabs>
          <w:tab w:val="left" w:pos="1440"/>
          <w:tab w:val="left" w:pos="3420"/>
          <w:tab w:val="left" w:pos="4320"/>
          <w:tab w:val="left" w:pos="5580"/>
          <w:tab w:val="left" w:pos="6480"/>
        </w:tabs>
      </w:pPr>
      <w:r w:rsidRPr="00CA3FDE">
        <w:tab/>
      </w:r>
      <w:r w:rsidRPr="00CA3FDE">
        <w:tab/>
      </w:r>
      <w:r w:rsidR="00555241">
        <w:tab/>
      </w:r>
      <w:r w:rsidRPr="00CA3FDE">
        <w:t>Public Safety and Homeland Security Bureau</w:t>
      </w:r>
    </w:p>
    <w:p w:rsidR="002C00E8" w:rsidRPr="00BE3880" w:rsidP="00555241">
      <w:pPr>
        <w:tabs>
          <w:tab w:val="left" w:pos="4320"/>
        </w:tabs>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3880">
      <w:r>
        <w:separator/>
      </w:r>
    </w:p>
  </w:footnote>
  <w:footnote w:type="continuationSeparator" w:id="1">
    <w:p w:rsidR="00BE3880" w:rsidP="00C721AC">
      <w:pPr>
        <w:spacing w:before="120"/>
        <w:rPr>
          <w:sz w:val="20"/>
        </w:rPr>
      </w:pPr>
      <w:r>
        <w:rPr>
          <w:sz w:val="20"/>
        </w:rPr>
        <w:t xml:space="preserve">(Continued from previous page)  </w:t>
      </w:r>
      <w:r>
        <w:rPr>
          <w:sz w:val="20"/>
        </w:rPr>
        <w:separator/>
      </w:r>
    </w:p>
  </w:footnote>
  <w:footnote w:type="continuationNotice" w:id="2">
    <w:p w:rsidR="00BE3880" w:rsidP="00C721AC">
      <w:pPr>
        <w:jc w:val="right"/>
        <w:rPr>
          <w:sz w:val="20"/>
        </w:rPr>
      </w:pPr>
      <w:r>
        <w:rPr>
          <w:sz w:val="20"/>
        </w:rPr>
        <w:t>(continued….)</w:t>
      </w:r>
    </w:p>
  </w:footnote>
  <w:footnote w:id="3">
    <w:p w:rsidR="00BE3880" w:rsidRPr="005C429A" w:rsidP="00BE3880">
      <w:pPr>
        <w:widowControl/>
        <w:autoSpaceDE w:val="0"/>
        <w:autoSpaceDN w:val="0"/>
        <w:adjustRightInd w:val="0"/>
        <w:spacing w:after="120"/>
        <w:rPr>
          <w:snapToGrid/>
          <w:kern w:val="0"/>
          <w:sz w:val="20"/>
        </w:rPr>
      </w:pPr>
      <w:r w:rsidRPr="005C429A">
        <w:rPr>
          <w:rStyle w:val="FootnoteReference"/>
        </w:rPr>
        <w:footnoteRef/>
      </w:r>
      <w:r w:rsidRPr="005C429A">
        <w:rPr>
          <w:sz w:val="20"/>
        </w:rPr>
        <w:t xml:space="preserve"> File No. 0007585881 (filed Dec. 9, 2016) and accompanying Letter from James P. Donnelly, Public Safety Telecommunications Director, City of New Britain (Waiver Request).  </w:t>
      </w:r>
    </w:p>
  </w:footnote>
  <w:footnote w:id="4">
    <w:p w:rsidR="00BE3880" w:rsidP="00BE3880">
      <w:pPr>
        <w:pStyle w:val="FootnoteText"/>
      </w:pPr>
      <w:r>
        <w:rPr>
          <w:rStyle w:val="FootnoteReference"/>
        </w:rPr>
        <w:footnoteRef/>
      </w:r>
      <w:r>
        <w:t xml:space="preserve"> These frequencies apply to most of the United States and its territories.  Certain regions, however, have variations in their Guard Band and Expansion Band frequencies. 47 CFR §§ 90.614, 90.617.</w:t>
      </w:r>
    </w:p>
  </w:footnote>
  <w:footnote w:id="5">
    <w:p w:rsidR="00BE3880" w:rsidRPr="005C429A" w:rsidP="00BE3880">
      <w:pPr>
        <w:pStyle w:val="FootnoteText"/>
      </w:pPr>
      <w:r w:rsidRPr="005C429A">
        <w:rPr>
          <w:rStyle w:val="FootnoteReference"/>
        </w:rPr>
        <w:footnoteRef/>
      </w:r>
      <w:r w:rsidRPr="005C429A">
        <w:t xml:space="preserve"> 47 CFR § 90.617(b), (d).</w:t>
      </w:r>
    </w:p>
  </w:footnote>
  <w:footnote w:id="6">
    <w:p w:rsidR="00BE3880" w:rsidRPr="005C429A" w:rsidP="00BE3880">
      <w:pPr>
        <w:pStyle w:val="FootnoteText"/>
        <w:spacing w:before="120"/>
      </w:pPr>
      <w:r w:rsidRPr="005C429A">
        <w:rPr>
          <w:rStyle w:val="FootnoteReference"/>
        </w:rPr>
        <w:footnoteRef/>
      </w:r>
      <w:r w:rsidRPr="005C429A">
        <w:t xml:space="preserve"> </w:t>
      </w:r>
      <w:r w:rsidRPr="005C429A">
        <w:rPr>
          <w:i/>
        </w:rPr>
        <w:t>Public Safety and Homeland Security Bureau and Wireless Telecommunications Bureau Announce the Completion of 800 MHz Band Reconfiguration in Certain NPSPAC Regions and the Availability of Additional Sprint Vacated Channels</w:t>
      </w:r>
      <w:r w:rsidRPr="005C429A">
        <w:t>, Public Notice, 31 FCC Rcd 12891 (PSHSB WTB 2016)</w:t>
      </w:r>
      <w:r>
        <w:t>(Public Notice)</w:t>
      </w:r>
      <w:r w:rsidRPr="005C429A">
        <w:t>.</w:t>
      </w:r>
    </w:p>
  </w:footnote>
  <w:footnote w:id="7">
    <w:p w:rsidR="00BE3880" w:rsidRPr="005C429A" w:rsidP="00BE3880">
      <w:pPr>
        <w:autoSpaceDE w:val="0"/>
        <w:autoSpaceDN w:val="0"/>
        <w:adjustRightInd w:val="0"/>
        <w:spacing w:after="120"/>
        <w:rPr>
          <w:sz w:val="20"/>
        </w:rPr>
      </w:pPr>
      <w:r w:rsidRPr="005C429A">
        <w:rPr>
          <w:rStyle w:val="FootnoteReference"/>
        </w:rPr>
        <w:footnoteRef/>
      </w:r>
      <w:r w:rsidRPr="005C429A">
        <w:rPr>
          <w:sz w:val="20"/>
        </w:rPr>
        <w:t xml:space="preserve"> </w:t>
      </w:r>
      <w:r w:rsidRPr="005C429A">
        <w:rPr>
          <w:i/>
          <w:sz w:val="20"/>
        </w:rPr>
        <w:t>Id</w:t>
      </w:r>
      <w:r w:rsidRPr="005C429A">
        <w:rPr>
          <w:sz w:val="20"/>
        </w:rPr>
        <w:t xml:space="preserve">.  The Bureaus stated that “[b]eginning on </w:t>
      </w:r>
      <w:r w:rsidRPr="005C429A">
        <w:rPr>
          <w:bCs/>
          <w:sz w:val="20"/>
        </w:rPr>
        <w:t>February 23, 2017</w:t>
      </w:r>
      <w:r w:rsidRPr="005C429A">
        <w:rPr>
          <w:sz w:val="20"/>
        </w:rPr>
        <w:t xml:space="preserve">, Commission-certified frequency coordinators may file applications, in the Universal Licensing System (ULS), on behalf of eligible applicants for the channels released by this </w:t>
      </w:r>
      <w:r w:rsidRPr="005C429A">
        <w:rPr>
          <w:i/>
          <w:iCs/>
          <w:sz w:val="20"/>
        </w:rPr>
        <w:t>Public Notice</w:t>
      </w:r>
      <w:r w:rsidRPr="005C429A">
        <w:rPr>
          <w:sz w:val="20"/>
        </w:rPr>
        <w:t xml:space="preserve">. </w:t>
      </w:r>
      <w:r>
        <w:rPr>
          <w:sz w:val="20"/>
        </w:rPr>
        <w:t xml:space="preserve"> </w:t>
      </w:r>
      <w:r w:rsidRPr="005C429A">
        <w:rPr>
          <w:sz w:val="20"/>
        </w:rPr>
        <w:t xml:space="preserve">Any application filed for these channels before </w:t>
      </w:r>
      <w:r w:rsidRPr="005C429A">
        <w:rPr>
          <w:bCs/>
          <w:sz w:val="20"/>
        </w:rPr>
        <w:t xml:space="preserve">February 23, 2017 </w:t>
      </w:r>
      <w:r w:rsidRPr="005C429A">
        <w:rPr>
          <w:sz w:val="20"/>
        </w:rPr>
        <w:t xml:space="preserve">will be dismissed.”  </w:t>
      </w:r>
      <w:r w:rsidRPr="005C429A">
        <w:rPr>
          <w:i/>
          <w:sz w:val="20"/>
        </w:rPr>
        <w:t>Id</w:t>
      </w:r>
      <w:r w:rsidRPr="005C429A">
        <w:rPr>
          <w:sz w:val="20"/>
        </w:rPr>
        <w:t>. at 12895.</w:t>
      </w:r>
      <w:r>
        <w:rPr>
          <w:sz w:val="20"/>
        </w:rPr>
        <w:t xml:space="preserve">  The Sprint-vacated channels are available exclusively to public safety for 3 years following completion of rebanding in a region, and to public safety and critical infrastructure industry applicants for the subsequent 2 years.  Thereafter, the channels are available to the class of applicants listed in the Commission’s rules.  47 CFR § 90.617(g). </w:t>
      </w:r>
    </w:p>
  </w:footnote>
  <w:footnote w:id="8">
    <w:p w:rsidR="00BE3880" w:rsidRPr="005C429A" w:rsidP="00BE3880">
      <w:pPr>
        <w:pStyle w:val="FootnoteText"/>
      </w:pPr>
      <w:r w:rsidRPr="005C429A">
        <w:rPr>
          <w:rStyle w:val="FootnoteReference"/>
        </w:rPr>
        <w:footnoteRef/>
      </w:r>
      <w:r w:rsidRPr="005C429A">
        <w:t xml:space="preserve"> </w:t>
      </w:r>
      <w:r w:rsidRPr="00615DD2">
        <w:rPr>
          <w:i/>
        </w:rPr>
        <w:t>Public Notice</w:t>
      </w:r>
      <w:r>
        <w:t>, 31 FCC Rcd</w:t>
      </w:r>
      <w:r w:rsidRPr="005C429A">
        <w:t xml:space="preserve"> at 12896.</w:t>
      </w:r>
    </w:p>
  </w:footnote>
  <w:footnote w:id="9">
    <w:p w:rsidR="00BE3880" w:rsidRPr="00615DD2" w:rsidP="00BE3880">
      <w:pPr>
        <w:widowControl/>
        <w:autoSpaceDE w:val="0"/>
        <w:autoSpaceDN w:val="0"/>
        <w:adjustRightInd w:val="0"/>
        <w:spacing w:after="120"/>
        <w:rPr>
          <w:i/>
          <w:iCs/>
          <w:snapToGrid/>
          <w:kern w:val="0"/>
          <w:sz w:val="20"/>
        </w:rPr>
      </w:pPr>
      <w:r w:rsidRPr="00615DD2">
        <w:rPr>
          <w:rStyle w:val="FootnoteReference"/>
        </w:rPr>
        <w:footnoteRef/>
      </w:r>
      <w:r w:rsidRPr="00615DD2">
        <w:rPr>
          <w:sz w:val="20"/>
        </w:rPr>
        <w:t xml:space="preserve"> </w:t>
      </w:r>
      <w:r w:rsidRPr="00615DD2">
        <w:rPr>
          <w:i/>
          <w:sz w:val="20"/>
        </w:rPr>
        <w:t>Id</w:t>
      </w:r>
      <w:r w:rsidRPr="00615DD2">
        <w:rPr>
          <w:sz w:val="20"/>
        </w:rPr>
        <w:t>. at 12896</w:t>
      </w:r>
      <w:r>
        <w:rPr>
          <w:sz w:val="20"/>
        </w:rPr>
        <w:t>-97</w:t>
      </w:r>
      <w:r w:rsidRPr="00615DD2">
        <w:rPr>
          <w:sz w:val="20"/>
        </w:rPr>
        <w:t xml:space="preserve"> </w:t>
      </w:r>
      <w:r w:rsidRPr="006734B9">
        <w:rPr>
          <w:i/>
          <w:sz w:val="20"/>
        </w:rPr>
        <w:t>citing</w:t>
      </w:r>
      <w:r w:rsidRPr="00615DD2">
        <w:rPr>
          <w:sz w:val="20"/>
        </w:rPr>
        <w:t xml:space="preserve"> </w:t>
      </w:r>
      <w:r w:rsidRPr="00615DD2">
        <w:rPr>
          <w:i/>
          <w:iCs/>
          <w:snapToGrid/>
          <w:kern w:val="0"/>
          <w:sz w:val="20"/>
        </w:rPr>
        <w:t>Amendment of Part 90 of the Commission’s Rules to Improve Access to Private Land Mobile Radio Spectrum; Land Mobile Communications Council Petition for Rulemaking Regarding Interim Eligibility for 800 MHz Expansion Band and Guard Band Frequencies; Petition for Rulemaking Regarding Conditional Licensing Authority Above 470 MHz</w:t>
      </w:r>
      <w:r w:rsidRPr="00615DD2">
        <w:rPr>
          <w:snapToGrid/>
          <w:kern w:val="0"/>
          <w:sz w:val="20"/>
        </w:rPr>
        <w:t>, Notice of Proposed Rulemaking, 31 FCC Rcd 9431 (2016).</w:t>
      </w:r>
    </w:p>
  </w:footnote>
  <w:footnote w:id="10">
    <w:p w:rsidR="00BE3880" w:rsidRPr="00615DD2" w:rsidP="00BE3880">
      <w:pPr>
        <w:pStyle w:val="FootnoteText"/>
      </w:pPr>
      <w:r w:rsidRPr="00615DD2">
        <w:rPr>
          <w:rStyle w:val="FootnoteReference"/>
        </w:rPr>
        <w:footnoteRef/>
      </w:r>
      <w:r w:rsidRPr="00615DD2">
        <w:t xml:space="preserve"> Waiver Request at 1.</w:t>
      </w:r>
    </w:p>
  </w:footnote>
  <w:footnote w:id="11">
    <w:p w:rsidR="00BE3880" w:rsidRPr="005C429A" w:rsidP="00BE3880">
      <w:pPr>
        <w:pStyle w:val="FootnoteText"/>
      </w:pPr>
      <w:r w:rsidRPr="005C429A">
        <w:rPr>
          <w:rStyle w:val="FootnoteReference"/>
        </w:rPr>
        <w:footnoteRef/>
      </w:r>
      <w:r w:rsidRPr="005C429A">
        <w:t xml:space="preserve"> </w:t>
      </w:r>
      <w:r w:rsidRPr="005C429A">
        <w:rPr>
          <w:i/>
        </w:rPr>
        <w:t>Id</w:t>
      </w:r>
      <w:r w:rsidRPr="005C429A">
        <w:t>.</w:t>
      </w:r>
    </w:p>
  </w:footnote>
  <w:footnote w:id="12">
    <w:p w:rsidR="00BE3880" w:rsidRPr="005C429A" w:rsidP="00BE3880">
      <w:pPr>
        <w:pStyle w:val="FootnoteText"/>
      </w:pPr>
      <w:r w:rsidRPr="005C429A">
        <w:rPr>
          <w:rStyle w:val="FootnoteReference"/>
        </w:rPr>
        <w:footnoteRef/>
      </w:r>
      <w:r w:rsidRPr="005C429A">
        <w:t xml:space="preserve"> </w:t>
      </w:r>
      <w:r w:rsidRPr="005C429A">
        <w:rPr>
          <w:i/>
        </w:rPr>
        <w:t>Id</w:t>
      </w:r>
      <w:r w:rsidRPr="005C429A">
        <w:t>.</w:t>
      </w:r>
    </w:p>
  </w:footnote>
  <w:footnote w:id="13">
    <w:p w:rsidR="00BE3880" w:rsidRPr="005C429A" w:rsidP="00BE3880">
      <w:pPr>
        <w:pStyle w:val="FootnoteText"/>
        <w:spacing w:before="120"/>
      </w:pPr>
      <w:r w:rsidRPr="005C429A">
        <w:rPr>
          <w:rStyle w:val="FootnoteReference"/>
        </w:rPr>
        <w:footnoteRef/>
      </w:r>
      <w:r w:rsidRPr="005C429A">
        <w:t xml:space="preserve"> 47 CFR § 1.925(b)(3)(i).</w:t>
      </w:r>
    </w:p>
  </w:footnote>
  <w:footnote w:id="14">
    <w:p w:rsidR="00BE3880" w:rsidRPr="005C429A" w:rsidP="00BE3880">
      <w:pPr>
        <w:pStyle w:val="FootnoteText"/>
        <w:spacing w:before="120"/>
      </w:pPr>
      <w:r w:rsidRPr="005C429A">
        <w:rPr>
          <w:rStyle w:val="FootnoteReference"/>
        </w:rPr>
        <w:footnoteRef/>
      </w:r>
      <w:r w:rsidRPr="005C429A">
        <w:t xml:space="preserve"> 47 CFR § 1.925(b)(3)(ii).</w:t>
      </w:r>
    </w:p>
  </w:footnote>
  <w:footnote w:id="15">
    <w:p w:rsidR="00BE3880" w:rsidRPr="005C429A" w:rsidP="00BE3880">
      <w:pPr>
        <w:pStyle w:val="FootnoteText"/>
        <w:spacing w:before="120"/>
      </w:pPr>
      <w:r w:rsidRPr="005C429A">
        <w:rPr>
          <w:rStyle w:val="FootnoteReference"/>
        </w:rPr>
        <w:footnoteRef/>
      </w:r>
      <w:r w:rsidRPr="005C429A">
        <w:t xml:space="preserve"> </w:t>
      </w:r>
      <w:r w:rsidRPr="005C429A">
        <w:rPr>
          <w:i/>
        </w:rPr>
        <w:t>WAIT Radio v. FCC</w:t>
      </w:r>
      <w:r w:rsidRPr="005C429A">
        <w:t xml:space="preserve">, 418 F.2d 1153, 1157 (D.C.  Cir.  1969), </w:t>
      </w:r>
      <w:r w:rsidRPr="005C429A">
        <w:rPr>
          <w:i/>
        </w:rPr>
        <w:t>aff’d</w:t>
      </w:r>
      <w:r w:rsidRPr="005C429A">
        <w:t xml:space="preserve">, 459 F.2d 1203 (D.C.  Cir. 1972), </w:t>
      </w:r>
      <w:r w:rsidRPr="005C429A">
        <w:rPr>
          <w:i/>
        </w:rPr>
        <w:t>cert. denied</w:t>
      </w:r>
      <w:r w:rsidRPr="005C429A">
        <w:t>, 409 U.S. 1027 (</w:t>
      </w:r>
      <w:r w:rsidRPr="005C429A">
        <w:rPr>
          <w:i/>
        </w:rPr>
        <w:t>citing Rio Grande Family Radio Fellowship, Inc. v. FCC</w:t>
      </w:r>
      <w:r w:rsidRPr="005C429A">
        <w:t xml:space="preserve">, 406 F.2d 664 (D.C.  Cir. 1968)); </w:t>
      </w:r>
      <w:r w:rsidRPr="005C429A">
        <w:rPr>
          <w:i/>
        </w:rPr>
        <w:t>Birach Broadcasting Corporation</w:t>
      </w:r>
      <w:r w:rsidRPr="005C429A">
        <w:t>, Memorandum Opinion and Order, 18 FCC Rcd 1414, 1415 para. 6 (2003).</w:t>
      </w:r>
    </w:p>
  </w:footnote>
  <w:footnote w:id="16">
    <w:p w:rsidR="00BE3880" w:rsidRPr="009F3B52" w:rsidP="00BE3880">
      <w:pPr>
        <w:pStyle w:val="FootnoteText"/>
      </w:pPr>
      <w:r w:rsidRPr="009F3B52">
        <w:rPr>
          <w:rStyle w:val="FootnoteReference"/>
        </w:rPr>
        <w:footnoteRef/>
      </w:r>
      <w:r w:rsidRPr="009F3B52">
        <w:t xml:space="preserve"> </w:t>
      </w:r>
      <w:r w:rsidRPr="009F3B52">
        <w:rPr>
          <w:i/>
        </w:rPr>
        <w:t>See, e.g.</w:t>
      </w:r>
      <w:r w:rsidRPr="009F3B52">
        <w:t xml:space="preserve">, </w:t>
      </w:r>
      <w:r w:rsidRPr="009F3B52">
        <w:rPr>
          <w:i/>
        </w:rPr>
        <w:t>North Carolina State Highway Patrol</w:t>
      </w:r>
      <w:r w:rsidRPr="009F3B52">
        <w:t xml:space="preserve">, Order, </w:t>
      </w:r>
      <w:r w:rsidRPr="009F3B52">
        <w:rPr>
          <w:iCs/>
          <w:color w:val="333333"/>
        </w:rPr>
        <w:t>30 FCC Rcd 10924</w:t>
      </w:r>
      <w:r>
        <w:rPr>
          <w:iCs/>
          <w:color w:val="333333"/>
        </w:rPr>
        <w:t>, 10926 para. 11</w:t>
      </w:r>
      <w:r w:rsidRPr="009F3B52">
        <w:rPr>
          <w:iCs/>
          <w:color w:val="333333"/>
        </w:rPr>
        <w:t xml:space="preserve"> (PSHSB </w:t>
      </w:r>
      <w:r>
        <w:rPr>
          <w:iCs/>
          <w:color w:val="333333"/>
        </w:rPr>
        <w:t xml:space="preserve"> </w:t>
      </w:r>
      <w:r w:rsidRPr="009F3B52">
        <w:rPr>
          <w:iCs/>
          <w:color w:val="333333"/>
        </w:rPr>
        <w:t>2015) (</w:t>
      </w:r>
      <w:r>
        <w:rPr>
          <w:iCs/>
          <w:color w:val="333333"/>
        </w:rPr>
        <w:t>finding</w:t>
      </w:r>
      <w:r w:rsidRPr="00147F58">
        <w:t xml:space="preserve"> that spectrum congestion in the 800 MHz band is neither a unique nor an unusual circumstance</w:t>
      </w:r>
      <w:r>
        <w:t xml:space="preserve"> that would warrant early access to Expansion band channels prior to declaring rebanding complete</w:t>
      </w:r>
      <w:r w:rsidRPr="009F3B52">
        <w:rPr>
          <w:iCs/>
          <w:color w:val="333333"/>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81746">
      <w:rPr>
        <w:spacing w:val="-2"/>
      </w:rPr>
      <w:t>DA 18-</w:t>
    </w:r>
    <w:r w:rsidR="007C1A54">
      <w:rPr>
        <w:spacing w:val="-2"/>
      </w:rPr>
      <w:t>769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81746">
      <w:rPr>
        <w:spacing w:val="-2"/>
      </w:rPr>
      <w:t>DA 18-</w:t>
    </w:r>
    <w:r w:rsidR="007C1A54">
      <w:rPr>
        <w:spacing w:val="-2"/>
      </w:rPr>
      <w:t>769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88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BE3880"/>
  </w:style>
  <w:style w:type="character" w:styleId="CommentReference">
    <w:name w:val="annotation reference"/>
    <w:rsid w:val="00BE3880"/>
    <w:rPr>
      <w:sz w:val="16"/>
      <w:szCs w:val="16"/>
    </w:rPr>
  </w:style>
  <w:style w:type="paragraph" w:styleId="CommentText">
    <w:name w:val="annotation text"/>
    <w:basedOn w:val="Normal"/>
    <w:link w:val="CommentTextChar"/>
    <w:rsid w:val="00BE3880"/>
    <w:rPr>
      <w:sz w:val="20"/>
    </w:rPr>
  </w:style>
  <w:style w:type="character" w:customStyle="1" w:styleId="CommentTextChar">
    <w:name w:val="Comment Text Char"/>
    <w:basedOn w:val="DefaultParagraphFont"/>
    <w:link w:val="CommentText"/>
    <w:rsid w:val="00BE3880"/>
    <w:rPr>
      <w:snapToGrid w:val="0"/>
      <w:kern w:val="28"/>
    </w:rPr>
  </w:style>
  <w:style w:type="paragraph" w:styleId="BalloonText">
    <w:name w:val="Balloon Text"/>
    <w:basedOn w:val="Normal"/>
    <w:link w:val="BalloonTextChar"/>
    <w:rsid w:val="00BE3880"/>
    <w:rPr>
      <w:rFonts w:ascii="Segoe UI" w:hAnsi="Segoe UI" w:cs="Segoe UI"/>
      <w:sz w:val="18"/>
      <w:szCs w:val="18"/>
    </w:rPr>
  </w:style>
  <w:style w:type="character" w:customStyle="1" w:styleId="BalloonTextChar">
    <w:name w:val="Balloon Text Char"/>
    <w:basedOn w:val="DefaultParagraphFont"/>
    <w:link w:val="BalloonText"/>
    <w:rsid w:val="00BE388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