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E1E2C">
      <w:pPr>
        <w:jc w:val="center"/>
        <w:rPr>
          <w:b/>
        </w:rPr>
      </w:pPr>
      <w:bookmarkStart w:id="0" w:name="_GoBack"/>
      <w:bookmarkEnd w:id="0"/>
      <w:r>
        <w:rPr>
          <w:b/>
        </w:rPr>
        <w:t>Before the</w:t>
      </w:r>
    </w:p>
    <w:p w:rsidR="003E1E2C">
      <w:pPr>
        <w:jc w:val="center"/>
        <w:rPr>
          <w:b/>
        </w:rPr>
      </w:pPr>
      <w:r>
        <w:rPr>
          <w:b/>
        </w:rPr>
        <w:t>Federal Communications Commission</w:t>
      </w:r>
    </w:p>
    <w:p w:rsidR="003E1E2C">
      <w:pPr>
        <w:jc w:val="center"/>
        <w:rPr>
          <w:b/>
        </w:rPr>
      </w:pPr>
      <w:r>
        <w:rPr>
          <w:b/>
        </w:rPr>
        <w:t>Washington, D.C. 20554</w:t>
      </w:r>
    </w:p>
    <w:p w:rsidR="003E1E2C"/>
    <w:p w:rsidR="003E1E2C"/>
    <w:tbl>
      <w:tblPr>
        <w:tblW w:w="0" w:type="auto"/>
        <w:tblLayout w:type="fixed"/>
        <w:tblCellMar>
          <w:top w:w="0" w:type="dxa"/>
          <w:bottom w:w="0" w:type="dxa"/>
        </w:tblCellMar>
        <w:tblLook w:val="0000"/>
      </w:tblPr>
      <w:tblGrid>
        <w:gridCol w:w="4698"/>
        <w:gridCol w:w="720"/>
        <w:gridCol w:w="4230"/>
      </w:tblGrid>
      <w:tr>
        <w:tblPrEx>
          <w:tblW w:w="0" w:type="auto"/>
          <w:tblLayout w:type="fixed"/>
          <w:tblCellMar>
            <w:top w:w="0" w:type="dxa"/>
            <w:bottom w:w="0" w:type="dxa"/>
          </w:tblCellMar>
          <w:tblLook w:val="0000"/>
        </w:tblPrEx>
        <w:tc>
          <w:tcPr>
            <w:tcW w:w="4698" w:type="dxa"/>
          </w:tcPr>
          <w:p w:rsidR="003E1E2C">
            <w:pPr>
              <w:ind w:right="-18"/>
            </w:pPr>
            <w:r>
              <w:t>In the Matter of</w:t>
            </w:r>
          </w:p>
          <w:p w:rsidR="003E1E2C">
            <w:pPr>
              <w:ind w:right="-18"/>
            </w:pPr>
          </w:p>
          <w:p w:rsidR="003E1E2C">
            <w:pPr>
              <w:ind w:right="-18"/>
              <w:rPr>
                <w:b/>
              </w:rPr>
            </w:pPr>
            <w:r>
              <w:rPr>
                <w:b/>
              </w:rPr>
              <w:t>ROY E. HENDERSON</w:t>
            </w:r>
          </w:p>
          <w:p w:rsidR="003E1E2C">
            <w:pPr>
              <w:ind w:right="-18"/>
            </w:pPr>
          </w:p>
          <w:p w:rsidR="003E1E2C">
            <w:pPr>
              <w:ind w:right="-18"/>
            </w:pPr>
            <w:r>
              <w:t xml:space="preserve">Licensee of Station </w:t>
            </w:r>
            <w:r w:rsidR="00431EF4">
              <w:t>WBNZ(FM)</w:t>
            </w:r>
          </w:p>
          <w:p w:rsidR="003E1E2C">
            <w:pPr>
              <w:ind w:right="-18"/>
            </w:pPr>
            <w:r>
              <w:t>Frankfort, Michigan</w:t>
            </w:r>
          </w:p>
          <w:p w:rsidR="003E1E2C">
            <w:pPr>
              <w:ind w:right="-18"/>
            </w:pPr>
          </w:p>
        </w:tc>
        <w:tc>
          <w:tcPr>
            <w:tcW w:w="720" w:type="dxa"/>
          </w:tcPr>
          <w:p w:rsidR="003E1E2C">
            <w:pPr>
              <w:rPr>
                <w:b/>
              </w:rPr>
            </w:pPr>
            <w:r>
              <w:rPr>
                <w:b/>
              </w:rPr>
              <w:t>)</w:t>
            </w:r>
          </w:p>
          <w:p w:rsidR="003E1E2C">
            <w:pPr>
              <w:rPr>
                <w:b/>
              </w:rPr>
            </w:pPr>
            <w:r>
              <w:rPr>
                <w:b/>
              </w:rPr>
              <w:t>)</w:t>
            </w:r>
          </w:p>
          <w:p w:rsidR="003E1E2C">
            <w:pPr>
              <w:rPr>
                <w:b/>
              </w:rPr>
            </w:pPr>
            <w:r>
              <w:rPr>
                <w:b/>
              </w:rPr>
              <w:t>)</w:t>
            </w:r>
          </w:p>
          <w:p w:rsidR="003E1E2C">
            <w:pPr>
              <w:rPr>
                <w:b/>
              </w:rPr>
            </w:pPr>
            <w:r>
              <w:rPr>
                <w:b/>
              </w:rPr>
              <w:t>)</w:t>
            </w:r>
          </w:p>
          <w:p w:rsidR="003E1E2C">
            <w:pPr>
              <w:rPr>
                <w:b/>
              </w:rPr>
            </w:pPr>
            <w:r>
              <w:rPr>
                <w:b/>
              </w:rPr>
              <w:t>)</w:t>
            </w:r>
          </w:p>
          <w:p w:rsidR="003E1E2C">
            <w:pPr>
              <w:rPr>
                <w:b/>
              </w:rPr>
            </w:pPr>
            <w:r>
              <w:rPr>
                <w:b/>
              </w:rPr>
              <w:t>)</w:t>
            </w:r>
          </w:p>
          <w:p w:rsidR="003E1E2C">
            <w:pPr>
              <w:rPr>
                <w:b/>
              </w:rPr>
            </w:pPr>
          </w:p>
        </w:tc>
        <w:tc>
          <w:tcPr>
            <w:tcW w:w="4230" w:type="dxa"/>
          </w:tcPr>
          <w:p w:rsidR="003E1E2C"/>
          <w:p w:rsidR="003E1E2C">
            <w:r>
              <w:t>NAL/Acct. No. MB-20</w:t>
            </w:r>
            <w:r w:rsidR="00431EF4">
              <w:t>1841410001</w:t>
            </w:r>
          </w:p>
          <w:p w:rsidR="003E1E2C">
            <w:r>
              <w:t>FRN: 0006187835</w:t>
            </w:r>
          </w:p>
          <w:p w:rsidR="0046707B">
            <w:r>
              <w:t>Facility ID No. 57414</w:t>
            </w:r>
          </w:p>
          <w:p w:rsidR="003E1E2C">
            <w:r>
              <w:t>File No</w:t>
            </w:r>
            <w:r w:rsidR="00431EF4">
              <w:t>s</w:t>
            </w:r>
            <w:r>
              <w:t>. BR</w:t>
            </w:r>
            <w:r w:rsidR="00431EF4">
              <w:t>H</w:t>
            </w:r>
            <w:r>
              <w:t>-20</w:t>
            </w:r>
            <w:r w:rsidR="00431EF4">
              <w:t>120530ABD</w:t>
            </w:r>
            <w:r w:rsidR="0046707B">
              <w:t>, and</w:t>
            </w:r>
            <w:r w:rsidR="00431EF4">
              <w:t xml:space="preserve"> BLSTA-20150206AAO</w:t>
            </w:r>
          </w:p>
          <w:p w:rsidR="003E1E2C"/>
        </w:tc>
      </w:tr>
    </w:tbl>
    <w:p w:rsidR="003E1E2C"/>
    <w:p w:rsidR="003E1E2C">
      <w:pPr>
        <w:spacing w:before="120"/>
        <w:jc w:val="center"/>
        <w:rPr>
          <w:b/>
        </w:rPr>
      </w:pPr>
      <w:r>
        <w:rPr>
          <w:b/>
          <w:spacing w:val="-2"/>
        </w:rPr>
        <w:t>FORFEITURE ORDER</w:t>
      </w:r>
    </w:p>
    <w:p w:rsidR="003E1E2C"/>
    <w:p w:rsidR="003E1E2C">
      <w:pPr>
        <w:tabs>
          <w:tab w:val="left" w:pos="5760"/>
        </w:tabs>
        <w:rPr>
          <w:b/>
        </w:rPr>
      </w:pPr>
      <w:r>
        <w:rPr>
          <w:b/>
        </w:rPr>
        <w:t xml:space="preserve">Adopted: </w:t>
      </w:r>
      <w:r w:rsidR="00FF2FA8">
        <w:rPr>
          <w:b/>
        </w:rPr>
        <w:t>July 26</w:t>
      </w:r>
      <w:r w:rsidR="00BC79FF">
        <w:rPr>
          <w:b/>
        </w:rPr>
        <w:t>, 2018</w:t>
      </w:r>
      <w:r>
        <w:rPr>
          <w:b/>
        </w:rPr>
        <w:tab/>
        <w:t xml:space="preserve">Released: </w:t>
      </w:r>
      <w:r w:rsidR="00FF2FA8">
        <w:rPr>
          <w:b/>
        </w:rPr>
        <w:t>July 26</w:t>
      </w:r>
      <w:r w:rsidR="00BC79FF">
        <w:rPr>
          <w:b/>
        </w:rPr>
        <w:t xml:space="preserve">, 2018 </w:t>
      </w:r>
    </w:p>
    <w:p w:rsidR="003E1E2C">
      <w:pPr>
        <w:tabs>
          <w:tab w:val="left" w:pos="5760"/>
        </w:tabs>
        <w:rPr>
          <w:b/>
        </w:rPr>
      </w:pPr>
    </w:p>
    <w:p w:rsidR="003E1E2C">
      <w:pPr>
        <w:tabs>
          <w:tab w:val="left" w:pos="5760"/>
        </w:tabs>
      </w:pPr>
      <w:r>
        <w:t xml:space="preserve">By the </w:t>
      </w:r>
      <w:r>
        <w:rPr>
          <w:spacing w:val="-2"/>
        </w:rPr>
        <w:t>Chief, Audio Division, Media Bureau:</w:t>
      </w:r>
    </w:p>
    <w:p w:rsidR="003E1E2C"/>
    <w:p w:rsidR="003E1E2C">
      <w:pPr>
        <w:pStyle w:val="Heading1"/>
        <w:jc w:val="left"/>
      </w:pPr>
      <w:r>
        <w:t>INTRODUCTION</w:t>
      </w:r>
    </w:p>
    <w:p w:rsidR="003E1E2C" w:rsidP="0046707B">
      <w:pPr>
        <w:pStyle w:val="ParaNum"/>
        <w:tabs>
          <w:tab w:val="clear" w:pos="1080"/>
        </w:tabs>
        <w:jc w:val="left"/>
      </w:pPr>
      <w:r>
        <w:t xml:space="preserve">In this </w:t>
      </w:r>
      <w:r w:rsidRPr="008F5004">
        <w:rPr>
          <w:i/>
        </w:rPr>
        <w:t>Forfeiture Order</w:t>
      </w:r>
      <w:r>
        <w:t xml:space="preserve">, we issue a monetary forfeiture in the amount of </w:t>
      </w:r>
      <w:r w:rsidR="00BC79FF">
        <w:t xml:space="preserve">eighteen thousand </w:t>
      </w:r>
      <w:r>
        <w:t>dollars ($</w:t>
      </w:r>
      <w:r w:rsidR="00BC79FF">
        <w:t>18,0</w:t>
      </w:r>
      <w:r>
        <w:t xml:space="preserve">00) to </w:t>
      </w:r>
      <w:r w:rsidR="00BC79FF">
        <w:t xml:space="preserve">Roy E. Henderson </w:t>
      </w:r>
      <w:r>
        <w:rPr>
          <w:szCs w:val="22"/>
        </w:rPr>
        <w:t>(</w:t>
      </w:r>
      <w:r w:rsidR="00DD473D">
        <w:rPr>
          <w:szCs w:val="22"/>
        </w:rPr>
        <w:t xml:space="preserve">Henderson or </w:t>
      </w:r>
      <w:r>
        <w:rPr>
          <w:szCs w:val="22"/>
        </w:rPr>
        <w:t xml:space="preserve">Licensee), licensee of </w:t>
      </w:r>
      <w:r w:rsidR="00BC79FF">
        <w:rPr>
          <w:szCs w:val="22"/>
        </w:rPr>
        <w:t>Station WBNZ(FM)</w:t>
      </w:r>
      <w:r>
        <w:rPr>
          <w:szCs w:val="22"/>
        </w:rPr>
        <w:t xml:space="preserve">, </w:t>
      </w:r>
      <w:r w:rsidR="00BC79FF">
        <w:rPr>
          <w:szCs w:val="22"/>
        </w:rPr>
        <w:t>Frankfort</w:t>
      </w:r>
      <w:r>
        <w:t xml:space="preserve">, </w:t>
      </w:r>
      <w:r w:rsidR="00BC79FF">
        <w:t xml:space="preserve">Michigan </w:t>
      </w:r>
      <w:r>
        <w:t xml:space="preserve">(Station), for willfully </w:t>
      </w:r>
      <w:r w:rsidR="006359A2">
        <w:t xml:space="preserve">and repeatedly </w:t>
      </w:r>
      <w:r>
        <w:t xml:space="preserve">violating </w:t>
      </w:r>
      <w:r w:rsidR="00BC79FF">
        <w:t>Section 301 of the Communications Act of 1934, as amended (Act)</w:t>
      </w:r>
      <w:r>
        <w:rPr>
          <w:rStyle w:val="FootnoteReference"/>
        </w:rPr>
        <w:footnoteReference w:id="3"/>
      </w:r>
      <w:r w:rsidR="00BC79FF">
        <w:t xml:space="preserve"> and </w:t>
      </w:r>
      <w:r>
        <w:t xml:space="preserve">Section </w:t>
      </w:r>
      <w:r w:rsidR="006359A2">
        <w:t>73.1745(a)</w:t>
      </w:r>
      <w:r>
        <w:rPr>
          <w:rStyle w:val="FootnoteReference"/>
        </w:rPr>
        <w:footnoteReference w:id="4"/>
      </w:r>
      <w:r w:rsidR="006359A2">
        <w:t xml:space="preserve"> </w:t>
      </w:r>
      <w:r>
        <w:t xml:space="preserve">of the </w:t>
      </w:r>
      <w:r w:rsidR="006359A2">
        <w:t>FCC</w:t>
      </w:r>
      <w:r>
        <w:t xml:space="preserve">’s Rules (Rules) by </w:t>
      </w:r>
      <w:r w:rsidR="006359A2">
        <w:t xml:space="preserve">operating the Station at variance from its license without Commission authorization; for </w:t>
      </w:r>
      <w:r>
        <w:t xml:space="preserve">failing to timely file </w:t>
      </w:r>
      <w:r w:rsidR="00BC79FF">
        <w:t xml:space="preserve">for special temporary authorization </w:t>
      </w:r>
      <w:r w:rsidR="00DC6A70">
        <w:t xml:space="preserve">(STA) </w:t>
      </w:r>
      <w:r w:rsidR="00BC79FF">
        <w:t>to operate with its nonconforming technical facilities in violation of Section 73.1635(a)(1)</w:t>
      </w:r>
      <w:r>
        <w:rPr>
          <w:rStyle w:val="FootnoteReference"/>
        </w:rPr>
        <w:footnoteReference w:id="5"/>
      </w:r>
      <w:r w:rsidR="00BC79FF">
        <w:t xml:space="preserve"> of the Rules; and willfully fail</w:t>
      </w:r>
      <w:r w:rsidR="006359A2">
        <w:t xml:space="preserve">ing </w:t>
      </w:r>
      <w:r w:rsidR="00BC79FF">
        <w:t>to disclose material information regarding the unauthorized operations in violation of Section 1.17</w:t>
      </w:r>
      <w:r>
        <w:rPr>
          <w:rStyle w:val="FootnoteReference"/>
        </w:rPr>
        <w:footnoteReference w:id="6"/>
      </w:r>
      <w:r w:rsidR="00BC79FF">
        <w:t xml:space="preserve"> of the Rules</w:t>
      </w:r>
      <w:r>
        <w:t>.</w:t>
      </w:r>
      <w:r>
        <w:rPr>
          <w:rStyle w:val="FootnoteReference"/>
        </w:rPr>
        <w:footnoteReference w:id="7"/>
      </w:r>
    </w:p>
    <w:p w:rsidR="003E1E2C">
      <w:pPr>
        <w:pStyle w:val="Heading1"/>
        <w:jc w:val="left"/>
      </w:pPr>
      <w:r>
        <w:t>BACKGROUND</w:t>
      </w:r>
    </w:p>
    <w:p w:rsidR="004C6B6B" w:rsidP="00DC6A70">
      <w:pPr>
        <w:pStyle w:val="ParaNum"/>
        <w:tabs>
          <w:tab w:val="clear" w:pos="1080"/>
          <w:tab w:val="num" w:pos="1440"/>
        </w:tabs>
        <w:jc w:val="left"/>
      </w:pPr>
      <w:r>
        <w:t xml:space="preserve">On </w:t>
      </w:r>
      <w:r w:rsidR="00906451">
        <w:t>May 30, 2018</w:t>
      </w:r>
      <w:r>
        <w:t xml:space="preserve">, the </w:t>
      </w:r>
      <w:r w:rsidR="00906451">
        <w:t xml:space="preserve">Media </w:t>
      </w:r>
      <w:r>
        <w:t>Bureau</w:t>
      </w:r>
      <w:r w:rsidR="00906451">
        <w:t xml:space="preserve"> (Bureau) </w:t>
      </w:r>
      <w:r>
        <w:t xml:space="preserve">issued a </w:t>
      </w:r>
      <w:r w:rsidRPr="000D63D9" w:rsidR="00906451">
        <w:rPr>
          <w:i/>
        </w:rPr>
        <w:t>Memorandum Opinion and Order and N</w:t>
      </w:r>
      <w:r w:rsidRPr="000D63D9">
        <w:rPr>
          <w:i/>
        </w:rPr>
        <w:t>otice of Apparent Liability for Forfeiture</w:t>
      </w:r>
      <w:r>
        <w:t xml:space="preserve"> (</w:t>
      </w:r>
      <w:r w:rsidRPr="000D63D9">
        <w:rPr>
          <w:i/>
        </w:rPr>
        <w:t>NAL</w:t>
      </w:r>
      <w:r>
        <w:t xml:space="preserve">) in the amount of </w:t>
      </w:r>
      <w:r w:rsidR="00906451">
        <w:t xml:space="preserve">eighteen </w:t>
      </w:r>
      <w:r>
        <w:t>thousand dollars ($</w:t>
      </w:r>
      <w:r w:rsidR="00452E00">
        <w:t>18</w:t>
      </w:r>
      <w:r>
        <w:t xml:space="preserve">,000) to </w:t>
      </w:r>
      <w:r w:rsidRPr="000D63D9">
        <w:rPr>
          <w:szCs w:val="22"/>
        </w:rPr>
        <w:t xml:space="preserve">Licensee </w:t>
      </w:r>
      <w:r>
        <w:t>for these violations.</w:t>
      </w:r>
      <w:r>
        <w:rPr>
          <w:rStyle w:val="FootnoteReference"/>
        </w:rPr>
        <w:footnoteReference w:id="8"/>
      </w:r>
      <w:r>
        <w:t xml:space="preserve">  As noted in the </w:t>
      </w:r>
      <w:r w:rsidRPr="000D63D9">
        <w:rPr>
          <w:i/>
        </w:rPr>
        <w:t>NAL</w:t>
      </w:r>
      <w:r>
        <w:t xml:space="preserve">, </w:t>
      </w:r>
      <w:r w:rsidR="0053506F">
        <w:t>o</w:t>
      </w:r>
      <w:r w:rsidR="00B028A8">
        <w:t xml:space="preserve">n May 30, 2012, Henderson filed </w:t>
      </w:r>
      <w:r w:rsidR="00DC6A70">
        <w:t>the referenced application for renewal of the Station’s license (</w:t>
      </w:r>
      <w:r w:rsidR="00B028A8">
        <w:t>Renewal Application</w:t>
      </w:r>
      <w:r w:rsidR="00DC6A70">
        <w:t>)</w:t>
      </w:r>
      <w:r w:rsidR="00DD473D">
        <w:t xml:space="preserve">.  Thereafter, </w:t>
      </w:r>
      <w:r w:rsidR="00B028A8">
        <w:t xml:space="preserve">on February 6, 2015, </w:t>
      </w:r>
      <w:r w:rsidR="00DD473D">
        <w:t xml:space="preserve">Licensee </w:t>
      </w:r>
      <w:r w:rsidR="00B028A8">
        <w:t xml:space="preserve">filed </w:t>
      </w:r>
      <w:r w:rsidR="00DC6A70">
        <w:t>the referenced application for STA (</w:t>
      </w:r>
      <w:r w:rsidR="00B028A8">
        <w:t xml:space="preserve">Silent </w:t>
      </w:r>
      <w:r w:rsidR="00DC6A70">
        <w:t xml:space="preserve">STA </w:t>
      </w:r>
      <w:r w:rsidR="00B028A8">
        <w:t>Application</w:t>
      </w:r>
      <w:r w:rsidR="00DC6A70">
        <w:t>)</w:t>
      </w:r>
      <w:r w:rsidR="00B028A8">
        <w:t xml:space="preserve"> </w:t>
      </w:r>
      <w:r w:rsidR="00870869">
        <w:t xml:space="preserve">requesting permission to remain silent as of </w:t>
      </w:r>
      <w:r w:rsidR="00B028A8">
        <w:t xml:space="preserve">January 21, 2015, </w:t>
      </w:r>
      <w:r w:rsidR="00870869">
        <w:t xml:space="preserve">while Licensee </w:t>
      </w:r>
      <w:r w:rsidR="000D63D9">
        <w:t xml:space="preserve">addressed </w:t>
      </w:r>
      <w:r w:rsidR="00D43AD0">
        <w:t xml:space="preserve">a </w:t>
      </w:r>
      <w:r w:rsidR="00870869">
        <w:t>plumbing issue</w:t>
      </w:r>
      <w:r w:rsidR="000D63D9">
        <w:t xml:space="preserve"> at the Station’s facilities</w:t>
      </w:r>
      <w:r w:rsidR="00870869">
        <w:t>.</w:t>
      </w:r>
      <w:r>
        <w:rPr>
          <w:rStyle w:val="FootnoteReference"/>
          <w:szCs w:val="22"/>
        </w:rPr>
        <w:footnoteReference w:id="9"/>
      </w:r>
      <w:r w:rsidR="00870869">
        <w:t xml:space="preserve">  </w:t>
      </w:r>
      <w:r w:rsidR="008F5004">
        <w:t>In response to a Bureau inquiry,</w:t>
      </w:r>
      <w:r>
        <w:rPr>
          <w:rStyle w:val="FootnoteReference"/>
        </w:rPr>
        <w:footnoteReference w:id="10"/>
      </w:r>
      <w:r w:rsidR="008F5004">
        <w:t xml:space="preserve"> </w:t>
      </w:r>
      <w:r w:rsidR="00870869">
        <w:t xml:space="preserve"> </w:t>
      </w:r>
      <w:r w:rsidR="008F5004">
        <w:t>L</w:t>
      </w:r>
      <w:r w:rsidR="00870869">
        <w:t xml:space="preserve">icensee </w:t>
      </w:r>
      <w:r w:rsidR="00D43AD0">
        <w:t>reported</w:t>
      </w:r>
      <w:r w:rsidR="00201691">
        <w:t xml:space="preserve"> </w:t>
      </w:r>
      <w:r w:rsidR="00870869">
        <w:t xml:space="preserve">that the Station returned to air </w:t>
      </w:r>
      <w:r w:rsidR="00870869">
        <w:t>on February 19, 2015, but “[d]ue to a clerical error it appears that Henderson did not notify the FCC of the WBNZ on air status.  An ‘on-air’ notice has now been filed electronically to reflect that proper date.”</w:t>
      </w:r>
      <w:r>
        <w:rPr>
          <w:rStyle w:val="FootnoteReference"/>
          <w:szCs w:val="22"/>
        </w:rPr>
        <w:footnoteReference w:id="11"/>
      </w:r>
      <w:r w:rsidR="00870869">
        <w:t xml:space="preserve">  </w:t>
      </w:r>
      <w:r w:rsidR="00D43AD0">
        <w:t xml:space="preserve">Additionally, </w:t>
      </w:r>
      <w:r w:rsidR="000D63D9">
        <w:t>o</w:t>
      </w:r>
      <w:r>
        <w:t>n September 12, 2016, Henderson filed a request for STA to operate the Station with reduced power</w:t>
      </w:r>
      <w:r w:rsidR="000D63D9">
        <w:t xml:space="preserve"> stating </w:t>
      </w:r>
      <w:r>
        <w:t>that “due to transmitter and power issues, WBNZ is currently operating a</w:t>
      </w:r>
      <w:r w:rsidR="00D43AD0">
        <w:t>t the reduced power of 1.4 kW.</w:t>
      </w:r>
      <w:r>
        <w:t>”</w:t>
      </w:r>
      <w:r w:rsidRPr="000D63D9" w:rsidR="000D63D9">
        <w:rPr>
          <w:rStyle w:val="FootnoteReference"/>
        </w:rPr>
        <w:t xml:space="preserve"> </w:t>
      </w:r>
      <w:r>
        <w:rPr>
          <w:rStyle w:val="FootnoteReference"/>
        </w:rPr>
        <w:footnoteReference w:id="12"/>
      </w:r>
      <w:r w:rsidR="000D63D9">
        <w:t xml:space="preserve">  </w:t>
      </w:r>
    </w:p>
    <w:p w:rsidR="003E1E2C" w:rsidP="008F5004">
      <w:pPr>
        <w:pStyle w:val="ParaNum"/>
        <w:jc w:val="left"/>
      </w:pPr>
      <w:r>
        <w:t xml:space="preserve">In the </w:t>
      </w:r>
      <w:r w:rsidRPr="000D63D9">
        <w:rPr>
          <w:i/>
        </w:rPr>
        <w:t>NAL</w:t>
      </w:r>
      <w:r>
        <w:rPr>
          <w:i/>
        </w:rPr>
        <w:t xml:space="preserve">, </w:t>
      </w:r>
      <w:r>
        <w:t xml:space="preserve">the Bureau found that on April 29, 2015, </w:t>
      </w:r>
      <w:r w:rsidR="004C6B6B">
        <w:t xml:space="preserve">Station </w:t>
      </w:r>
      <w:r w:rsidR="00512900">
        <w:t xml:space="preserve">commenced </w:t>
      </w:r>
      <w:r w:rsidR="004C6B6B">
        <w:t xml:space="preserve">unauthorized operations with non-conforming facilities and </w:t>
      </w:r>
      <w:r w:rsidR="00512900">
        <w:t xml:space="preserve">did not notify the Commission of this until </w:t>
      </w:r>
      <w:r w:rsidR="009D699C">
        <w:t xml:space="preserve">filing the </w:t>
      </w:r>
      <w:r w:rsidR="004C6B6B">
        <w:t xml:space="preserve">September 12, 2016, Engineering STA Application. </w:t>
      </w:r>
      <w:r w:rsidR="00512900">
        <w:t>T</w:t>
      </w:r>
      <w:r w:rsidR="009D699C">
        <w:t xml:space="preserve">he Bureau </w:t>
      </w:r>
      <w:r w:rsidR="00512900">
        <w:t xml:space="preserve">further </w:t>
      </w:r>
      <w:r w:rsidR="009D699C">
        <w:t xml:space="preserve">found </w:t>
      </w:r>
      <w:r w:rsidR="004C6B6B">
        <w:t xml:space="preserve">that Licensee </w:t>
      </w:r>
      <w:r w:rsidR="00512900">
        <w:t>did not disclose in the Engineering STA Application the material</w:t>
      </w:r>
      <w:r w:rsidR="009D699C">
        <w:t xml:space="preserve"> </w:t>
      </w:r>
      <w:r w:rsidR="004C6B6B">
        <w:t>fact</w:t>
      </w:r>
      <w:r w:rsidR="00512900">
        <w:t xml:space="preserve"> </w:t>
      </w:r>
      <w:r w:rsidR="009D699C">
        <w:t>that the Station had operated with an unauthorized power reduction for nearly 17 months prior to filing the Engineering STA Application.</w:t>
      </w:r>
      <w:r w:rsidR="00897C2A">
        <w:t xml:space="preserve">  Licensee did not </w:t>
      </w:r>
      <w:r w:rsidR="004C6B6B">
        <w:t xml:space="preserve">file a response to the </w:t>
      </w:r>
      <w:r w:rsidRPr="008F5004" w:rsidR="004C6B6B">
        <w:rPr>
          <w:i/>
        </w:rPr>
        <w:t>NAL</w:t>
      </w:r>
      <w:r w:rsidR="004C6B6B">
        <w:t>.</w:t>
      </w:r>
    </w:p>
    <w:p w:rsidR="003E1E2C">
      <w:pPr>
        <w:pStyle w:val="Heading1"/>
        <w:jc w:val="left"/>
      </w:pPr>
      <w:r>
        <w:t>DISCUSSION</w:t>
      </w:r>
    </w:p>
    <w:p w:rsidR="003E1E2C">
      <w:pPr>
        <w:pStyle w:val="ParaNum"/>
        <w:widowControl/>
        <w:tabs>
          <w:tab w:val="num" w:pos="630"/>
          <w:tab w:val="clear" w:pos="1440"/>
        </w:tabs>
        <w:jc w:val="left"/>
      </w:pPr>
      <w:r>
        <w:tab/>
        <w:t>The forfeiture amount proposed in this case was assessed in accordance with Section 503(b) of the Act,</w:t>
      </w:r>
      <w:r>
        <w:rPr>
          <w:rStyle w:val="FootnoteReference"/>
          <w:szCs w:val="22"/>
        </w:rPr>
        <w:footnoteReference w:id="13"/>
      </w:r>
      <w:r>
        <w:t xml:space="preserve"> Section 1.80 of the Rules,</w:t>
      </w:r>
      <w:r>
        <w:rPr>
          <w:rStyle w:val="FootnoteReference"/>
          <w:szCs w:val="22"/>
        </w:rPr>
        <w:footnoteReference w:id="14"/>
      </w:r>
      <w:r>
        <w:rPr>
          <w:szCs w:val="22"/>
        </w:rPr>
        <w:t xml:space="preserve"> </w:t>
      </w:r>
      <w:r>
        <w:t xml:space="preserve">and the Commission’s </w:t>
      </w:r>
      <w:r>
        <w:rPr>
          <w:i/>
        </w:rPr>
        <w:t>Forfeiture Policy Statement</w:t>
      </w:r>
      <w:r>
        <w:t>.</w:t>
      </w:r>
      <w:r>
        <w:rPr>
          <w:rStyle w:val="FootnoteReference"/>
          <w:szCs w:val="22"/>
        </w:rPr>
        <w:footnoteReference w:id="15"/>
      </w:r>
      <w:r>
        <w:t xml:space="preserve">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16"/>
      </w:r>
      <w:r>
        <w:t xml:space="preserve">  </w:t>
      </w:r>
    </w:p>
    <w:p w:rsidR="003E1E2C">
      <w:pPr>
        <w:pStyle w:val="ParaNum"/>
        <w:widowControl/>
        <w:tabs>
          <w:tab w:val="clear" w:pos="1440"/>
        </w:tabs>
        <w:jc w:val="left"/>
        <w:rPr>
          <w:szCs w:val="22"/>
        </w:rPr>
      </w:pPr>
      <w:r>
        <w:rPr>
          <w:szCs w:val="22"/>
        </w:rPr>
        <w:t>We conclude that Licensee willfully</w:t>
      </w:r>
      <w:r>
        <w:rPr>
          <w:rStyle w:val="FootnoteReference"/>
          <w:szCs w:val="22"/>
        </w:rPr>
        <w:footnoteReference w:id="17"/>
      </w:r>
      <w:r>
        <w:rPr>
          <w:szCs w:val="22"/>
        </w:rPr>
        <w:t xml:space="preserve"> </w:t>
      </w:r>
      <w:r w:rsidR="00452E00">
        <w:rPr>
          <w:szCs w:val="22"/>
        </w:rPr>
        <w:t>and repeatedly</w:t>
      </w:r>
      <w:r>
        <w:rPr>
          <w:rStyle w:val="FootnoteReference"/>
          <w:szCs w:val="22"/>
        </w:rPr>
        <w:footnoteReference w:id="18"/>
      </w:r>
      <w:r w:rsidR="00452E00">
        <w:rPr>
          <w:szCs w:val="22"/>
        </w:rPr>
        <w:t xml:space="preserve"> violated </w:t>
      </w:r>
      <w:r>
        <w:rPr>
          <w:rStyle w:val="documentbody5"/>
          <w:rFonts w:ascii="Times New Roman" w:hAnsi="Times New Roman"/>
          <w:color w:val="000000"/>
          <w:sz w:val="22"/>
          <w:szCs w:val="22"/>
        </w:rPr>
        <w:t>Section</w:t>
      </w:r>
      <w:r w:rsidR="00452E00">
        <w:rPr>
          <w:rStyle w:val="documentbody5"/>
          <w:rFonts w:ascii="Times New Roman" w:hAnsi="Times New Roman"/>
          <w:color w:val="000000"/>
          <w:sz w:val="22"/>
          <w:szCs w:val="22"/>
        </w:rPr>
        <w:t xml:space="preserve"> 301 of the Act and</w:t>
      </w:r>
      <w:r>
        <w:rPr>
          <w:rStyle w:val="documentbody5"/>
          <w:rFonts w:ascii="Times New Roman" w:hAnsi="Times New Roman"/>
          <w:color w:val="000000"/>
          <w:sz w:val="22"/>
          <w:szCs w:val="22"/>
        </w:rPr>
        <w:t xml:space="preserve"> </w:t>
      </w:r>
      <w:r w:rsidR="00452E00">
        <w:rPr>
          <w:rStyle w:val="documentbody5"/>
          <w:rFonts w:ascii="Times New Roman" w:hAnsi="Times New Roman"/>
          <w:color w:val="000000"/>
          <w:sz w:val="22"/>
          <w:szCs w:val="22"/>
        </w:rPr>
        <w:t xml:space="preserve">Sections </w:t>
      </w:r>
      <w:r>
        <w:rPr>
          <w:rStyle w:val="documentbody5"/>
          <w:rFonts w:ascii="Times New Roman" w:hAnsi="Times New Roman"/>
          <w:color w:val="000000"/>
          <w:sz w:val="22"/>
          <w:szCs w:val="22"/>
        </w:rPr>
        <w:t>73.</w:t>
      </w:r>
      <w:r w:rsidR="00452E00">
        <w:rPr>
          <w:rStyle w:val="documentbody5"/>
          <w:rFonts w:ascii="Times New Roman" w:hAnsi="Times New Roman"/>
          <w:color w:val="000000"/>
          <w:sz w:val="22"/>
          <w:szCs w:val="22"/>
        </w:rPr>
        <w:t>1745(a), 73.1765(a)(1) and 1.17</w:t>
      </w:r>
      <w:r>
        <w:rPr>
          <w:rStyle w:val="documentbody5"/>
          <w:rFonts w:ascii="Times New Roman" w:hAnsi="Times New Roman"/>
          <w:color w:val="000000"/>
          <w:sz w:val="22"/>
          <w:szCs w:val="22"/>
        </w:rPr>
        <w:t xml:space="preserve"> of the Rules</w:t>
      </w:r>
      <w:r w:rsidR="00452E00">
        <w:rPr>
          <w:rStyle w:val="documentbody5"/>
          <w:rFonts w:ascii="Times New Roman" w:hAnsi="Times New Roman"/>
          <w:color w:val="000000"/>
          <w:sz w:val="22"/>
          <w:szCs w:val="22"/>
        </w:rPr>
        <w:t>.</w:t>
      </w:r>
      <w:r>
        <w:rPr>
          <w:rStyle w:val="documentbody5"/>
          <w:rFonts w:ascii="Times New Roman" w:hAnsi="Times New Roman"/>
          <w:color w:val="000000"/>
          <w:sz w:val="22"/>
          <w:szCs w:val="22"/>
        </w:rPr>
        <w:t xml:space="preserve">  </w:t>
      </w:r>
      <w:bookmarkStart w:id="1" w:name="SR;1145"/>
      <w:bookmarkStart w:id="2" w:name="FN[FN22]"/>
      <w:bookmarkEnd w:id="1"/>
      <w:bookmarkEnd w:id="2"/>
      <w:r w:rsidR="00452E00">
        <w:rPr>
          <w:rStyle w:val="documentbody5"/>
          <w:rFonts w:ascii="Times New Roman" w:hAnsi="Times New Roman"/>
          <w:color w:val="000000"/>
          <w:sz w:val="22"/>
          <w:szCs w:val="22"/>
        </w:rPr>
        <w:t>W</w:t>
      </w:r>
      <w:r>
        <w:rPr>
          <w:rStyle w:val="documentbody5"/>
          <w:rFonts w:ascii="Times New Roman" w:hAnsi="Times New Roman"/>
          <w:color w:val="000000"/>
          <w:sz w:val="22"/>
          <w:szCs w:val="22"/>
        </w:rPr>
        <w:t xml:space="preserve">e </w:t>
      </w:r>
      <w:r w:rsidR="00452E00">
        <w:rPr>
          <w:rStyle w:val="documentbody5"/>
          <w:rFonts w:ascii="Times New Roman" w:hAnsi="Times New Roman"/>
          <w:color w:val="000000"/>
          <w:sz w:val="22"/>
          <w:szCs w:val="22"/>
        </w:rPr>
        <w:t xml:space="preserve">will therefore issue a </w:t>
      </w:r>
      <w:r>
        <w:rPr>
          <w:rStyle w:val="documentbody5"/>
          <w:rFonts w:ascii="Times New Roman" w:hAnsi="Times New Roman"/>
          <w:color w:val="000000"/>
          <w:sz w:val="22"/>
          <w:szCs w:val="22"/>
        </w:rPr>
        <w:t xml:space="preserve">forfeiture </w:t>
      </w:r>
      <w:r w:rsidR="00452E00">
        <w:rPr>
          <w:rStyle w:val="documentbody5"/>
          <w:rFonts w:ascii="Times New Roman" w:hAnsi="Times New Roman"/>
          <w:color w:val="000000"/>
          <w:sz w:val="22"/>
          <w:szCs w:val="22"/>
        </w:rPr>
        <w:t xml:space="preserve">in the </w:t>
      </w:r>
      <w:r>
        <w:rPr>
          <w:rStyle w:val="documentbody5"/>
          <w:rFonts w:ascii="Times New Roman" w:hAnsi="Times New Roman"/>
          <w:color w:val="000000"/>
          <w:sz w:val="22"/>
          <w:szCs w:val="22"/>
        </w:rPr>
        <w:t xml:space="preserve">amount </w:t>
      </w:r>
      <w:r w:rsidR="00452E00">
        <w:rPr>
          <w:rStyle w:val="documentbody5"/>
          <w:rFonts w:ascii="Times New Roman" w:hAnsi="Times New Roman"/>
          <w:color w:val="000000"/>
          <w:sz w:val="22"/>
          <w:szCs w:val="22"/>
        </w:rPr>
        <w:t xml:space="preserve">of $18,000 as proposed in the </w:t>
      </w:r>
      <w:r w:rsidRPr="00452E00" w:rsidR="00452E00">
        <w:rPr>
          <w:rStyle w:val="documentbody5"/>
          <w:rFonts w:ascii="Times New Roman" w:hAnsi="Times New Roman"/>
          <w:i/>
          <w:color w:val="000000"/>
          <w:sz w:val="22"/>
          <w:szCs w:val="22"/>
        </w:rPr>
        <w:t>NAL</w:t>
      </w:r>
      <w:r w:rsidR="00452E00">
        <w:rPr>
          <w:rStyle w:val="documentbody5"/>
          <w:rFonts w:ascii="Times New Roman" w:hAnsi="Times New Roman"/>
          <w:color w:val="000000"/>
          <w:sz w:val="22"/>
          <w:szCs w:val="22"/>
        </w:rPr>
        <w:t>.</w:t>
      </w:r>
      <w:bookmarkStart w:id="3" w:name="FN[FN23]"/>
      <w:bookmarkEnd w:id="3"/>
      <w:r>
        <w:rPr>
          <w:rStyle w:val="FootnoteReference"/>
          <w:color w:val="000000"/>
          <w:szCs w:val="22"/>
        </w:rPr>
        <w:t xml:space="preserve"> </w:t>
      </w:r>
      <w:r>
        <w:rPr>
          <w:rStyle w:val="FootnoteReference"/>
          <w:color w:val="000000"/>
          <w:szCs w:val="22"/>
        </w:rPr>
        <w:footnoteReference w:id="19"/>
      </w:r>
    </w:p>
    <w:p w:rsidR="003E1E2C">
      <w:pPr>
        <w:pStyle w:val="Heading1"/>
        <w:jc w:val="left"/>
      </w:pPr>
      <w:r>
        <w:t>ORDERING CLAUSES</w:t>
      </w:r>
    </w:p>
    <w:p w:rsidR="003E1E2C">
      <w:pPr>
        <w:pStyle w:val="ParaNum"/>
        <w:jc w:val="left"/>
      </w:pPr>
      <w:r>
        <w:t xml:space="preserve">IT IS FURTHER ORDERED, pursuant to Section 503(b) of the Communications Act of </w:t>
      </w:r>
      <w:r>
        <w:t>1934, as amended, and Sections 0.283 and 1.80 of the Commission’s Rules,</w:t>
      </w:r>
      <w:r>
        <w:rPr>
          <w:rStyle w:val="FootnoteReference"/>
        </w:rPr>
        <w:footnoteReference w:id="20"/>
      </w:r>
      <w:r>
        <w:t xml:space="preserve"> that </w:t>
      </w:r>
      <w:r w:rsidR="00452E00">
        <w:t>Roy E. Henderson</w:t>
      </w:r>
      <w:r>
        <w:t xml:space="preserve"> SHALL FORFEIT to the United States the sum of </w:t>
      </w:r>
      <w:r w:rsidR="00512900">
        <w:t xml:space="preserve">eighteen thousand </w:t>
      </w:r>
      <w:r>
        <w:t>dollars ($</w:t>
      </w:r>
      <w:r w:rsidR="00512900">
        <w:t>18,0</w:t>
      </w:r>
      <w:r>
        <w:t xml:space="preserve">00) for willfully </w:t>
      </w:r>
      <w:r>
        <w:rPr>
          <w:rStyle w:val="documentbody5"/>
          <w:rFonts w:ascii="Times New Roman" w:hAnsi="Times New Roman"/>
          <w:color w:val="000000"/>
          <w:sz w:val="22"/>
          <w:szCs w:val="22"/>
        </w:rPr>
        <w:t xml:space="preserve">and willfully </w:t>
      </w:r>
      <w:r>
        <w:t xml:space="preserve">and repeatedly violating </w:t>
      </w:r>
      <w:r>
        <w:rPr>
          <w:rStyle w:val="documentbody5"/>
          <w:rFonts w:ascii="Times New Roman" w:hAnsi="Times New Roman"/>
          <w:color w:val="000000"/>
          <w:sz w:val="22"/>
          <w:szCs w:val="22"/>
        </w:rPr>
        <w:t>Section 301 of the Communications Act of 1934, as amended</w:t>
      </w:r>
      <w:r w:rsidR="00512900">
        <w:rPr>
          <w:rStyle w:val="documentbody5"/>
          <w:rFonts w:ascii="Times New Roman" w:hAnsi="Times New Roman"/>
          <w:color w:val="000000"/>
          <w:sz w:val="22"/>
          <w:szCs w:val="22"/>
        </w:rPr>
        <w:t xml:space="preserve">, and </w:t>
      </w:r>
      <w:r w:rsidR="00512900">
        <w:rPr>
          <w:szCs w:val="22"/>
        </w:rPr>
        <w:t>Sections 73.1745(a); 73.1765(a)(1), and 1.7 of the Commission’s Rules</w:t>
      </w:r>
      <w:r>
        <w:rPr>
          <w:szCs w:val="22"/>
        </w:rPr>
        <w:t>.</w:t>
      </w:r>
      <w:r>
        <w:t xml:space="preserve"> </w:t>
      </w:r>
    </w:p>
    <w:p w:rsidR="004C6B6B">
      <w:pPr>
        <w:pStyle w:val="ParaNum"/>
        <w:tabs>
          <w:tab w:val="clear" w:pos="1080"/>
          <w:tab w:val="num" w:pos="1440"/>
        </w:tabs>
        <w:jc w:val="left"/>
      </w:pPr>
      <w:r>
        <w:t>Payment of the forfeiture shall be made in the manner provided for in Section 1.80 of the Commission's Rules within 30 days of the release of this Forfeiture Order.  If the forfeiture is not paid within the period specified, the case may be referred to the Department of Justice for collection pursuant to Section 504(a) of the Act.</w:t>
      </w:r>
      <w:r>
        <w:rPr>
          <w:rStyle w:val="FootnoteReference"/>
        </w:rPr>
        <w:footnoteReference w:id="21"/>
      </w:r>
      <w:r>
        <w:t xml:space="preserve">  </w:t>
      </w:r>
    </w:p>
    <w:p w:rsidR="00512900" w:rsidRPr="00512900" w:rsidP="00512900">
      <w:pPr>
        <w:pStyle w:val="ParaNum"/>
        <w:tabs>
          <w:tab w:val="clear" w:pos="1080"/>
          <w:tab w:val="num" w:pos="1440"/>
        </w:tabs>
        <w:jc w:val="left"/>
      </w:pPr>
      <w:r w:rsidRPr="004C6B6B">
        <w:rPr>
          <w:szCs w:val="22"/>
        </w:rPr>
        <w:t xml:space="preserve">Payment of the proposed forfeiture must be made by check or similar instrument, wire transfer or credit card, and must include the NAL/Acct. No. and FRN No. referenced herein.  Regardless of the form of payment, a completed FCC Form 159 must be submitted.  When completing the FCC Form 159, enter the NAL/Account number in block number 23A (call sign/other ID), and enter the letters “FORF” in block number 24A (payment type code).  Licensee will also send electronic notification on the date said payment is made to Karen Workeman at Karen Workeman@fcc.gov and to Kim Varner at Kim.Varner@fcc.gov.  Below are additional instructions that should be followed based on the form of payment selected: </w:t>
      </w:r>
    </w:p>
    <w:p w:rsidR="00512900" w:rsidP="00512900">
      <w:pPr>
        <w:pStyle w:val="ParaNum"/>
        <w:numPr>
          <w:ilvl w:val="0"/>
          <w:numId w:val="0"/>
        </w:numPr>
        <w:ind w:left="720"/>
        <w:jc w:val="left"/>
      </w:pPr>
      <w:r>
        <w:rPr>
          <w:rFonts w:ascii="Wingdings" w:eastAsia="Wingdings" w:hAnsi="Wingdings" w:cs="Wingdings"/>
          <w:sz w:val="16"/>
          <w:szCs w:val="16"/>
        </w:rPr>
        <w:sym w:font="Wingdings" w:char="F09F"/>
      </w:r>
      <w:r>
        <w:rPr>
          <w:sz w:val="16"/>
          <w:szCs w:val="16"/>
        </w:rPr>
        <w:tab/>
      </w:r>
      <w:r>
        <w:t>Pay</w:t>
      </w:r>
      <w:r>
        <w:rPr>
          <w:spacing w:val="-4"/>
        </w:rPr>
        <w:t>m</w:t>
      </w:r>
      <w:r>
        <w:t xml:space="preserve">ent </w:t>
      </w:r>
      <w:r>
        <w:rPr>
          <w:spacing w:val="6"/>
        </w:rPr>
        <w:t>by</w:t>
      </w:r>
      <w:r>
        <w:t xml:space="preserve"> </w:t>
      </w:r>
      <w:r>
        <w:rPr>
          <w:spacing w:val="3"/>
        </w:rPr>
        <w:t>check</w:t>
      </w:r>
      <w:r>
        <w:t xml:space="preserve"> </w:t>
      </w:r>
      <w:r>
        <w:rPr>
          <w:spacing w:val="3"/>
        </w:rPr>
        <w:t>or</w:t>
      </w:r>
      <w:r>
        <w:rPr>
          <w:spacing w:val="6"/>
        </w:rPr>
        <w:t xml:space="preserve"> </w:t>
      </w:r>
      <w:r>
        <w:rPr>
          <w:spacing w:val="-4"/>
        </w:rPr>
        <w:t>m</w:t>
      </w:r>
      <w:r>
        <w:t>oney</w:t>
      </w:r>
      <w:r>
        <w:rPr>
          <w:spacing w:val="3"/>
        </w:rPr>
        <w:t xml:space="preserve"> </w:t>
      </w:r>
      <w:r>
        <w:t>o</w:t>
      </w:r>
      <w:r>
        <w:rPr>
          <w:spacing w:val="1"/>
        </w:rPr>
        <w:t>r</w:t>
      </w:r>
      <w:r>
        <w:t>der</w:t>
      </w:r>
      <w:r>
        <w:rPr>
          <w:spacing w:val="4"/>
        </w:rPr>
        <w:t xml:space="preserve"> </w:t>
      </w:r>
      <w:r>
        <w:rPr>
          <w:spacing w:val="-4"/>
        </w:rPr>
        <w:t>m</w:t>
      </w:r>
      <w:r>
        <w:t xml:space="preserve">ust be </w:t>
      </w:r>
      <w:r>
        <w:rPr>
          <w:spacing w:val="-4"/>
        </w:rPr>
        <w:t>m</w:t>
      </w:r>
      <w:r>
        <w:t>ade p</w:t>
      </w:r>
      <w:r>
        <w:rPr>
          <w:spacing w:val="4"/>
        </w:rPr>
        <w:t>a</w:t>
      </w:r>
      <w:r>
        <w:rPr>
          <w:spacing w:val="-2"/>
        </w:rPr>
        <w:t>y</w:t>
      </w:r>
      <w:r>
        <w:t>ab</w:t>
      </w:r>
      <w:r>
        <w:rPr>
          <w:spacing w:val="1"/>
        </w:rPr>
        <w:t>l</w:t>
      </w:r>
      <w:r>
        <w:t xml:space="preserve">e </w:t>
      </w:r>
      <w:r>
        <w:rPr>
          <w:spacing w:val="1"/>
        </w:rPr>
        <w:t>t</w:t>
      </w:r>
      <w:r>
        <w:t xml:space="preserve">o </w:t>
      </w:r>
      <w:r>
        <w:rPr>
          <w:spacing w:val="1"/>
        </w:rPr>
        <w:t>t</w:t>
      </w:r>
      <w:r>
        <w:t>he o</w:t>
      </w:r>
      <w:r>
        <w:rPr>
          <w:spacing w:val="1"/>
        </w:rPr>
        <w:t>r</w:t>
      </w:r>
      <w:r>
        <w:rPr>
          <w:spacing w:val="-2"/>
        </w:rPr>
        <w:t>d</w:t>
      </w:r>
      <w:r>
        <w:t xml:space="preserve">er of </w:t>
      </w:r>
      <w:r>
        <w:rPr>
          <w:spacing w:val="1"/>
        </w:rPr>
        <w:t>t</w:t>
      </w:r>
      <w:r>
        <w:t>he 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512900" w:rsidP="00512900">
      <w:pPr>
        <w:pStyle w:val="ParaNum"/>
        <w:numPr>
          <w:ilvl w:val="0"/>
          <w:numId w:val="0"/>
        </w:numPr>
        <w:ind w:left="720"/>
        <w:jc w:val="left"/>
      </w:pPr>
      <w:r>
        <w:rPr>
          <w:rFonts w:ascii="Wingdings" w:eastAsia="Wingdings" w:hAnsi="Wingdings" w:cs="Wingdings"/>
          <w:sz w:val="16"/>
          <w:szCs w:val="16"/>
        </w:rPr>
        <w:sym w:font="Wingdings" w:char="F09F"/>
      </w:r>
      <w:r>
        <w:rPr>
          <w:sz w:val="16"/>
          <w:szCs w:val="16"/>
        </w:rPr>
        <w:tab/>
      </w:r>
      <w:r>
        <w:t>Pay</w:t>
      </w:r>
      <w:r>
        <w:rPr>
          <w:spacing w:val="-4"/>
        </w:rPr>
        <w:t>m</w:t>
      </w:r>
      <w:r>
        <w:t xml:space="preserve">ent </w:t>
      </w:r>
      <w:r>
        <w:rPr>
          <w:spacing w:val="28"/>
        </w:rPr>
        <w:t>by</w:t>
      </w:r>
      <w:r>
        <w:rPr>
          <w:spacing w:val="-1"/>
        </w:rPr>
        <w:t xml:space="preserve"> w</w:t>
      </w:r>
      <w:r>
        <w:rPr>
          <w:spacing w:val="1"/>
        </w:rPr>
        <w:t>ir</w:t>
      </w:r>
      <w:r>
        <w:t xml:space="preserve">e </w:t>
      </w:r>
      <w:r>
        <w:rPr>
          <w:spacing w:val="25"/>
        </w:rPr>
        <w:t>transfer</w:t>
      </w:r>
      <w:r>
        <w:t xml:space="preserve"> </w:t>
      </w:r>
      <w:r>
        <w:rPr>
          <w:spacing w:val="-4"/>
        </w:rPr>
        <w:t>m</w:t>
      </w:r>
      <w:r>
        <w:t xml:space="preserve">ust be </w:t>
      </w:r>
      <w:r>
        <w:rPr>
          <w:spacing w:val="-4"/>
        </w:rPr>
        <w:t>m</w:t>
      </w:r>
      <w:r>
        <w:t xml:space="preserve">ade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 xml:space="preserve">ng 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512900" w:rsidP="00512900">
      <w:pPr>
        <w:pStyle w:val="ParaNum"/>
        <w:numPr>
          <w:ilvl w:val="0"/>
          <w:numId w:val="0"/>
        </w:numPr>
        <w:ind w:left="720"/>
        <w:jc w:val="left"/>
      </w:pPr>
      <w:r>
        <w:rPr>
          <w:rFonts w:ascii="Wingdings" w:eastAsia="Wingdings" w:hAnsi="Wingdings" w:cs="Wingdings"/>
          <w:sz w:val="16"/>
          <w:szCs w:val="16"/>
        </w:rPr>
        <w:sym w:font="Wingdings" w:char="F09F"/>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St</w:t>
      </w:r>
      <w:r>
        <w:t>.</w:t>
      </w:r>
      <w:r>
        <w:rPr>
          <w:spacing w:val="53"/>
        </w:rPr>
        <w:t xml:space="preserve"> </w:t>
      </w:r>
      <w:r>
        <w:t>Loui</w:t>
      </w:r>
      <w:r>
        <w:rPr>
          <w:spacing w:val="1"/>
        </w:rPr>
        <w:t>s</w:t>
      </w:r>
      <w:r>
        <w:t>,</w:t>
      </w:r>
      <w:r>
        <w:rPr>
          <w:spacing w:val="53"/>
        </w:rPr>
        <w:t xml:space="preserve"> </w:t>
      </w:r>
      <w:r>
        <w:t>MO 63101.</w:t>
      </w:r>
    </w:p>
    <w:p w:rsidR="00D04507" w:rsidP="00D04507">
      <w:pPr>
        <w:pStyle w:val="ParaNum"/>
        <w:tabs>
          <w:tab w:val="clear" w:pos="1080"/>
          <w:tab w:val="num" w:pos="1440"/>
        </w:tabs>
        <w:jc w:val="left"/>
      </w:pPr>
      <w:r w:rsidRPr="00512900">
        <w:rPr>
          <w:szCs w:val="22"/>
        </w:rPr>
        <w:t xml:space="preserve">Requests for full payment of the forfeiture under </w:t>
      </w:r>
      <w:r w:rsidR="005A112D">
        <w:rPr>
          <w:szCs w:val="22"/>
        </w:rPr>
        <w:t xml:space="preserve">an </w:t>
      </w:r>
      <w:r w:rsidRPr="00512900">
        <w:rPr>
          <w:szCs w:val="22"/>
        </w:rPr>
        <w:t>installment plan should be sent to: Associate Managing Director-Financial Operations, 445 12th Street, S.W., Room 1-A625, Washington, DC 20554.</w:t>
      </w:r>
      <w:r>
        <w:rPr>
          <w:rStyle w:val="FootnoteReference"/>
          <w:szCs w:val="22"/>
        </w:rPr>
        <w:footnoteReference w:id="22"/>
      </w:r>
    </w:p>
    <w:p w:rsidR="00FA6FB2" w:rsidP="00D04507">
      <w:pPr>
        <w:pStyle w:val="ParaNum"/>
        <w:tabs>
          <w:tab w:val="clear" w:pos="1080"/>
          <w:tab w:val="num" w:pos="1440"/>
        </w:tabs>
        <w:jc w:val="left"/>
      </w:pPr>
      <w:r>
        <w:t>IT IS FURTHER ORDERED, that a copy of this Forfeiture Order shall be sent by Certified Mail Return Receipt Requested, and by First Class Mail to,</w:t>
      </w:r>
      <w:r w:rsidRPr="00EA037B">
        <w:t xml:space="preserve"> </w:t>
      </w:r>
      <w:r w:rsidRPr="00226C74">
        <w:t xml:space="preserve">Roy E. Henderson, </w:t>
      </w:r>
      <w:r>
        <w:t xml:space="preserve">c/o WLDR-FM, </w:t>
      </w:r>
    </w:p>
    <w:p w:rsidR="00512900" w:rsidP="00FA6FB2">
      <w:pPr>
        <w:pStyle w:val="ParaNum"/>
        <w:numPr>
          <w:ilvl w:val="0"/>
          <w:numId w:val="0"/>
        </w:numPr>
        <w:tabs>
          <w:tab w:val="clear" w:pos="1440"/>
        </w:tabs>
        <w:jc w:val="left"/>
      </w:pPr>
      <w:r>
        <w:br w:type="page"/>
      </w:r>
      <w:r w:rsidRPr="00226C74">
        <w:t>13999 S. West Bayshore Drive, Traverse City, MI 4968</w:t>
      </w:r>
      <w:r>
        <w:t>4</w:t>
      </w:r>
      <w:r w:rsidRPr="00226C74">
        <w:t xml:space="preserve">, and to his counsel, John C. Trent, Esq., Putbrese, Hunsaker &amp; Trent, </w:t>
      </w:r>
      <w:r>
        <w:t>P.C., 200 South Church Street, Woodstock, VA 22664.</w:t>
      </w:r>
    </w:p>
    <w:p w:rsidR="003E1E2C" w:rsidP="00D04507">
      <w:pPr>
        <w:pStyle w:val="ParaNum"/>
        <w:numPr>
          <w:ilvl w:val="0"/>
          <w:numId w:val="0"/>
        </w:numPr>
        <w:jc w:val="left"/>
      </w:pPr>
    </w:p>
    <w:p w:rsidR="003E1E2C">
      <w:pPr>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3E1E2C">
      <w:pPr>
        <w:jc w:val="both"/>
        <w:rPr>
          <w:szCs w:val="22"/>
        </w:rPr>
      </w:pPr>
    </w:p>
    <w:p w:rsidR="003E1E2C">
      <w:pPr>
        <w:jc w:val="both"/>
        <w:rPr>
          <w:szCs w:val="22"/>
        </w:rPr>
      </w:pPr>
    </w:p>
    <w:p w:rsidR="003E1E2C">
      <w:pPr>
        <w:jc w:val="both"/>
        <w:rPr>
          <w:szCs w:val="22"/>
        </w:rPr>
      </w:pPr>
    </w:p>
    <w:p w:rsidR="00EA037B" w:rsidRPr="00B023BA" w:rsidP="00EA037B">
      <w:pPr>
        <w:rPr>
          <w:szCs w:val="22"/>
        </w:rPr>
      </w:pPr>
      <w:r>
        <w:tab/>
      </w:r>
      <w:r>
        <w:tab/>
      </w:r>
      <w:r>
        <w:tab/>
      </w:r>
      <w:r>
        <w:tab/>
      </w:r>
      <w:r>
        <w:tab/>
      </w:r>
      <w:r>
        <w:tab/>
      </w:r>
      <w:r>
        <w:rPr>
          <w:szCs w:val="22"/>
        </w:rPr>
        <w:t>Albert Shuldiner</w:t>
      </w:r>
    </w:p>
    <w:p w:rsidR="00EA037B" w:rsidP="00EA037B">
      <w:pPr>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r>
        <w:rPr>
          <w:szCs w:val="22"/>
        </w:rPr>
        <w:t xml:space="preserve"> </w:t>
      </w:r>
      <w:r w:rsidRPr="00B023BA">
        <w:rPr>
          <w:szCs w:val="22"/>
        </w:rPr>
        <w:t xml:space="preserve">Chief, </w:t>
      </w:r>
      <w:r>
        <w:rPr>
          <w:szCs w:val="22"/>
        </w:rPr>
        <w:t>Audio Division</w:t>
      </w:r>
    </w:p>
    <w:p w:rsidR="00EA037B" w:rsidRPr="00B023BA" w:rsidP="00EA037B">
      <w:pPr>
        <w:ind w:left="3600" w:firstLine="720"/>
        <w:rPr>
          <w:szCs w:val="22"/>
        </w:rPr>
      </w:pPr>
      <w:r>
        <w:rPr>
          <w:szCs w:val="22"/>
        </w:rPr>
        <w:t xml:space="preserve"> </w:t>
      </w:r>
      <w:r w:rsidRPr="00B023BA">
        <w:rPr>
          <w:szCs w:val="22"/>
        </w:rPr>
        <w:t>Media Bureau</w:t>
      </w:r>
    </w:p>
    <w:p w:rsidR="003E1E2C" w:rsidP="00EA037B">
      <w:pPr>
        <w:tabs>
          <w:tab w:val="left" w:pos="0"/>
          <w:tab w:val="left" w:pos="2880"/>
        </w:tabs>
        <w:suppressAutoHyphens/>
        <w:jc w:val="both"/>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E2C">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ab/>
    </w:r>
    <w:r>
      <w:rPr>
        <w:rStyle w:val="PageNumb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79.25pt;height:636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FC4">
      <w:pPr>
        <w:rPr>
          <w:sz w:val="20"/>
        </w:rPr>
      </w:pPr>
      <w:r>
        <w:rPr>
          <w:sz w:val="20"/>
        </w:rPr>
        <w:separator/>
      </w:r>
    </w:p>
  </w:footnote>
  <w:footnote w:type="continuationSeparator" w:id="1">
    <w:p w:rsidR="00F37FC4">
      <w:pPr>
        <w:rPr>
          <w:sz w:val="20"/>
        </w:rPr>
      </w:pPr>
      <w:r>
        <w:rPr>
          <w:sz w:val="20"/>
        </w:rPr>
        <w:separator/>
      </w:r>
    </w:p>
    <w:p w:rsidR="00F37FC4">
      <w:pPr>
        <w:rPr>
          <w:sz w:val="20"/>
        </w:rPr>
      </w:pPr>
      <w:r>
        <w:rPr>
          <w:sz w:val="20"/>
        </w:rPr>
        <w:t>(...continued from previous page)</w:t>
      </w:r>
    </w:p>
  </w:footnote>
  <w:footnote w:type="continuationNotice" w:id="2">
    <w:p w:rsidR="00F37FC4">
      <w:pPr>
        <w:jc w:val="right"/>
        <w:rPr>
          <w:sz w:val="20"/>
        </w:rPr>
      </w:pPr>
      <w:r>
        <w:rPr>
          <w:sz w:val="20"/>
        </w:rPr>
        <w:t>(continued....)</w:t>
      </w:r>
    </w:p>
  </w:footnote>
  <w:footnote w:id="3">
    <w:p w:rsidR="0046707B">
      <w:pPr>
        <w:pStyle w:val="FootnoteText"/>
      </w:pPr>
      <w:r>
        <w:rPr>
          <w:rStyle w:val="FootnoteReference"/>
        </w:rPr>
        <w:footnoteRef/>
      </w:r>
      <w:r>
        <w:t xml:space="preserve"> </w:t>
      </w:r>
      <w:r w:rsidRPr="0038030B">
        <w:t>47 U.S.C. § 301.</w:t>
      </w:r>
    </w:p>
  </w:footnote>
  <w:footnote w:id="4">
    <w:p w:rsidR="006359A2" w:rsidRPr="0038030B" w:rsidP="006359A2">
      <w:pPr>
        <w:pStyle w:val="FootnoteText"/>
      </w:pPr>
      <w:r w:rsidRPr="0038030B">
        <w:rPr>
          <w:rStyle w:val="FootnoteReference"/>
        </w:rPr>
        <w:footnoteRef/>
      </w:r>
      <w:r w:rsidRPr="0038030B">
        <w:t xml:space="preserve"> 47 CFR § 73.1745(a).</w:t>
      </w:r>
    </w:p>
  </w:footnote>
  <w:footnote w:id="5">
    <w:p w:rsidR="00BC79FF" w:rsidRPr="0038030B" w:rsidP="00BC79FF">
      <w:pPr>
        <w:pStyle w:val="FootnoteText"/>
      </w:pPr>
      <w:r w:rsidRPr="0038030B">
        <w:rPr>
          <w:rStyle w:val="FootnoteReference"/>
        </w:rPr>
        <w:footnoteRef/>
      </w:r>
      <w:r w:rsidRPr="0038030B">
        <w:t xml:space="preserve"> 47 CFR § 73.1635(a)(1).</w:t>
      </w:r>
    </w:p>
  </w:footnote>
  <w:footnote w:id="6">
    <w:p w:rsidR="00BC79FF" w:rsidRPr="0038030B" w:rsidP="00BC79FF">
      <w:pPr>
        <w:pStyle w:val="FootnoteText"/>
      </w:pPr>
      <w:r w:rsidRPr="0038030B">
        <w:rPr>
          <w:rStyle w:val="FootnoteReference"/>
        </w:rPr>
        <w:footnoteRef/>
      </w:r>
      <w:r w:rsidRPr="0038030B">
        <w:t xml:space="preserve"> 47 CFR § 1.17.</w:t>
      </w:r>
    </w:p>
  </w:footnote>
  <w:footnote w:id="7">
    <w:p w:rsidR="003E1E2C">
      <w:pPr>
        <w:pStyle w:val="FootnoteText"/>
        <w:spacing w:after="100" w:afterAutospacing="1"/>
        <w:jc w:val="left"/>
      </w:pPr>
      <w:r>
        <w:rPr>
          <w:rStyle w:val="FootnoteReference"/>
        </w:rPr>
        <w:footnoteRef/>
      </w:r>
      <w:r>
        <w:t xml:space="preserve"> 47 CFR § 73.3539; 47 U.S.C. § 301.</w:t>
      </w:r>
    </w:p>
  </w:footnote>
  <w:footnote w:id="8">
    <w:p w:rsidR="003E1E2C">
      <w:pPr>
        <w:pStyle w:val="FootnoteText"/>
        <w:spacing w:after="100" w:afterAutospacing="1"/>
        <w:jc w:val="left"/>
      </w:pPr>
      <w:r>
        <w:rPr>
          <w:rStyle w:val="FootnoteReference"/>
        </w:rPr>
        <w:footnoteRef/>
      </w:r>
      <w:r>
        <w:t xml:space="preserve"> </w:t>
      </w:r>
      <w:r w:rsidRPr="00452E00" w:rsidR="00906451">
        <w:rPr>
          <w:i/>
        </w:rPr>
        <w:t>Roy E. Henderson</w:t>
      </w:r>
      <w:r>
        <w:t xml:space="preserve">, Memorandum Opinion and Order and Notice of Apparent Liability for Forfeiture, </w:t>
      </w:r>
      <w:r w:rsidR="00452E00">
        <w:t>DA 18-562</w:t>
      </w:r>
      <w:r w:rsidR="000D63D9">
        <w:t>,</w:t>
      </w:r>
      <w:r>
        <w:t xml:space="preserve"> (MB </w:t>
      </w:r>
      <w:r w:rsidR="00AF4630">
        <w:t xml:space="preserve">May 30, </w:t>
      </w:r>
      <w:r>
        <w:t>20</w:t>
      </w:r>
      <w:r w:rsidR="00452E00">
        <w:t>18</w:t>
      </w:r>
      <w:r>
        <w:t xml:space="preserve">).  </w:t>
      </w:r>
    </w:p>
  </w:footnote>
  <w:footnote w:id="9">
    <w:p w:rsidR="00B028A8" w:rsidRPr="0038030B" w:rsidP="008F5004">
      <w:pPr>
        <w:pStyle w:val="FootnoteText"/>
        <w:jc w:val="left"/>
      </w:pPr>
      <w:r w:rsidRPr="0038030B">
        <w:rPr>
          <w:rStyle w:val="FootnoteReference"/>
        </w:rPr>
        <w:footnoteRef/>
      </w:r>
      <w:r w:rsidRPr="0038030B">
        <w:t xml:space="preserve"> </w:t>
      </w:r>
      <w:r w:rsidRPr="008A5294" w:rsidR="008F5004">
        <w:rPr>
          <w:i/>
        </w:rPr>
        <w:t>See</w:t>
      </w:r>
      <w:r w:rsidR="008F5004">
        <w:t xml:space="preserve"> </w:t>
      </w:r>
      <w:r w:rsidRPr="0038030B" w:rsidR="008F5004">
        <w:t>Silent STA Application, Exhibit 1.</w:t>
      </w:r>
    </w:p>
  </w:footnote>
  <w:footnote w:id="10">
    <w:p w:rsidR="008F5004" w:rsidP="008F5004">
      <w:pPr>
        <w:pStyle w:val="FootnoteText"/>
        <w:jc w:val="left"/>
      </w:pPr>
      <w:r>
        <w:rPr>
          <w:rStyle w:val="FootnoteReference"/>
        </w:rPr>
        <w:footnoteRef/>
      </w:r>
      <w:r>
        <w:t xml:space="preserve"> </w:t>
      </w:r>
      <w:r w:rsidRPr="0038030B">
        <w:rPr>
          <w:i/>
        </w:rPr>
        <w:t>Letter to Roy E. Henderson from Peter H. Doyle, Chief, Audio Division</w:t>
      </w:r>
      <w:r w:rsidRPr="0038030B">
        <w:t xml:space="preserve">, </w:t>
      </w:r>
      <w:r w:rsidRPr="0038030B">
        <w:rPr>
          <w:i/>
        </w:rPr>
        <w:t>Media Bureau,</w:t>
      </w:r>
      <w:r w:rsidRPr="0038030B">
        <w:t xml:space="preserve"> Ref. 1800B3-VM </w:t>
      </w:r>
      <w:r>
        <w:t>(May 25, 2016)</w:t>
      </w:r>
      <w:r w:rsidRPr="0038030B">
        <w:t>.</w:t>
      </w:r>
    </w:p>
  </w:footnote>
  <w:footnote w:id="11">
    <w:p w:rsidR="00870869" w:rsidRPr="0038030B" w:rsidP="00870869">
      <w:pPr>
        <w:pStyle w:val="FootnoteText"/>
        <w:jc w:val="left"/>
      </w:pPr>
      <w:r w:rsidRPr="0038030B">
        <w:rPr>
          <w:rStyle w:val="FootnoteReference"/>
        </w:rPr>
        <w:footnoteRef/>
      </w:r>
      <w:r w:rsidRPr="0038030B">
        <w:t xml:space="preserve"> WBNZ(FM) Response at 1, dated July 22, 2016, and received July 25, 2016, (July 2016 Response).  </w:t>
      </w:r>
      <w:r w:rsidRPr="0038030B">
        <w:rPr>
          <w:i/>
        </w:rPr>
        <w:t>See also</w:t>
      </w:r>
      <w:r w:rsidRPr="0038030B">
        <w:t xml:space="preserve"> “Resumption of Operations” filed July 20, 2016.</w:t>
      </w:r>
    </w:p>
  </w:footnote>
  <w:footnote w:id="12">
    <w:p w:rsidR="000D63D9" w:rsidRPr="0038030B" w:rsidP="000D63D9">
      <w:pPr>
        <w:pStyle w:val="FootnoteText"/>
      </w:pPr>
      <w:r w:rsidRPr="0038030B">
        <w:rPr>
          <w:rStyle w:val="FootnoteReference"/>
        </w:rPr>
        <w:footnoteRef/>
      </w:r>
      <w:r w:rsidRPr="0038030B">
        <w:t xml:space="preserve"> BSTA-20160912AAZ</w:t>
      </w:r>
      <w:r>
        <w:t xml:space="preserve">, </w:t>
      </w:r>
      <w:r w:rsidRPr="0038030B">
        <w:t xml:space="preserve">Exhibit </w:t>
      </w:r>
      <w:r>
        <w:t xml:space="preserve">4, </w:t>
      </w:r>
      <w:r w:rsidRPr="0038030B">
        <w:t>(Engineering STA Application).</w:t>
      </w:r>
      <w:r>
        <w:t xml:space="preserve"> The staff granted the Engineering STA Application on February 26, 2018. </w:t>
      </w:r>
      <w:r w:rsidRPr="0038030B">
        <w:rPr>
          <w:i/>
        </w:rPr>
        <w:t xml:space="preserve">See </w:t>
      </w:r>
      <w:r w:rsidRPr="0038030B">
        <w:t>E-mail to Licensee’s counsel from Dale Bickel, Senior Electronics Engineer, Audio Division, Media Bureau (Feb. 26, 2018, 12:26 p.m.).</w:t>
      </w:r>
    </w:p>
  </w:footnote>
  <w:footnote w:id="13">
    <w:p w:rsidR="003E1E2C">
      <w:pPr>
        <w:pStyle w:val="FootnoteText"/>
        <w:spacing w:after="100" w:afterAutospacing="1"/>
        <w:jc w:val="left"/>
      </w:pPr>
      <w:r>
        <w:rPr>
          <w:rStyle w:val="FootnoteReference"/>
        </w:rPr>
        <w:footnoteRef/>
      </w:r>
      <w:r>
        <w:t xml:space="preserve"> 47 U.S.C. § 503(b).</w:t>
      </w:r>
    </w:p>
  </w:footnote>
  <w:footnote w:id="14">
    <w:p w:rsidR="003E1E2C">
      <w:pPr>
        <w:pStyle w:val="FootnoteText"/>
        <w:spacing w:after="100" w:afterAutospacing="1"/>
        <w:jc w:val="left"/>
      </w:pPr>
      <w:r>
        <w:rPr>
          <w:rStyle w:val="FootnoteReference"/>
        </w:rPr>
        <w:footnoteRef/>
      </w:r>
      <w:r>
        <w:t xml:space="preserve"> 47 CFR § 1.80. </w:t>
      </w:r>
    </w:p>
  </w:footnote>
  <w:footnote w:id="15">
    <w:p w:rsidR="003E1E2C">
      <w:pPr>
        <w:pStyle w:val="FootnoteText"/>
        <w:spacing w:after="100" w:afterAutospacing="1"/>
        <w:jc w:val="left"/>
      </w:pPr>
      <w:r>
        <w:rPr>
          <w:rStyle w:val="FootnoteReference"/>
        </w:rPr>
        <w:footnoteRef/>
      </w:r>
      <w:r>
        <w:t xml:space="preserve"> </w:t>
      </w:r>
      <w:r>
        <w:rPr>
          <w:i/>
        </w:rPr>
        <w:t>The Commission’s Forfeiture Policy Statement and Amendment of Section 1.80 of the Rules to Incorporate the Forfeiture Guidelines</w:t>
      </w:r>
      <w:r>
        <w:t xml:space="preserve">, Report and Order, 12 FCC Rcd 17087 (1997), </w:t>
      </w:r>
      <w:r>
        <w:rPr>
          <w:i/>
        </w:rPr>
        <w:t>recon. denied</w:t>
      </w:r>
      <w:r>
        <w:t xml:space="preserve">, 15 FCC Rcd 303 (1999).  </w:t>
      </w:r>
    </w:p>
  </w:footnote>
  <w:footnote w:id="16">
    <w:p w:rsidR="003E1E2C">
      <w:pPr>
        <w:pStyle w:val="FootnoteText"/>
        <w:spacing w:after="100" w:afterAutospacing="1"/>
        <w:jc w:val="left"/>
      </w:pPr>
      <w:r>
        <w:rPr>
          <w:rStyle w:val="FootnoteReference"/>
        </w:rPr>
        <w:footnoteRef/>
      </w:r>
      <w:r>
        <w:t xml:space="preserve"> 47 U.S.C. § 503(b)(2)(E).</w:t>
      </w:r>
    </w:p>
  </w:footnote>
  <w:footnote w:id="17">
    <w:p w:rsidR="003E1E2C">
      <w:pPr>
        <w:pStyle w:val="FootnoteText"/>
        <w:spacing w:after="100" w:afterAutospacing="1"/>
        <w:jc w:val="lef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iCs/>
        </w:rPr>
        <w:t>Southern California Broad</w:t>
      </w:r>
      <w:r w:rsidR="00B205F4">
        <w:rPr>
          <w:i/>
          <w:iCs/>
        </w:rPr>
        <w:t>.</w:t>
      </w:r>
      <w:r>
        <w:rPr>
          <w:i/>
          <w:iCs/>
        </w:rPr>
        <w:t xml:space="preserve"> Co.,</w:t>
      </w:r>
      <w:r>
        <w:t xml:space="preserve"> Memorandum Opinion and Order, 6 FCC Rcd 4387, 4387-88</w:t>
      </w:r>
      <w:r w:rsidR="003B13F5">
        <w:t xml:space="preserve">, para. </w:t>
      </w:r>
      <w:r w:rsidR="0056178C">
        <w:t>5</w:t>
      </w:r>
      <w:r w:rsidR="003B13F5">
        <w:t xml:space="preserve"> (</w:t>
      </w:r>
      <w:r w:rsidR="0056178C">
        <w:t>1991</w:t>
      </w:r>
      <w:r w:rsidR="003B13F5">
        <w:t>) (</w:t>
      </w:r>
      <w:r w:rsidR="003B13F5">
        <w:rPr>
          <w:i/>
        </w:rPr>
        <w:t>Southern California</w:t>
      </w:r>
      <w:r w:rsidR="003B13F5">
        <w:t>)</w:t>
      </w:r>
      <w:r>
        <w:t>.</w:t>
      </w:r>
    </w:p>
  </w:footnote>
  <w:footnote w:id="18">
    <w:p w:rsidR="00452E00" w:rsidP="00452E00">
      <w:pPr>
        <w:pStyle w:val="FootnoteText"/>
        <w:spacing w:after="100" w:afterAutospacing="1"/>
        <w:jc w:val="left"/>
      </w:pPr>
      <w:r>
        <w:rPr>
          <w:rStyle w:val="FootnoteReference"/>
        </w:rPr>
        <w:footnoteRef/>
      </w:r>
      <w:r>
        <w:t xml:space="preserve"> Section 312(f)(2) of the Act defines “repeated” as “the commission or omission of [any] act more than once or, if such commission or omission is continuous, for more than one day.” 47 U.S.C. § 312(f)(2).  </w:t>
      </w:r>
      <w:r>
        <w:rPr>
          <w:i/>
        </w:rPr>
        <w:t>See also Southern California</w:t>
      </w:r>
      <w:r>
        <w:t>, 6 FCC Rcd at 4388</w:t>
      </w:r>
      <w:r w:rsidR="00FD085F">
        <w:t xml:space="preserve">, para. </w:t>
      </w:r>
      <w:r w:rsidR="0056178C">
        <w:t>5</w:t>
      </w:r>
      <w:r>
        <w:t xml:space="preserve"> (applying this definition of repeated to Sections 312 and 503(b) of the Act). </w:t>
      </w:r>
    </w:p>
  </w:footnote>
  <w:footnote w:id="19">
    <w:p w:rsidR="003E1E2C">
      <w:pPr>
        <w:pStyle w:val="FootnoteText"/>
        <w:jc w:val="left"/>
      </w:pPr>
      <w:r>
        <w:rPr>
          <w:rStyle w:val="FootnoteReference"/>
        </w:rPr>
        <w:footnoteRef/>
      </w:r>
      <w:r>
        <w:t xml:space="preserve"> </w:t>
      </w:r>
      <w:r>
        <w:rPr>
          <w:i/>
          <w:iCs/>
          <w:color w:val="000000"/>
        </w:rPr>
        <w:t xml:space="preserve">See, </w:t>
      </w:r>
      <w:r w:rsidR="00B205F4">
        <w:rPr>
          <w:i/>
          <w:iCs/>
          <w:color w:val="000000"/>
        </w:rPr>
        <w:t xml:space="preserve">supra </w:t>
      </w:r>
      <w:r w:rsidR="00B205F4">
        <w:rPr>
          <w:iCs/>
          <w:color w:val="000000"/>
        </w:rPr>
        <w:t>note 6</w:t>
      </w:r>
      <w:r>
        <w:rPr>
          <w:color w:val="000000"/>
        </w:rPr>
        <w:t>.</w:t>
      </w:r>
    </w:p>
  </w:footnote>
  <w:footnote w:id="20">
    <w:p w:rsidR="003E1E2C">
      <w:pPr>
        <w:pStyle w:val="FootnoteText"/>
        <w:spacing w:after="100" w:afterAutospacing="1"/>
        <w:jc w:val="left"/>
      </w:pPr>
      <w:r>
        <w:rPr>
          <w:rStyle w:val="FootnoteReference"/>
        </w:rPr>
        <w:footnoteRef/>
      </w:r>
      <w:r>
        <w:t xml:space="preserve"> 47 U.S.C. § 503(b); 47 CFR §§ 0.283, 1.80.</w:t>
      </w:r>
    </w:p>
  </w:footnote>
  <w:footnote w:id="21">
    <w:p w:rsidR="003E1E2C">
      <w:pPr>
        <w:pStyle w:val="FootnoteText"/>
        <w:spacing w:after="100" w:afterAutospacing="1"/>
        <w:jc w:val="left"/>
      </w:pPr>
      <w:r>
        <w:rPr>
          <w:rStyle w:val="FootnoteReference"/>
        </w:rPr>
        <w:footnoteRef/>
      </w:r>
      <w:r>
        <w:t xml:space="preserve"> 47 U.S.C. § 504(a).</w:t>
      </w:r>
    </w:p>
  </w:footnote>
  <w:footnote w:id="22">
    <w:p w:rsidR="00512900" w:rsidRPr="0038030B" w:rsidP="00512900">
      <w:pPr>
        <w:pStyle w:val="FootnoteText"/>
      </w:pPr>
      <w:r w:rsidRPr="0038030B">
        <w:rPr>
          <w:rStyle w:val="FootnoteReference"/>
        </w:rPr>
        <w:footnoteRef/>
      </w:r>
      <w:r w:rsidRPr="0038030B">
        <w:t xml:space="preserve"> </w:t>
      </w:r>
      <w:r w:rsidRPr="0038030B">
        <w:rPr>
          <w:i/>
        </w:rPr>
        <w:t>See</w:t>
      </w:r>
      <w:r w:rsidRPr="003803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E2C">
    <w:pPr>
      <w:pStyle w:val="Header"/>
      <w:tabs>
        <w:tab w:val="clear" w:pos="4320"/>
        <w:tab w:val="center" w:pos="4680"/>
        <w:tab w:val="clear" w:pos="8640"/>
        <w:tab w:val="right" w:pos="9360"/>
      </w:tabs>
      <w:rPr>
        <w:b/>
      </w:rPr>
    </w:pPr>
    <w:r>
      <w:rPr>
        <w:b/>
      </w:rPr>
      <w:tab/>
      <w:t>Federal Communications Commission</w:t>
    </w:r>
    <w:r>
      <w:rPr>
        <w:b/>
      </w:rPr>
      <w:tab/>
      <w:t xml:space="preserve">DA </w:t>
    </w:r>
    <w:r w:rsidR="001E7EA4">
      <w:rPr>
        <w:b/>
      </w:rPr>
      <w:t>18-776</w:t>
    </w:r>
  </w:p>
  <w:p w:rsidR="003E1E2C" w:rsidP="008A5294">
    <w:pPr>
      <w:pStyle w:val="Header"/>
    </w:pPr>
    <w:r>
      <w:rPr>
        <w:noProof/>
      </w:rPr>
      <w:pict>
        <v:line id="_x0000_s2049" style="position:absolute;z-index:251659264" from="0,1.75pt" to="468pt,1.75pt" o:allowincell="f"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E2C">
    <w:pPr>
      <w:pStyle w:val="Header"/>
      <w:tabs>
        <w:tab w:val="clear" w:pos="4320"/>
        <w:tab w:val="center" w:pos="4680"/>
        <w:tab w:val="clear" w:pos="8640"/>
        <w:tab w:val="right" w:pos="9360"/>
      </w:tabs>
      <w:rPr>
        <w:b/>
      </w:rPr>
    </w:pPr>
    <w:r>
      <w:rPr>
        <w:b/>
      </w:rPr>
      <w:tab/>
      <w:t>Federal Communications Commission</w:t>
    </w:r>
    <w:r>
      <w:rPr>
        <w:b/>
      </w:rPr>
      <w:tab/>
      <w:t>DA 1</w:t>
    </w:r>
    <w:r w:rsidR="00431EF4">
      <w:rPr>
        <w:b/>
      </w:rPr>
      <w:t>8</w:t>
    </w:r>
    <w:r>
      <w:rPr>
        <w:b/>
      </w:rPr>
      <w:t>-</w:t>
    </w:r>
    <w:r w:rsidR="001E7EA4">
      <w:rPr>
        <w:b/>
      </w:rPr>
      <w:t>776</w:t>
    </w:r>
    <w:r>
      <w:rPr>
        <w:b/>
      </w:rPr>
      <w:t xml:space="preserve"> </w:t>
    </w:r>
  </w:p>
  <w:p w:rsidR="003E1E2C">
    <w:pPr>
      <w:pStyle w:val="Header"/>
      <w:tabs>
        <w:tab w:val="clear" w:pos="8640"/>
        <w:tab w:val="right" w:pos="9360"/>
      </w:tabs>
    </w:pPr>
    <w:r>
      <w:rPr>
        <w:noProof/>
      </w:rPr>
      <w:pict>
        <v:line id="_x0000_s2051"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C2B4FD1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Footnote Text Char Char,Footnote Text Char Char Char Char,Footnote Text Char1,Footnote Text Char1 Char Char,Footnote Text Char2 Char,f,rrfootnote,rrfootnote Char Char,rrfootnote Char Char Char Char,rrfootnote Char1 Char Char"/>
    <w:basedOn w:val="Normal"/>
    <w:link w:val="FootnoteTextChar"/>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 Char,Footnote Text Char Char Char,Footnote Text Char Char Char Char Char,Footnote Text Char1 Char,Footnote Text Char1 Char Char Char,rrfootnote Char,rrfootnote Char Char Char,rrfootnote Char Char Char Char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documentbody5">
    <w:name w:val="documentbody5"/>
    <w:rPr>
      <w:rFonts w:ascii="Verdana" w:hAnsi="Verdana" w:hint="default"/>
      <w:sz w:val="19"/>
      <w:szCs w:val="19"/>
    </w:rPr>
  </w:style>
  <w:style w:type="character" w:styleId="Hyperlink">
    <w:name w:val="Hyperlink"/>
    <w:rPr>
      <w:color w:val="0000FF"/>
      <w:u w:val="single"/>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 Char4 Char Char Char,Footnote Text Char4 Char1 Char Char Char,Footnote Text Char7 Char Char Char,Footnote Text Char7 Char Char Char Char Char Char,f Char"/>
    <w:rsid w:val="00BC79FF"/>
    <w:rPr>
      <w:lang w:val="en-US" w:eastAsia="en-US" w:bidi="ar-SA"/>
    </w:rPr>
  </w:style>
  <w:style w:type="character" w:styleId="CommentReference">
    <w:name w:val="annotation reference"/>
    <w:rsid w:val="00897C2A"/>
    <w:rPr>
      <w:sz w:val="16"/>
      <w:szCs w:val="16"/>
    </w:rPr>
  </w:style>
  <w:style w:type="paragraph" w:styleId="CommentText">
    <w:name w:val="annotation text"/>
    <w:basedOn w:val="Normal"/>
    <w:link w:val="CommentTextChar"/>
    <w:rsid w:val="00897C2A"/>
    <w:rPr>
      <w:sz w:val="20"/>
    </w:rPr>
  </w:style>
  <w:style w:type="character" w:customStyle="1" w:styleId="CommentTextChar">
    <w:name w:val="Comment Text Char"/>
    <w:basedOn w:val="DefaultParagraphFont"/>
    <w:link w:val="CommentText"/>
    <w:rsid w:val="00897C2A"/>
  </w:style>
  <w:style w:type="paragraph" w:styleId="CommentSubject">
    <w:name w:val="annotation subject"/>
    <w:basedOn w:val="CommentText"/>
    <w:next w:val="CommentText"/>
    <w:link w:val="CommentSubjectChar"/>
    <w:rsid w:val="00897C2A"/>
    <w:rPr>
      <w:b/>
      <w:bCs/>
    </w:rPr>
  </w:style>
  <w:style w:type="character" w:customStyle="1" w:styleId="CommentSubjectChar">
    <w:name w:val="Comment Subject Char"/>
    <w:link w:val="CommentSubject"/>
    <w:rsid w:val="00897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