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02A42">
      <w:pPr>
        <w:jc w:val="center"/>
        <w:rPr>
          <w:b/>
        </w:rPr>
      </w:pPr>
      <w:bookmarkStart w:id="0" w:name="_GoBack"/>
      <w:bookmarkEnd w:id="0"/>
      <w:r>
        <w:rPr>
          <w:b/>
        </w:rPr>
        <w:t>Before the</w:t>
      </w:r>
    </w:p>
    <w:p w:rsidR="00B02A42">
      <w:pPr>
        <w:jc w:val="center"/>
        <w:rPr>
          <w:b/>
        </w:rPr>
      </w:pPr>
      <w:r>
        <w:rPr>
          <w:b/>
        </w:rPr>
        <w:t>Federal Communications Commission</w:t>
      </w:r>
    </w:p>
    <w:p w:rsidR="00B02A42">
      <w:pPr>
        <w:jc w:val="center"/>
        <w:rPr>
          <w:b/>
        </w:rPr>
      </w:pPr>
      <w:r>
        <w:rPr>
          <w:b/>
        </w:rPr>
        <w:t>Washington, D.C. 20554</w:t>
      </w:r>
    </w:p>
    <w:p w:rsidR="00B02A42">
      <w:pPr>
        <w:jc w:val="center"/>
        <w:rPr>
          <w:b/>
        </w:rPr>
      </w:pPr>
    </w:p>
    <w:p w:rsidR="00B02A42"/>
    <w:tbl>
      <w:tblPr>
        <w:tblW w:w="9396" w:type="dxa"/>
        <w:tblInd w:w="-90" w:type="dxa"/>
        <w:tblLayout w:type="fixed"/>
        <w:tblLook w:val="0000"/>
      </w:tblPr>
      <w:tblGrid>
        <w:gridCol w:w="4950"/>
        <w:gridCol w:w="4446"/>
      </w:tblGrid>
      <w:tr w:rsidTr="00B06C4E">
        <w:tblPrEx>
          <w:tblW w:w="9396" w:type="dxa"/>
          <w:tblInd w:w="-90" w:type="dxa"/>
          <w:tblLayout w:type="fixed"/>
          <w:tblLook w:val="0000"/>
        </w:tblPrEx>
        <w:tc>
          <w:tcPr>
            <w:tcW w:w="4950" w:type="dxa"/>
          </w:tcPr>
          <w:p w:rsidR="00094BF2" w:rsidP="00094BF2">
            <w:pPr>
              <w:tabs>
                <w:tab w:val="center" w:pos="4680"/>
              </w:tabs>
              <w:suppressAutoHyphens/>
              <w:rPr>
                <w:spacing w:val="-2"/>
              </w:rPr>
            </w:pPr>
            <w:r w:rsidRPr="001106B2">
              <w:rPr>
                <w:spacing w:val="-2"/>
              </w:rPr>
              <w:t>In the Matter of</w:t>
            </w:r>
          </w:p>
          <w:p w:rsidR="00094BF2" w:rsidP="00094BF2">
            <w:pPr>
              <w:tabs>
                <w:tab w:val="center" w:pos="4680"/>
              </w:tabs>
              <w:suppressAutoHyphens/>
              <w:rPr>
                <w:spacing w:val="-2"/>
              </w:rPr>
            </w:pPr>
          </w:p>
          <w:p w:rsidR="00094BF2" w:rsidP="00094BF2">
            <w:pPr>
              <w:tabs>
                <w:tab w:val="center" w:pos="4680"/>
              </w:tabs>
              <w:suppressAutoHyphens/>
              <w:rPr>
                <w:spacing w:val="-2"/>
              </w:rPr>
            </w:pPr>
            <w:r w:rsidRPr="00B446DA">
              <w:t xml:space="preserve">Applications of </w:t>
            </w:r>
            <w:r w:rsidRPr="00741135">
              <w:rPr>
                <w:szCs w:val="22"/>
              </w:rPr>
              <w:t>T-Mobile US, Inc.</w:t>
            </w:r>
            <w:r w:rsidR="009919AC">
              <w:rPr>
                <w:szCs w:val="22"/>
              </w:rPr>
              <w:t>,</w:t>
            </w:r>
          </w:p>
          <w:p w:rsidR="00094BF2" w:rsidP="00094BF2">
            <w:pPr>
              <w:tabs>
                <w:tab w:val="center" w:pos="4680"/>
              </w:tabs>
              <w:suppressAutoHyphens/>
              <w:rPr>
                <w:spacing w:val="-2"/>
              </w:rPr>
            </w:pPr>
          </w:p>
          <w:p w:rsidR="00094BF2" w:rsidP="00094BF2">
            <w:pPr>
              <w:tabs>
                <w:tab w:val="center" w:pos="4680"/>
              </w:tabs>
              <w:suppressAutoHyphens/>
              <w:rPr>
                <w:spacing w:val="-2"/>
              </w:rPr>
            </w:pPr>
            <w:r>
              <w:rPr>
                <w:spacing w:val="-2"/>
              </w:rPr>
              <w:t>and</w:t>
            </w:r>
          </w:p>
          <w:p w:rsidR="00094BF2" w:rsidRPr="001106B2" w:rsidP="00094BF2">
            <w:pPr>
              <w:tabs>
                <w:tab w:val="center" w:pos="4680"/>
              </w:tabs>
              <w:suppressAutoHyphens/>
              <w:rPr>
                <w:spacing w:val="-2"/>
              </w:rPr>
            </w:pPr>
          </w:p>
          <w:p w:rsidR="00094BF2" w:rsidP="00094BF2">
            <w:pPr>
              <w:tabs>
                <w:tab w:val="center" w:pos="4680"/>
              </w:tabs>
              <w:suppressAutoHyphens/>
              <w:rPr>
                <w:spacing w:val="-2"/>
              </w:rPr>
            </w:pPr>
            <w:r>
              <w:rPr>
                <w:szCs w:val="22"/>
              </w:rPr>
              <w:t>Sprint Corporation</w:t>
            </w:r>
          </w:p>
          <w:p w:rsidR="00094BF2" w:rsidRPr="001106B2" w:rsidP="00094BF2">
            <w:pPr>
              <w:tabs>
                <w:tab w:val="center" w:pos="4680"/>
              </w:tabs>
              <w:suppressAutoHyphens/>
              <w:rPr>
                <w:spacing w:val="-2"/>
              </w:rPr>
            </w:pPr>
          </w:p>
          <w:p w:rsidR="00094BF2" w:rsidRPr="001106B2" w:rsidP="00B06C4E">
            <w:r>
              <w:t>F</w:t>
            </w:r>
            <w:r>
              <w:t xml:space="preserve">or Consent To Transfer Control of Licenses and Authorizations </w:t>
            </w:r>
          </w:p>
        </w:tc>
        <w:tc>
          <w:tcPr>
            <w:tcW w:w="4446" w:type="dxa"/>
          </w:tcPr>
          <w:p w:rsidR="00094BF2" w:rsidRPr="001106B2" w:rsidP="00094BF2">
            <w:pPr>
              <w:rPr>
                <w:b/>
              </w:rPr>
            </w:pPr>
            <w:r w:rsidRPr="001106B2">
              <w:rPr>
                <w:b/>
              </w:rPr>
              <w:t>)</w:t>
            </w:r>
          </w:p>
          <w:p w:rsidR="00094BF2" w:rsidRPr="001106B2" w:rsidP="00094BF2">
            <w:pPr>
              <w:rPr>
                <w:b/>
              </w:rPr>
            </w:pPr>
            <w:r w:rsidRPr="001106B2">
              <w:rPr>
                <w:b/>
              </w:rPr>
              <w:t>)</w:t>
            </w:r>
          </w:p>
          <w:p w:rsidR="00094BF2" w:rsidRPr="001106B2" w:rsidP="00094BF2">
            <w:r w:rsidRPr="001106B2">
              <w:rPr>
                <w:b/>
              </w:rPr>
              <w:t>)</w:t>
            </w:r>
          </w:p>
          <w:p w:rsidR="00094BF2" w:rsidRPr="00F44475" w:rsidP="00094BF2">
            <w:r w:rsidRPr="001106B2">
              <w:rPr>
                <w:b/>
              </w:rPr>
              <w:t>)</w:t>
            </w:r>
            <w:r>
              <w:rPr>
                <w:b/>
              </w:rPr>
              <w:t xml:space="preserve">      </w:t>
            </w:r>
            <w:r w:rsidRPr="00C511B4">
              <w:t>W</w:t>
            </w:r>
            <w:r>
              <w:t>T Docket No. 18-197</w:t>
            </w:r>
          </w:p>
          <w:p w:rsidR="00094BF2" w:rsidRPr="001106B2" w:rsidP="00094BF2">
            <w:pPr>
              <w:rPr>
                <w:b/>
              </w:rPr>
            </w:pPr>
            <w:r w:rsidRPr="001106B2">
              <w:rPr>
                <w:b/>
              </w:rPr>
              <w:t>)</w:t>
            </w:r>
          </w:p>
          <w:p w:rsidR="00094BF2" w:rsidP="00094BF2">
            <w:pPr>
              <w:rPr>
                <w:b/>
              </w:rPr>
            </w:pPr>
            <w:r w:rsidRPr="001106B2">
              <w:rPr>
                <w:b/>
              </w:rPr>
              <w:t>)</w:t>
            </w:r>
          </w:p>
          <w:p w:rsidR="00094BF2" w:rsidP="00094BF2">
            <w:pPr>
              <w:rPr>
                <w:b/>
              </w:rPr>
            </w:pPr>
            <w:r>
              <w:rPr>
                <w:b/>
              </w:rPr>
              <w:t>)</w:t>
            </w:r>
          </w:p>
          <w:p w:rsidR="00094BF2" w:rsidRPr="001106B2" w:rsidP="00094BF2">
            <w:pPr>
              <w:rPr>
                <w:b/>
              </w:rPr>
            </w:pPr>
            <w:r>
              <w:rPr>
                <w:b/>
              </w:rPr>
              <w:t>)</w:t>
            </w:r>
          </w:p>
          <w:p w:rsidR="00094BF2" w:rsidP="00094BF2">
            <w:pPr>
              <w:rPr>
                <w:b/>
              </w:rPr>
            </w:pPr>
            <w:r>
              <w:rPr>
                <w:b/>
              </w:rPr>
              <w:t>)</w:t>
            </w:r>
          </w:p>
          <w:p w:rsidR="00094BF2" w:rsidP="00094BF2">
            <w:pPr>
              <w:rPr>
                <w:b/>
              </w:rPr>
            </w:pPr>
            <w:r>
              <w:rPr>
                <w:b/>
              </w:rPr>
              <w:t>)</w:t>
            </w:r>
          </w:p>
          <w:p w:rsidR="00094BF2" w:rsidRPr="001106B2" w:rsidP="00094BF2">
            <w:pPr>
              <w:rPr>
                <w:b/>
              </w:rPr>
            </w:pPr>
          </w:p>
        </w:tc>
      </w:tr>
    </w:tbl>
    <w:p w:rsidR="00862858">
      <w:pPr>
        <w:snapToGrid w:val="0"/>
        <w:jc w:val="center"/>
        <w:rPr>
          <w:b/>
          <w:bCs/>
          <w:szCs w:val="22"/>
        </w:rPr>
      </w:pPr>
    </w:p>
    <w:p w:rsidR="00B02A42">
      <w:pPr>
        <w:snapToGrid w:val="0"/>
        <w:jc w:val="center"/>
        <w:rPr>
          <w:b/>
          <w:bCs/>
          <w:szCs w:val="22"/>
        </w:rPr>
      </w:pPr>
      <w:r>
        <w:rPr>
          <w:b/>
          <w:bCs/>
          <w:szCs w:val="22"/>
        </w:rPr>
        <w:t>NRUF/LNP PROTECTIVE ORDER</w:t>
      </w:r>
    </w:p>
    <w:p w:rsidR="00B02A42" w:rsidP="00F305EB">
      <w:pPr>
        <w:rPr>
          <w:szCs w:val="22"/>
        </w:rPr>
      </w:pPr>
    </w:p>
    <w:p w:rsidR="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094BF2">
        <w:rPr>
          <w:b/>
          <w:bCs/>
          <w:spacing w:val="-2"/>
          <w:szCs w:val="22"/>
        </w:rPr>
        <w:t>July</w:t>
      </w:r>
      <w:r w:rsidR="00AF5A0A">
        <w:rPr>
          <w:b/>
          <w:bCs/>
          <w:spacing w:val="-2"/>
          <w:szCs w:val="22"/>
        </w:rPr>
        <w:t xml:space="preserve"> </w:t>
      </w:r>
      <w:r w:rsidR="008B0B8E">
        <w:rPr>
          <w:b/>
          <w:bCs/>
          <w:spacing w:val="-2"/>
          <w:szCs w:val="22"/>
        </w:rPr>
        <w:t>26</w:t>
      </w:r>
      <w:r w:rsidRPr="006D7F76">
        <w:rPr>
          <w:b/>
          <w:bCs/>
          <w:spacing w:val="-2"/>
          <w:szCs w:val="22"/>
        </w:rPr>
        <w:t>, 201</w:t>
      </w:r>
      <w:r w:rsidR="00555D00">
        <w:rPr>
          <w:b/>
          <w:bCs/>
          <w:spacing w:val="-2"/>
          <w:szCs w:val="22"/>
        </w:rPr>
        <w:t>8</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094BF2">
        <w:rPr>
          <w:b/>
          <w:bCs/>
          <w:spacing w:val="-2"/>
          <w:szCs w:val="22"/>
        </w:rPr>
        <w:t>July</w:t>
      </w:r>
      <w:r w:rsidR="00AF5A0A">
        <w:rPr>
          <w:b/>
          <w:bCs/>
          <w:spacing w:val="-2"/>
          <w:szCs w:val="22"/>
        </w:rPr>
        <w:t xml:space="preserve"> </w:t>
      </w:r>
      <w:r w:rsidR="008B0B8E">
        <w:rPr>
          <w:b/>
          <w:bCs/>
          <w:spacing w:val="-2"/>
          <w:szCs w:val="22"/>
        </w:rPr>
        <w:t>26</w:t>
      </w:r>
      <w:r w:rsidR="00094BF2">
        <w:rPr>
          <w:b/>
          <w:bCs/>
          <w:spacing w:val="-2"/>
          <w:szCs w:val="22"/>
        </w:rPr>
        <w:t>,</w:t>
      </w:r>
      <w:r w:rsidRPr="006D7F76">
        <w:rPr>
          <w:b/>
          <w:bCs/>
          <w:spacing w:val="-2"/>
          <w:szCs w:val="22"/>
        </w:rPr>
        <w:t xml:space="preserve"> 201</w:t>
      </w:r>
      <w:r w:rsidR="00555D00">
        <w:rPr>
          <w:b/>
          <w:bCs/>
          <w:spacing w:val="-2"/>
          <w:szCs w:val="22"/>
        </w:rPr>
        <w:t>8</w:t>
      </w:r>
    </w:p>
    <w:p w:rsidR="00B02A42">
      <w:pPr>
        <w:snapToGrid w:val="0"/>
        <w:spacing w:line="225" w:lineRule="auto"/>
        <w:rPr>
          <w:szCs w:val="22"/>
        </w:rPr>
      </w:pPr>
    </w:p>
    <w:p w:rsidR="00B02A42">
      <w:pPr>
        <w:snapToGrid w:val="0"/>
        <w:rPr>
          <w:szCs w:val="22"/>
        </w:rPr>
      </w:pPr>
      <w:r>
        <w:rPr>
          <w:szCs w:val="22"/>
        </w:rPr>
        <w:t>By the Chief, Wireless Telecommunications Bureau:</w:t>
      </w:r>
    </w:p>
    <w:p w:rsidR="00B02A42">
      <w:pPr>
        <w:snapToGrid w:val="0"/>
        <w:rPr>
          <w:szCs w:val="22"/>
        </w:rPr>
      </w:pPr>
    </w:p>
    <w:p w:rsidR="00B02A42" w:rsidP="009919AC">
      <w:pPr>
        <w:pStyle w:val="ParaNum"/>
        <w:widowControl/>
        <w:tabs>
          <w:tab w:val="clear" w:pos="126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2"/>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P="009919AC">
      <w:pPr>
        <w:pStyle w:val="ParaNum"/>
        <w:widowControl/>
        <w:tabs>
          <w:tab w:val="clear" w:pos="1260"/>
          <w:tab w:val="num" w:pos="144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Pr>
          <w:rStyle w:val="FootnoteReference"/>
          <w:sz w:val="20"/>
        </w:rPr>
        <w:footnoteReference w:id="3"/>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4"/>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5"/>
      </w:r>
    </w:p>
    <w:p w:rsidR="00B02A42" w:rsidP="009919AC">
      <w:pPr>
        <w:pStyle w:val="ParaNum"/>
        <w:widowControl/>
        <w:tabs>
          <w:tab w:val="clear" w:pos="126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 w:val="20"/>
        </w:rPr>
        <w:footnoteReference w:id="6"/>
      </w:r>
      <w:r>
        <w:t xml:space="preserve"> the NRUF reports and LNP data will not be available to the public except pursuant to the 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sz w:val="20"/>
        </w:rPr>
        <w:footnoteReference w:id="7"/>
      </w:r>
    </w:p>
    <w:p w:rsidR="00B02A42" w:rsidP="00B06C4E">
      <w:pPr>
        <w:pStyle w:val="ParaNum"/>
        <w:widowControl/>
        <w:tabs>
          <w:tab w:val="clear" w:pos="126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P="00B06C4E">
      <w:pPr>
        <w:tabs>
          <w:tab w:val="left" w:pos="1440"/>
        </w:tabs>
        <w:snapToGrid w:val="0"/>
        <w:spacing w:after="120"/>
        <w:ind w:firstLine="720"/>
        <w:rPr>
          <w:szCs w:val="22"/>
        </w:rPr>
      </w:pPr>
      <w:r>
        <w:rPr>
          <w:szCs w:val="22"/>
        </w:rPr>
        <w:t>“Acknowledgment” means the Acknowledgment of Confidentiality attached as Appendix A hereto.</w:t>
      </w:r>
    </w:p>
    <w:p w:rsidR="00B02A42" w:rsidP="00B06C4E">
      <w:pPr>
        <w:tabs>
          <w:tab w:val="left" w:pos="1440"/>
        </w:tabs>
        <w:snapToGrid w:val="0"/>
        <w:spacing w:after="120"/>
        <w:ind w:firstLine="720"/>
      </w:pPr>
      <w:r>
        <w:rPr>
          <w:szCs w:val="22"/>
        </w:rPr>
        <w:t xml:space="preserve">“Competitive Decision-Making” means that a person’s activities, association, or relationship with any of </w:t>
      </w:r>
      <w:r w:rsidR="00496E4D">
        <w:rPr>
          <w:szCs w:val="22"/>
        </w:rPr>
        <w:t xml:space="preserve">his or her </w:t>
      </w:r>
      <w:r>
        <w:rPr>
          <w:szCs w:val="22"/>
        </w:rPr>
        <w:t xml:space="preserve">clients involve advice about or participation in the relevant business decisions or the </w:t>
      </w:r>
      <w:r>
        <w:rPr>
          <w:szCs w:val="22"/>
        </w:rPr>
        <w:t>analysis underlying the relevant business decisions of the client in competition with or in a business relationship with a Wirele</w:t>
      </w:r>
      <w:r w:rsidR="00EF0F01">
        <w:rPr>
          <w:szCs w:val="22"/>
        </w:rPr>
        <w:t>ss Telecommunications Carrier.</w:t>
      </w:r>
    </w:p>
    <w:p w:rsidR="00B02A42" w:rsidP="00B06C4E">
      <w:pPr>
        <w:tabs>
          <w:tab w:val="left" w:pos="1440"/>
        </w:tabs>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P="00B06C4E">
      <w:pPr>
        <w:tabs>
          <w:tab w:val="left" w:pos="1440"/>
        </w:tabs>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w:t>
      </w:r>
      <w:r>
        <w:rPr>
          <w:color w:val="000000"/>
          <w:szCs w:val="22"/>
        </w:rPr>
        <w:t>provided that</w:t>
      </w:r>
      <w:r>
        <w:rPr>
          <w:color w:val="000000"/>
          <w:szCs w:val="22"/>
        </w:rPr>
        <w:t xml:space="preserve"> such attorneys are not involved in Competitive Decision-Making.  The term “Outside Counsel of Record” includes any attorney representing a non-commercial Participant in this proceeding, provided that such attorney is not involved </w:t>
      </w:r>
      <w:r w:rsidR="00EF0F01">
        <w:rPr>
          <w:color w:val="000000"/>
          <w:szCs w:val="22"/>
        </w:rPr>
        <w:t>in Competitive Decision-Making.</w:t>
      </w:r>
    </w:p>
    <w:p w:rsidR="00B02A42" w:rsidP="00B06C4E">
      <w:pPr>
        <w:tabs>
          <w:tab w:val="left" w:pos="1440"/>
        </w:tabs>
        <w:snapToGrid w:val="0"/>
        <w:spacing w:after="120"/>
        <w:ind w:firstLine="720"/>
      </w:pPr>
      <w:r>
        <w:t xml:space="preserve">“Outside Consultant” means a consultant or expert retained </w:t>
      </w:r>
      <w:r>
        <w:t>for the purpose of</w:t>
      </w:r>
      <w:r>
        <w:t xml:space="preserve">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072E3B" w:rsidRPr="001106B2" w:rsidP="00072E3B">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B02A42" w:rsidP="00072E3B">
      <w:pPr>
        <w:tabs>
          <w:tab w:val="left" w:pos="1440"/>
        </w:tabs>
        <w:snapToGrid w:val="0"/>
        <w:spacing w:after="120"/>
        <w:ind w:firstLine="720"/>
      </w:pPr>
      <w:r>
        <w:t>“Participant” means a person or entity that has filed, or has a good faith intention to file, an application, petition to deny</w:t>
      </w:r>
      <w:r w:rsidR="00EF0F01">
        <w:t>,</w:t>
      </w:r>
      <w:r>
        <w:t xml:space="preserve"> or material comments in th</w:t>
      </w:r>
      <w:r w:rsidR="00DE6FA1">
        <w:t>is</w:t>
      </w:r>
      <w:r>
        <w:t xml:space="preserve"> proceeding.</w:t>
      </w:r>
    </w:p>
    <w:p w:rsidR="00B02A42" w:rsidP="00B06C4E">
      <w:pPr>
        <w:tabs>
          <w:tab w:val="left" w:pos="1440"/>
        </w:tabs>
        <w:snapToGrid w:val="0"/>
        <w:spacing w:after="120"/>
        <w:ind w:firstLine="720"/>
        <w:rPr>
          <w:rStyle w:val="StyleParaNum11ptCharCharCharCharCharCharCharCharCharCharCharCharChar"/>
          <w:szCs w:val="22"/>
        </w:rPr>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t>5</w:t>
      </w:r>
      <w:r>
        <w:fldChar w:fldCharType="end"/>
      </w:r>
      <w:r>
        <w:t xml:space="preserve"> or </w:t>
      </w:r>
      <w:r>
        <w:fldChar w:fldCharType="begin"/>
      </w:r>
      <w:r>
        <w:instrText xml:space="preserve"> REF _Ref287447280 \r \h </w:instrText>
      </w:r>
      <w:r>
        <w:fldChar w:fldCharType="separate"/>
      </w:r>
      <w:r>
        <w:t>8</w:t>
      </w:r>
      <w:r>
        <w:fldChar w:fldCharType="end"/>
      </w:r>
      <w:r>
        <w:t xml:space="preserve"> </w:t>
      </w:r>
      <w:r>
        <w:rPr>
          <w:rStyle w:val="StyleParaNum11ptCharCharCharCharCharCharCharCharCharCharCharCharChar"/>
          <w:szCs w:val="22"/>
        </w:rPr>
        <w:t>of this NRUF/LNP Protective Order.</w:t>
      </w:r>
    </w:p>
    <w:p w:rsidR="00072E3B" w:rsidP="00B06C4E">
      <w:pPr>
        <w:tabs>
          <w:tab w:val="left" w:pos="1440"/>
        </w:tabs>
        <w:snapToGrid w:val="0"/>
        <w:spacing w:after="120"/>
        <w:ind w:firstLine="720"/>
      </w:pPr>
      <w:r w:rsidRPr="001106B2">
        <w:rPr>
          <w:rStyle w:val="StyleParaNum11ptCharCharCharCharCharCharCharCharCharCharCharCharChar"/>
        </w:rPr>
        <w:t xml:space="preserve">“Support Personnel” </w:t>
      </w:r>
      <w:r w:rsidRPr="001106B2">
        <w:t>means</w:t>
      </w:r>
      <w:r w:rsidRPr="001106B2">
        <w:rPr>
          <w:rStyle w:val="StyleParaNum11ptCharCharCharCharCharCharCharCharCharCharCharCharChar"/>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B02A42" w:rsidP="00B06C4E">
      <w:pPr>
        <w:pStyle w:val="ParaNum"/>
        <w:widowControl/>
        <w:tabs>
          <w:tab w:val="clear" w:pos="126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sidRPr="001106B2" w:rsidR="00072E3B">
        <w:rPr>
          <w:rStyle w:val="StyleParaNum11ptCharCharCharCharCharCharCharCharCharCharCharCharChar"/>
          <w:szCs w:val="22"/>
        </w:rPr>
        <w:t xml:space="preserve">Access to </w:t>
      </w:r>
      <w:r w:rsidR="00072E3B">
        <w:rPr>
          <w:rStyle w:val="StyleParaNum11ptCharCharCharCharCharCharCharCharCharCharCharCharChar"/>
          <w:szCs w:val="22"/>
        </w:rPr>
        <w:t xml:space="preserve">NRUF/LNP </w:t>
      </w:r>
      <w:r w:rsidRPr="001106B2" w:rsidR="00072E3B">
        <w:rPr>
          <w:rStyle w:val="StyleParaNum11ptCharCharCharCharCharCharCharCharCharCharCharCharChar"/>
          <w:szCs w:val="22"/>
        </w:rPr>
        <w:t xml:space="preserve">Confidential Information (including Stamped Highly Confidential Documents) is limited to </w:t>
      </w:r>
      <w:r w:rsidRPr="001106B2" w:rsidR="00072E3B">
        <w:t xml:space="preserve">Outside Counsel of Record, Outside Consultants, their employees and employees of their Outside Firms, and Support Personnel.  </w:t>
      </w:r>
      <w:r>
        <w:rPr>
          <w:szCs w:val="22"/>
        </w:rPr>
        <w:t xml:space="preserve">Any person </w:t>
      </w:r>
      <w:r w:rsidR="00072E3B">
        <w:rPr>
          <w:szCs w:val="22"/>
        </w:rPr>
        <w:t xml:space="preserve">other than Support Personnel </w:t>
      </w:r>
      <w:r>
        <w:rPr>
          <w:szCs w:val="22"/>
        </w:rPr>
        <w:t>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Commission, so that it is received at least five</w:t>
      </w:r>
      <w:r>
        <w:rPr>
          <w:szCs w:val="22"/>
        </w:rPr>
        <w:t xml:space="preserve"> business days prior to such person’s reviewing or having access to the NRUF/LNP Confidential Information.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w:t>
      </w:r>
      <w:r w:rsidR="00E423A2">
        <w:rPr>
          <w:rStyle w:val="StyleParaNum11ptCharCharCharCharCharCharCharCharCharCharCharCharChar"/>
          <w:szCs w:val="22"/>
        </w:rPr>
        <w:t xml:space="preserve">. </w:t>
      </w:r>
      <w:r w:rsidRPr="00072E3B" w:rsidR="00072E3B">
        <w:rPr>
          <w:rStyle w:val="StyleParaNum11ptCharCharCharCharCharCharCharCharCharCharCharCharChar"/>
          <w:szCs w:val="22"/>
        </w:rPr>
        <w:t xml:space="preserve"> </w:t>
      </w:r>
      <w:r w:rsidRPr="001106B2" w:rsidR="00072E3B">
        <w:rPr>
          <w:rStyle w:val="StyleParaNum11ptCharCharCharCharCharCharCharCharCharCharCharCharChar"/>
          <w:szCs w:val="22"/>
        </w:rPr>
        <w:t>Until any timely objection is resolved by the Commission in favor of the person seeking access and, if a motion for a judicial stay is timely filed, until such a motion is acted upon,</w:t>
      </w:r>
      <w:r>
        <w:rPr>
          <w:rStyle w:val="StyleParaNum11ptCharCharCharCharCharCharCharCharCharCharCharCharChar"/>
          <w:szCs w:val="22"/>
        </w:rPr>
        <w:t xml:space="preserve">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FootnoteReference"/>
          <w:sz w:val="20"/>
        </w:rPr>
        <w:footnoteReference w:id="8"/>
      </w:r>
      <w:r w:rsidRPr="001106B2" w:rsidR="00072E3B">
        <w:rPr>
          <w:rStyle w:val="StyleParaNum11ptCharCharCharCharCharCharCharCharCharCharCharCharChar"/>
          <w:szCs w:val="22"/>
        </w:rPr>
        <w:t xml:space="preserve">  If an objection is not timely filed </w:t>
      </w:r>
      <w:r w:rsidRPr="001106B2" w:rsidR="00072E3B">
        <w:rPr>
          <w:rStyle w:val="StyleParaNum11ptCharCharCharCharCharCharCharCharCharCharCharCharChar"/>
          <w:szCs w:val="22"/>
        </w:rPr>
        <w:t xml:space="preserve">with the Commission, the Commission will nonetheless consider the objection and retains its discretion to prohibit further access to </w:t>
      </w:r>
      <w:r w:rsidR="00072E3B">
        <w:rPr>
          <w:rStyle w:val="StyleParaNum11ptCharCharCharCharCharCharCharCharCharCharCharCharChar"/>
          <w:szCs w:val="22"/>
        </w:rPr>
        <w:t xml:space="preserve">NRUF/LNP </w:t>
      </w:r>
      <w:r w:rsidRPr="001106B2" w:rsidR="00072E3B">
        <w:rPr>
          <w:rStyle w:val="StyleParaNum11ptCharCharCharCharCharCharCharCharCharCharCharCharChar"/>
          <w:szCs w:val="22"/>
        </w:rPr>
        <w:t>Confidential Information by the Reviewing Party un</w:t>
      </w:r>
      <w:r w:rsidR="00072E3B">
        <w:rPr>
          <w:rStyle w:val="StyleParaNum11ptCharCharCharCharCharCharCharCharCharCharCharCharChar"/>
          <w:szCs w:val="22"/>
        </w:rPr>
        <w:t>til the objection is resolved.</w:t>
      </w:r>
    </w:p>
    <w:p w:rsidR="00B02A42" w:rsidP="00B06C4E">
      <w:pPr>
        <w:pStyle w:val="ParaNum"/>
        <w:widowControl/>
        <w:tabs>
          <w:tab w:val="clear" w:pos="126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Pr="00DE6FA1" w:rsidR="00DE6FA1">
        <w:rPr>
          <w:szCs w:val="22"/>
        </w:rPr>
        <w:t xml:space="preserve"> </w:t>
      </w:r>
      <w:r w:rsidR="007607BE">
        <w:rPr>
          <w:szCs w:val="22"/>
        </w:rPr>
        <w:t>Kathy Harris</w:t>
      </w:r>
      <w:r w:rsidR="00761D9A">
        <w:rPr>
          <w:szCs w:val="22"/>
        </w:rPr>
        <w:t xml:space="preserve">, </w:t>
      </w:r>
      <w:r w:rsidR="007607BE">
        <w:rPr>
          <w:szCs w:val="22"/>
        </w:rPr>
        <w:t>kathy.harris</w:t>
      </w:r>
      <w:r w:rsidRPr="00761D9A" w:rsidR="00761D9A">
        <w:rPr>
          <w:szCs w:val="22"/>
        </w:rPr>
        <w:t>@fcc.gov</w:t>
      </w:r>
      <w:r w:rsidR="00761D9A">
        <w:rPr>
          <w:szCs w:val="22"/>
        </w:rPr>
        <w:t>, (202) 418-</w:t>
      </w:r>
      <w:r w:rsidR="007607BE">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P="00B06C4E">
      <w:pPr>
        <w:pStyle w:val="ParaNum"/>
        <w:widowControl/>
        <w:tabs>
          <w:tab w:val="clear" w:pos="126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w:t>
      </w:r>
      <w:r>
        <w:t>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w:t>
      </w:r>
      <w:r w:rsidR="002F7A11">
        <w:t xml:space="preserve">either </w:t>
      </w:r>
      <w:r>
        <w:t>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r w:rsidR="002F7A11">
        <w:t xml:space="preserve"> or by aggregating the NRUF/LNP Confidential Information such that no information of any Wireless Telecommunications Carrier (other than the Applicants) is revealed</w:t>
      </w:r>
      <w:r>
        <w:t>.</w:t>
      </w:r>
    </w:p>
    <w:p w:rsidR="00B02A42" w:rsidP="00B06C4E">
      <w:pPr>
        <w:pStyle w:val="ParaNum"/>
        <w:widowControl/>
        <w:tabs>
          <w:tab w:val="clear" w:pos="1260"/>
        </w:tabs>
        <w:spacing w:after="120"/>
        <w:ind w:left="0"/>
        <w:jc w:val="left"/>
      </w:pPr>
      <w:bookmarkStart w:id="5" w:name="_Ref287447280"/>
      <w:r>
        <w:rPr>
          <w:i/>
          <w:iCs/>
        </w:rPr>
        <w:t>Permissible Disclosure</w:t>
      </w:r>
      <w:r>
        <w:t xml:space="preserve">.  A </w:t>
      </w:r>
      <w:r>
        <w:rPr>
          <w:rStyle w:val="StyleParaNum11ptCharCharCharCharCharCharCharCharCharCharCharCharChar"/>
        </w:rPr>
        <w:t>Reviewing Party may discuss and share the contents of NRUF/LNP Confidential Information with another Reviewing Party</w:t>
      </w:r>
      <w:r w:rsidR="002F7A11">
        <w:rPr>
          <w:rStyle w:val="StyleParaNum11ptCharCharCharCharCharCharCharCharCharCharCharCharChar"/>
        </w:rPr>
        <w:t xml:space="preserve">, </w:t>
      </w:r>
      <w:r w:rsidRPr="001106B2" w:rsidR="002F7A11">
        <w:rPr>
          <w:rStyle w:val="StyleParaNum11ptCharCharCharCharCharCharCharCharCharCharCharCharChar"/>
        </w:rPr>
        <w:t>with Support Personnel, as appropriate,</w:t>
      </w:r>
      <w:r>
        <w:rPr>
          <w:rStyle w:val="StyleParaNum11ptCharCharCharCharCharCharCharCharCharCharCharCharChar"/>
        </w:rPr>
        <w:t xml:space="preserve"> and with the Commission and its staff.  A Wireless Telecommunication Carrier’s own NRUF/LNP Confidential Information may also be disclosed to employees and Counsel of the carrier.</w:t>
      </w:r>
      <w:bookmarkEnd w:id="5"/>
    </w:p>
    <w:p w:rsidR="00B02A42" w:rsidP="00B06C4E">
      <w:pPr>
        <w:pStyle w:val="ParaNum"/>
        <w:widowControl/>
        <w:tabs>
          <w:tab w:val="clear" w:pos="1260"/>
        </w:tabs>
        <w:spacing w:after="120"/>
        <w:ind w:left="0"/>
        <w:jc w:val="left"/>
        <w:rPr>
          <w:szCs w:val="22"/>
        </w:rPr>
      </w:pPr>
      <w:bookmarkStart w:id="6" w:name="_Ref287453789"/>
      <w:r>
        <w:rPr>
          <w:i/>
          <w:iCs/>
        </w:rPr>
        <w:t>Filings with the Commission</w:t>
      </w:r>
      <w:r>
        <w:t xml:space="preserve">.  </w:t>
      </w:r>
      <w:bookmarkEnd w:id="6"/>
      <w:r w:rsidRPr="001106B2" w:rsidR="002F7A11">
        <w:t xml:space="preserve">A party making a filing in this proceeding that contains </w:t>
      </w:r>
      <w:r w:rsidR="002F7A11">
        <w:t xml:space="preserve">NRUF/LNP </w:t>
      </w:r>
      <w:r w:rsidRPr="001106B2" w:rsidR="002F7A11">
        <w:t xml:space="preserve">Confidential Information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75080C">
        <w:t>18</w:t>
      </w:r>
      <w:r w:rsidR="0075080C">
        <w:noBreakHyphen/>
        <w:t>197</w:t>
      </w:r>
      <w:r>
        <w:t xml:space="preserve"> before the Federal Communications Commission.</w:t>
      </w:r>
      <w:r>
        <w:rPr>
          <w:rStyle w:val="StyleParaNum11ptCharCharCharCharCharCharCharCharCharCharCharCharChar"/>
        </w:rPr>
        <w:t xml:space="preserve">”  </w:t>
      </w:r>
      <w:r>
        <w:rPr>
          <w:szCs w:val="22"/>
        </w:rPr>
        <w:t xml:space="preserve">The </w:t>
      </w:r>
      <w:r w:rsidR="002F7A11">
        <w:rPr>
          <w:szCs w:val="22"/>
        </w:rPr>
        <w:t xml:space="preserve">accompanying </w:t>
      </w:r>
      <w:r>
        <w:rPr>
          <w:szCs w:val="22"/>
        </w:rPr>
        <w:t xml:space="preserve">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filing in re</w:t>
      </w:r>
      <w:r w:rsidR="00677BF9">
        <w:rPr>
          <w:szCs w:val="22"/>
        </w:rPr>
        <w:t xml:space="preserve">dacted form, </w:t>
      </w:r>
      <w:r w:rsidRPr="004E5DF9" w:rsidR="00677BF9">
        <w:rPr>
          <w:szCs w:val="22"/>
        </w:rPr>
        <w:t>i.e.</w:t>
      </w:r>
      <w:r w:rsidR="00677BF9">
        <w:rPr>
          <w:szCs w:val="22"/>
        </w:rPr>
        <w:t xml:space="preserve">, containing no </w:t>
      </w:r>
      <w:r w:rsidR="002F7A11">
        <w:rPr>
          <w:szCs w:val="22"/>
        </w:rPr>
        <w:t xml:space="preserve">NRUF/LNP </w:t>
      </w:r>
      <w:r w:rsidR="00677BF9">
        <w:rPr>
          <w:szCs w:val="22"/>
        </w:rPr>
        <w:t>Confidential Information (the “Redacted NRUF/LNP Confidential Filing”) to the Commission via ECFS.</w:t>
      </w:r>
      <w:r>
        <w:rPr>
          <w:rStyle w:val="FootnoteReference"/>
          <w:sz w:val="20"/>
        </w:rPr>
        <w:footnoteReference w:id="9"/>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 xml:space="preserve">To the extent that any page of the NRUF/LNP Confidential Filing contains any type of Confidential Information and non-confidential information, only the Confidential Information (of whatever type) </w:t>
      </w:r>
      <w:r>
        <w:t>shall be redacted</w:t>
      </w:r>
      <w:r>
        <w:t xml:space="preserve">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Pr="00677BF9" w:rsidR="00677BF9">
        <w:rPr>
          <w:szCs w:val="22"/>
        </w:rPr>
        <w:t xml:space="preserve"> </w:t>
      </w:r>
      <w:r w:rsidR="007607BE">
        <w:rPr>
          <w:szCs w:val="22"/>
        </w:rPr>
        <w:t>Kathy Harris</w:t>
      </w:r>
      <w:r w:rsidR="00761D9A">
        <w:rPr>
          <w:szCs w:val="22"/>
        </w:rPr>
        <w:t xml:space="preserve">, </w:t>
      </w:r>
      <w:r w:rsidR="007607BE">
        <w:rPr>
          <w:szCs w:val="22"/>
        </w:rPr>
        <w:t>kathy.harris</w:t>
      </w:r>
      <w:r w:rsidRPr="00761D9A" w:rsidR="00761D9A">
        <w:rPr>
          <w:szCs w:val="22"/>
        </w:rPr>
        <w:t>@fcc.gov</w:t>
      </w:r>
      <w:r w:rsidR="00761D9A">
        <w:rPr>
          <w:szCs w:val="22"/>
        </w:rPr>
        <w:t xml:space="preserve">, (202) </w:t>
      </w:r>
      <w:r w:rsidR="00CB50AD">
        <w:rPr>
          <w:szCs w:val="22"/>
        </w:rPr>
        <w:t>418-</w:t>
      </w:r>
      <w:r w:rsidR="00B76302">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P="00B06C4E">
      <w:pPr>
        <w:pStyle w:val="ParaNum"/>
        <w:widowControl/>
        <w:tabs>
          <w:tab w:val="clear" w:pos="126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w:t>
      </w:r>
      <w:r w:rsidR="002F7A11">
        <w:rPr>
          <w:szCs w:val="22"/>
        </w:rPr>
        <w:t xml:space="preserve">shall </w:t>
      </w:r>
      <w:r>
        <w:rPr>
          <w:szCs w:val="22"/>
        </w:rPr>
        <w:t>not be disclosed further.</w:t>
      </w:r>
    </w:p>
    <w:p w:rsidR="00B02A42" w:rsidP="00B06C4E">
      <w:pPr>
        <w:pStyle w:val="ParaNum"/>
        <w:widowControl/>
        <w:tabs>
          <w:tab w:val="clear" w:pos="126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w:t>
      </w:r>
      <w:r>
        <w:rPr>
          <w:szCs w:val="22"/>
        </w:rPr>
        <w:t>scribed in this NRUF/LNP Protective Order.  A Reviewing Party shall further have the obligation to ensure that NRUF/LNP Confidential Information is used only as provided in this NRUF/LNP Protective Order.</w:t>
      </w:r>
    </w:p>
    <w:p w:rsidR="00B02A42" w:rsidP="00B06C4E">
      <w:pPr>
        <w:pStyle w:val="ParaNum"/>
        <w:widowControl/>
        <w:tabs>
          <w:tab w:val="clear" w:pos="126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P="00B06C4E">
      <w:pPr>
        <w:pStyle w:val="ParaNum"/>
        <w:widowControl/>
        <w:tabs>
          <w:tab w:val="clear" w:pos="126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P="00B06C4E">
      <w:pPr>
        <w:pStyle w:val="ParaNum"/>
        <w:widowControl/>
        <w:tabs>
          <w:tab w:val="clear" w:pos="126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w:t>
      </w:r>
      <w:r>
        <w:t>shall not be deemed</w:t>
      </w:r>
      <w:r>
        <w:t xml:space="preserve"> a waiver of any privilege or entitlement.</w:t>
      </w:r>
    </w:p>
    <w:p w:rsidR="00B02A42" w:rsidP="00B06C4E">
      <w:pPr>
        <w:pStyle w:val="ParaNum"/>
        <w:widowControl/>
        <w:tabs>
          <w:tab w:val="clear" w:pos="126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w:t>
      </w:r>
      <w:r>
        <w:rPr>
          <w:szCs w:val="22"/>
        </w:rPr>
        <w:t>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P="00B06C4E">
      <w:pPr>
        <w:pStyle w:val="ParaNum"/>
        <w:widowControl/>
        <w:tabs>
          <w:tab w:val="clear" w:pos="126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P="00B06C4E">
      <w:pPr>
        <w:pStyle w:val="ParaNum"/>
        <w:widowControl/>
        <w:tabs>
          <w:tab w:val="clear" w:pos="1260"/>
        </w:tabs>
        <w:spacing w:after="120"/>
        <w:ind w:left="0"/>
        <w:jc w:val="left"/>
        <w:rPr>
          <w:szCs w:val="22"/>
        </w:rPr>
      </w:pPr>
      <w:bookmarkStart w:id="7" w:name="_Ref287618273"/>
      <w:r>
        <w:rPr>
          <w:i/>
          <w:iCs/>
          <w:szCs w:val="22"/>
        </w:rPr>
        <w:t>Termination of Proceeding</w:t>
      </w:r>
      <w:r>
        <w:rPr>
          <w:szCs w:val="22"/>
        </w:rPr>
        <w:t xml:space="preserve">.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w:t>
      </w:r>
      <w:r w:rsidR="00A3446C">
        <w:rPr>
          <w:szCs w:val="22"/>
        </w:rPr>
        <w:t xml:space="preserve">and Outside Consultants </w:t>
      </w:r>
      <w:r>
        <w:rPr>
          <w:szCs w:val="22"/>
        </w:rPr>
        <w:t xml:space="preserve">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w:t>
      </w:r>
      <w:r w:rsidR="00A3446C">
        <w:rPr>
          <w:szCs w:val="22"/>
        </w:rPr>
        <w:t xml:space="preserve">Reviewing Parties </w:t>
      </w:r>
      <w:r>
        <w:rPr>
          <w:szCs w:val="22"/>
        </w:rPr>
        <w:t xml:space="preserve">shall </w:t>
      </w:r>
      <w:r>
        <w:rPr>
          <w:szCs w:val="22"/>
        </w:rPr>
        <w:t>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P="00B06C4E">
      <w:pPr>
        <w:pStyle w:val="ParaNum"/>
        <w:widowControl/>
        <w:tabs>
          <w:tab w:val="clear" w:pos="126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7607BE">
        <w:rPr>
          <w:szCs w:val="22"/>
        </w:rPr>
        <w:t>Kathy Harris</w:t>
      </w:r>
      <w:r w:rsidR="00DF1DB0">
        <w:rPr>
          <w:szCs w:val="22"/>
        </w:rPr>
        <w:t xml:space="preserve">, </w:t>
      </w:r>
      <w:r w:rsidR="007607BE">
        <w:rPr>
          <w:szCs w:val="22"/>
        </w:rPr>
        <w:t>kathy.harris</w:t>
      </w:r>
      <w:r w:rsidRPr="00761D9A" w:rsidR="00DF1DB0">
        <w:rPr>
          <w:szCs w:val="22"/>
        </w:rPr>
        <w:t>@fcc.gov</w:t>
      </w:r>
      <w:r w:rsidR="00DF1DB0">
        <w:rPr>
          <w:szCs w:val="22"/>
        </w:rPr>
        <w:t>, (202) 418-</w:t>
      </w:r>
      <w:r w:rsidR="007607BE">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w:t>
      </w:r>
      <w:r w:rsidR="00CB50AD">
        <w:rPr>
          <w:szCs w:val="22"/>
        </w:rPr>
        <w:t>2-B550</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P="00B06C4E">
      <w:pPr>
        <w:pStyle w:val="ParaNum"/>
        <w:keepNext/>
        <w:widowControl/>
        <w:tabs>
          <w:tab w:val="clear" w:pos="126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w:t>
      </w:r>
      <w:r w:rsidR="007607BE">
        <w:rPr>
          <w:rStyle w:val="StyleParaNum11ptCharCharCharCharCharCharCharCharCharCharCharCharChar"/>
        </w:rPr>
        <w:t>.</w:t>
      </w:r>
      <w:r>
        <w:rPr>
          <w:rStyle w:val="StyleParaNum11ptCharCharCharCharCharCharCharCharCharCharCharCharChar"/>
        </w:rPr>
        <w:t>S</w:t>
      </w:r>
      <w:r w:rsidR="007607BE">
        <w:rPr>
          <w:rStyle w:val="StyleParaNum11ptCharCharCharCharCharCharCharCharCharCharCharCharChar"/>
        </w:rPr>
        <w:t>.</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pPr>
        <w:pStyle w:val="ParaNum"/>
        <w:keepNext/>
        <w:widowControl/>
        <w:numPr>
          <w:ilvl w:val="0"/>
          <w:numId w:val="0"/>
        </w:numPr>
        <w:tabs>
          <w:tab w:val="left" w:pos="1170"/>
          <w:tab w:val="clear" w:pos="1440"/>
        </w:tabs>
        <w:spacing w:after="120"/>
        <w:jc w:val="left"/>
        <w:rPr>
          <w:szCs w:val="22"/>
        </w:rPr>
      </w:pPr>
    </w:p>
    <w:p w:rsidR="00B02A42" w:rsidP="005C2CCD">
      <w:pPr>
        <w:keepNext/>
        <w:snapToGrid w:val="0"/>
        <w:ind w:left="2880" w:firstLine="720"/>
        <w:rPr>
          <w:szCs w:val="22"/>
        </w:rPr>
      </w:pPr>
      <w:r>
        <w:rPr>
          <w:szCs w:val="22"/>
        </w:rPr>
        <w:t>FEDERAL COMMUNICATIONS COMMISSION</w:t>
      </w:r>
    </w:p>
    <w:p w:rsidR="00B02A42" w:rsidP="005C2CCD">
      <w:pPr>
        <w:keepNext/>
        <w:snapToGrid w:val="0"/>
        <w:rPr>
          <w:szCs w:val="22"/>
        </w:rPr>
      </w:pPr>
    </w:p>
    <w:p w:rsidR="00B02A42" w:rsidP="005C2CCD">
      <w:pPr>
        <w:keepNext/>
        <w:snapToGrid w:val="0"/>
        <w:rPr>
          <w:szCs w:val="22"/>
        </w:rPr>
      </w:pPr>
    </w:p>
    <w:p w:rsidR="00B02A42" w:rsidP="005C2CCD">
      <w:pPr>
        <w:keepNext/>
        <w:snapToGrid w:val="0"/>
        <w:rPr>
          <w:szCs w:val="22"/>
        </w:rPr>
      </w:pPr>
    </w:p>
    <w:p w:rsidR="00B02A42" w:rsidP="005C2CCD">
      <w:pPr>
        <w:keepNext/>
        <w:snapToGrid w:val="0"/>
        <w:rPr>
          <w:szCs w:val="22"/>
        </w:rPr>
      </w:pPr>
    </w:p>
    <w:p w:rsidR="00B02A42" w:rsidRPr="005C2CCD">
      <w:pPr>
        <w:keepNext/>
        <w:keepLines/>
        <w:snapToGrid w:val="0"/>
        <w:ind w:left="2880" w:firstLine="720"/>
        <w:rPr>
          <w:szCs w:val="22"/>
        </w:rPr>
      </w:pPr>
      <w:r>
        <w:rPr>
          <w:szCs w:val="22"/>
        </w:rPr>
        <w:t>Donald K. Stockdale, Jr.</w:t>
      </w:r>
    </w:p>
    <w:p w:rsidR="003801D6" w:rsidP="005C2CCD">
      <w:pPr>
        <w:keepNext/>
        <w:snapToGrid w:val="0"/>
        <w:ind w:left="2880" w:firstLine="720"/>
        <w:rPr>
          <w:szCs w:val="22"/>
        </w:rPr>
      </w:pPr>
      <w:r>
        <w:rPr>
          <w:szCs w:val="22"/>
        </w:rPr>
        <w:t>Chief</w:t>
      </w:r>
    </w:p>
    <w:p w:rsidR="00B02A42">
      <w:pPr>
        <w:snapToGrid w:val="0"/>
        <w:ind w:left="2880" w:firstLine="720"/>
        <w:rPr>
          <w:szCs w:val="22"/>
        </w:rPr>
      </w:pPr>
      <w:r w:rsidRPr="005C2CCD">
        <w:rPr>
          <w:szCs w:val="22"/>
        </w:rPr>
        <w:t>Wireless Telecommunications Bureau</w:t>
      </w:r>
    </w:p>
    <w:p w:rsidR="00B02A42">
      <w:pPr>
        <w:snapToGrid w:val="0"/>
        <w:spacing w:after="120"/>
        <w:jc w:val="center"/>
        <w:rPr>
          <w:szCs w:val="22"/>
        </w:rPr>
      </w:pPr>
      <w:r>
        <w:rPr>
          <w:snapToGrid w:val="0"/>
          <w:szCs w:val="22"/>
        </w:rPr>
        <w:br w:type="page"/>
      </w:r>
      <w:r>
        <w:rPr>
          <w:b/>
          <w:bCs/>
          <w:szCs w:val="22"/>
        </w:rPr>
        <w:t>APPENDIX A</w:t>
      </w:r>
    </w:p>
    <w:p w:rsidR="00B02A42">
      <w:pPr>
        <w:snapToGrid w:val="0"/>
        <w:spacing w:after="120"/>
        <w:jc w:val="center"/>
        <w:rPr>
          <w:b/>
          <w:bCs/>
          <w:szCs w:val="22"/>
        </w:rPr>
      </w:pPr>
      <w:r>
        <w:rPr>
          <w:b/>
          <w:bCs/>
          <w:szCs w:val="22"/>
        </w:rPr>
        <w:t>Acknowledgment of Confidentiality</w:t>
      </w:r>
    </w:p>
    <w:p w:rsidR="00B02A42">
      <w:pPr>
        <w:snapToGrid w:val="0"/>
        <w:spacing w:after="120"/>
        <w:jc w:val="center"/>
        <w:rPr>
          <w:szCs w:val="22"/>
        </w:rPr>
      </w:pPr>
      <w:r>
        <w:rPr>
          <w:b/>
          <w:bCs/>
          <w:szCs w:val="22"/>
        </w:rPr>
        <w:t>WT Docket No.</w:t>
      </w:r>
      <w:r w:rsidRPr="00727381">
        <w:rPr>
          <w:b/>
          <w:bCs/>
          <w:szCs w:val="22"/>
        </w:rPr>
        <w:t xml:space="preserve"> </w:t>
      </w:r>
      <w:r w:rsidR="006C141A">
        <w:rPr>
          <w:b/>
        </w:rPr>
        <w:t>18-197</w:t>
      </w:r>
    </w:p>
    <w:p w:rsidR="00966B5E">
      <w:pPr>
        <w:snapToGrid w:val="0"/>
        <w:spacing w:after="120"/>
        <w:rPr>
          <w:szCs w:val="22"/>
        </w:rPr>
      </w:pPr>
      <w:r>
        <w:rPr>
          <w:szCs w:val="22"/>
        </w:rPr>
        <w:t> </w:t>
      </w:r>
    </w:p>
    <w:p w:rsidR="00B02A42" w:rsidP="00C71A6B">
      <w:pPr>
        <w:snapToGrid w:val="0"/>
        <w:spacing w:after="120"/>
        <w:ind w:firstLine="720"/>
        <w:rPr>
          <w:szCs w:val="22"/>
        </w:rPr>
      </w:pPr>
      <w:r>
        <w:rPr>
          <w:szCs w:val="22"/>
        </w:rPr>
        <w:t>I hereby acknowledge that I have received and read a copy of the foregoing NRUF/LNP Protective Order in the above-captioned pr</w:t>
      </w:r>
      <w:r w:rsidR="002931A5">
        <w:rPr>
          <w:szCs w:val="22"/>
        </w:rPr>
        <w:t>oceeding, and I understand it.</w:t>
      </w:r>
    </w:p>
    <w:p w:rsidR="00B02A42">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w:t>
      </w:r>
      <w:r w:rsidR="002931A5">
        <w:rPr>
          <w:szCs w:val="22"/>
        </w:rPr>
        <w:t>the NRUF/LNP Protective Order.</w:t>
      </w:r>
    </w:p>
    <w:p w:rsidR="004E7198" w:rsidP="004E7198">
      <w:pPr>
        <w:snapToGrid w:val="0"/>
        <w:spacing w:after="120"/>
        <w:ind w:firstLine="720"/>
        <w:rPr>
          <w:szCs w:val="22"/>
        </w:rPr>
      </w:pPr>
      <w:r>
        <w:rPr>
          <w:szCs w:val="22"/>
        </w:rPr>
        <w:t>I acknowledge that a violation of the NRUF/LNP Protective Order is a violation of an order of the Federal Communications Commission.</w:t>
      </w:r>
      <w:r>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Pr="00FA5F07">
        <w:rPr>
          <w:szCs w:val="22"/>
        </w:rPr>
        <w:t xml:space="preserve"> </w:t>
      </w:r>
      <w:r>
        <w:rPr>
          <w:szCs w:val="22"/>
        </w:rPr>
        <w:t>in this or any other Commission proceeding.</w:t>
      </w:r>
    </w:p>
    <w:p w:rsidR="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pPr>
        <w:snapToGrid w:val="0"/>
        <w:spacing w:after="120"/>
        <w:rPr>
          <w:szCs w:val="22"/>
        </w:rPr>
      </w:pPr>
      <w:r>
        <w:rPr>
          <w:szCs w:val="22"/>
        </w:rPr>
        <w:t> </w:t>
      </w:r>
      <w:r>
        <w:rPr>
          <w:szCs w:val="22"/>
        </w:rPr>
        <w:tab/>
        <w:t>I certify that I am not involved in Competitive Decision-Making.</w:t>
      </w:r>
    </w:p>
    <w:p w:rsidR="00B02A42" w:rsidP="00C71A6B">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w:t>
      </w:r>
      <w:r>
        <w:rPr>
          <w:szCs w:val="22"/>
        </w:rPr>
        <w:t>of the NRUF/LNP Protective Order is due solely to my capacity as Outside Counsel or Outside Consultant to a Participant</w:t>
      </w:r>
      <w:r w:rsidR="00A3446C">
        <w:rPr>
          <w:szCs w:val="22"/>
        </w:rPr>
        <w:t>,</w:t>
      </w:r>
      <w:r>
        <w:rPr>
          <w:szCs w:val="22"/>
        </w:rPr>
        <w:t xml:space="preserve"> and </w:t>
      </w:r>
      <w:r w:rsidR="00A3446C">
        <w:rPr>
          <w:szCs w:val="22"/>
        </w:rPr>
        <w:t xml:space="preserve">I </w:t>
      </w:r>
      <w:r>
        <w:rPr>
          <w:szCs w:val="22"/>
        </w:rPr>
        <w:t>agree that I will not use such information in any other capacity.</w:t>
      </w:r>
    </w:p>
    <w:p w:rsidR="00B02A42">
      <w:pPr>
        <w:snapToGrid w:val="0"/>
        <w:spacing w:after="120"/>
        <w:ind w:firstLine="720"/>
        <w:rPr>
          <w:szCs w:val="22"/>
        </w:rPr>
      </w:pPr>
      <w:r>
        <w:rPr>
          <w:szCs w:val="22"/>
        </w:rPr>
        <w:t>I acknowledge that it is my obligation to ensure that NRUF/LNP Confidential Information</w:t>
      </w:r>
      <w:r w:rsidRPr="00FA5F07" w:rsid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Pr="00FA5F07" w:rsidR="00FA5F07">
        <w:rPr>
          <w:szCs w:val="22"/>
        </w:rPr>
        <w:t xml:space="preserve"> </w:t>
      </w:r>
      <w:r w:rsidR="00FA5F07">
        <w:rPr>
          <w:szCs w:val="22"/>
        </w:rPr>
        <w:t>in my possession</w:t>
      </w:r>
      <w:r w:rsidR="00A3446C">
        <w:rPr>
          <w:szCs w:val="22"/>
        </w:rPr>
        <w:t>,</w:t>
      </w:r>
      <w:r w:rsidR="00FA5F07">
        <w:rPr>
          <w:szCs w:val="22"/>
        </w:rPr>
        <w:t xml:space="preserve"> in the possession of those who work for me, </w:t>
      </w:r>
      <w:r w:rsidRPr="001106B2" w:rsidR="00A3446C">
        <w:t xml:space="preserve">or in the possession of other Support Personnel, </w:t>
      </w:r>
      <w:r w:rsidR="00FA5F07">
        <w:rPr>
          <w:szCs w:val="22"/>
        </w:rPr>
        <w:t>except as provided in the Protective Order</w:t>
      </w:r>
      <w:r w:rsidR="002931A5">
        <w:rPr>
          <w:szCs w:val="22"/>
        </w:rPr>
        <w:t>.</w:t>
      </w:r>
    </w:p>
    <w:p w:rsidR="00B02A42">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pPr>
        <w:snapToGrid w:val="0"/>
        <w:spacing w:after="120"/>
        <w:ind w:firstLine="720"/>
        <w:rPr>
          <w:szCs w:val="22"/>
        </w:rPr>
      </w:pPr>
      <w:r>
        <w:rPr>
          <w:szCs w:val="22"/>
        </w:rPr>
        <w:t>Capitalized terms used herein and not otherwise defined shall have the meanings ascribed to them in the NRUF/LNP Protective Order.</w:t>
      </w:r>
    </w:p>
    <w:p w:rsidR="00B02A42">
      <w:pPr>
        <w:snapToGrid w:val="0"/>
        <w:spacing w:after="120"/>
        <w:rPr>
          <w:szCs w:val="22"/>
        </w:rPr>
      </w:pPr>
      <w:r>
        <w:rPr>
          <w:szCs w:val="22"/>
        </w:rPr>
        <w:t> </w:t>
      </w:r>
    </w:p>
    <w:p w:rsidR="00B02A42">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pPr>
        <w:snapToGrid w:val="0"/>
        <w:spacing w:after="120"/>
        <w:rPr>
          <w:szCs w:val="22"/>
        </w:rPr>
      </w:pPr>
      <w:r>
        <w:rPr>
          <w:szCs w:val="22"/>
        </w:rPr>
        <w:t> </w:t>
      </w:r>
    </w:p>
    <w:p w:rsidR="00B02A42">
      <w:pPr>
        <w:snapToGrid w:val="0"/>
        <w:spacing w:after="120"/>
        <w:rPr>
          <w:szCs w:val="22"/>
        </w:rPr>
      </w:pPr>
      <w:r>
        <w:rPr>
          <w:szCs w:val="22"/>
        </w:rPr>
        <w:t>                                                                   </w:t>
      </w:r>
      <w:r>
        <w:rPr>
          <w:szCs w:val="22"/>
        </w:rPr>
        <w:tab/>
        <w:t>_________________________________</w:t>
      </w:r>
    </w:p>
    <w:p w:rsidR="00B02A42">
      <w:pPr>
        <w:snapToGrid w:val="0"/>
        <w:spacing w:after="120"/>
        <w:rPr>
          <w:szCs w:val="22"/>
        </w:rPr>
      </w:pPr>
      <w:r>
        <w:rPr>
          <w:szCs w:val="22"/>
        </w:rPr>
        <w:t>                                                                 </w:t>
      </w:r>
      <w:r>
        <w:rPr>
          <w:szCs w:val="22"/>
        </w:rPr>
        <w:tab/>
      </w:r>
      <w:r>
        <w:rPr>
          <w:szCs w:val="22"/>
        </w:rPr>
        <w:tab/>
        <w:t>[Name]</w:t>
      </w:r>
    </w:p>
    <w:p w:rsidR="00B02A42">
      <w:pPr>
        <w:snapToGrid w:val="0"/>
        <w:spacing w:after="120"/>
        <w:rPr>
          <w:szCs w:val="22"/>
        </w:rPr>
      </w:pPr>
      <w:r>
        <w:rPr>
          <w:szCs w:val="22"/>
        </w:rPr>
        <w:t>                                                                  </w:t>
      </w:r>
      <w:r>
        <w:rPr>
          <w:szCs w:val="22"/>
        </w:rPr>
        <w:tab/>
        <w:t>[Position]</w:t>
      </w:r>
    </w:p>
    <w:p w:rsidR="00B02A42">
      <w:pPr>
        <w:snapToGrid w:val="0"/>
        <w:spacing w:after="120"/>
        <w:rPr>
          <w:szCs w:val="22"/>
        </w:rPr>
      </w:pPr>
      <w:r>
        <w:rPr>
          <w:szCs w:val="22"/>
        </w:rPr>
        <w:t>                                                                  </w:t>
      </w:r>
      <w:r>
        <w:rPr>
          <w:szCs w:val="22"/>
        </w:rPr>
        <w:tab/>
        <w:t>[Address]</w:t>
      </w:r>
    </w:p>
    <w:p w:rsidR="00B02A42">
      <w:pPr>
        <w:snapToGrid w:val="0"/>
        <w:spacing w:after="120"/>
        <w:ind w:left="3600" w:firstLine="720"/>
        <w:rPr>
          <w:szCs w:val="22"/>
        </w:rPr>
      </w:pPr>
      <w:r>
        <w:rPr>
          <w:szCs w:val="22"/>
        </w:rPr>
        <w:t>[Telephone]</w:t>
      </w:r>
    </w:p>
    <w:sectPr>
      <w:headerReference w:type="default" r:id="rId5"/>
      <w:footerReference w:type="default" r:id="rId6"/>
      <w:headerReference w:type="first" r:id="rId7"/>
      <w:pgSz w:w="12240" w:h="15840" w:code="1"/>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A4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4E5E">
      <w:r>
        <w:separator/>
      </w:r>
    </w:p>
  </w:footnote>
  <w:footnote w:type="continuationSeparator" w:id="1">
    <w:p w:rsidR="00864E5E">
      <w:r>
        <w:continuationSeparator/>
      </w:r>
    </w:p>
  </w:footnote>
  <w:footnote w:id="2">
    <w:p w:rsidR="00B02A42">
      <w:pPr>
        <w:pStyle w:val="FootnoteText"/>
        <w:spacing w:after="120"/>
      </w:pPr>
      <w:r>
        <w:rPr>
          <w:rStyle w:val="FootnoteReference"/>
        </w:rPr>
        <w:footnoteRef/>
      </w:r>
      <w:r>
        <w:t xml:space="preserve"> 47 CFR §§ 1.907, 52.5.</w:t>
      </w:r>
    </w:p>
  </w:footnote>
  <w:footnote w:id="3">
    <w:p w:rsidR="00B02A42">
      <w:pPr>
        <w:pStyle w:val="FootnoteText"/>
        <w:spacing w:after="120"/>
      </w:pPr>
      <w:r>
        <w:rPr>
          <w:rStyle w:val="FootnoteReference"/>
        </w:rPr>
        <w:footnoteRef/>
      </w:r>
      <w:r>
        <w:t xml:space="preserve"> 47 U.S.C. § 251.</w:t>
      </w:r>
    </w:p>
  </w:footnote>
  <w:footnote w:id="4">
    <w:p w:rsidR="00B02A42">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xml:space="preserve">, 15 FCC </w:t>
      </w:r>
      <w:r>
        <w:t>Rcd</w:t>
      </w:r>
      <w:r>
        <w:t xml:space="preserve"> 7574, 7578-79</w:t>
      </w:r>
      <w:r w:rsidR="00E24C03">
        <w:t>, para.</w:t>
      </w:r>
      <w:r>
        <w:t xml:space="preserve"> 5 (2000)</w:t>
      </w:r>
      <w:r w:rsidR="00E42175">
        <w:t xml:space="preserve"> (</w:t>
      </w:r>
      <w:r w:rsidR="00E42175">
        <w:rPr>
          <w:i/>
        </w:rPr>
        <w:t>Numbering Report and Order</w:t>
      </w:r>
      <w:r w:rsidR="00E42175">
        <w:t>)</w:t>
      </w:r>
      <w:r>
        <w:t>.</w:t>
      </w:r>
    </w:p>
  </w:footnote>
  <w:footnote w:id="5">
    <w:p w:rsidR="00B02A42">
      <w:pPr>
        <w:pStyle w:val="FootnoteText"/>
        <w:spacing w:after="120"/>
      </w:pPr>
      <w:r>
        <w:rPr>
          <w:rStyle w:val="FootnoteReference"/>
        </w:rPr>
        <w:footnoteRef/>
      </w:r>
      <w:r>
        <w:t xml:space="preserve"> </w:t>
      </w:r>
      <w:r w:rsidR="00E42175">
        <w:rPr>
          <w:i/>
        </w:rPr>
        <w:t>Numbering Report and Order</w:t>
      </w:r>
      <w:r w:rsidR="00E42175">
        <w:t xml:space="preserve">, 15 FCC </w:t>
      </w:r>
      <w:r w:rsidR="00E42175">
        <w:t>Rcd</w:t>
      </w:r>
      <w:r>
        <w:t xml:space="preserve"> at 7607</w:t>
      </w:r>
      <w:r w:rsidR="00E1535E">
        <w:t>, para.</w:t>
      </w:r>
      <w:r>
        <w:t xml:space="preserve"> 78.</w:t>
      </w:r>
    </w:p>
  </w:footnote>
  <w:footnote w:id="6">
    <w:p w:rsidR="00B02A42">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xml:space="preserve">, Protective Order, 26 FCC </w:t>
      </w:r>
      <w:r w:rsidRPr="005E73F3">
        <w:rPr>
          <w:sz w:val="20"/>
        </w:rPr>
        <w:t>Rcd</w:t>
      </w:r>
      <w:r w:rsidRPr="005E73F3">
        <w:rPr>
          <w:sz w:val="20"/>
        </w:rPr>
        <w:t xml:space="preserve">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xml:space="preserve">, Protective Order, 24 FCC </w:t>
      </w:r>
      <w:r w:rsidRPr="005E73F3">
        <w:rPr>
          <w:sz w:val="20"/>
        </w:rPr>
        <w:t>Rcd</w:t>
      </w:r>
      <w:r w:rsidRPr="005E73F3">
        <w:rPr>
          <w:sz w:val="20"/>
        </w:rPr>
        <w:t xml:space="preserve"> 13915 (WTB 2009).</w:t>
      </w:r>
    </w:p>
  </w:footnote>
  <w:footnote w:id="7">
    <w:p w:rsidR="00B02A42">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8">
    <w:p w:rsidR="00072E3B" w:rsidRPr="001106B2" w:rsidP="00E423A2">
      <w:pPr>
        <w:pStyle w:val="FootnoteText"/>
        <w:spacing w:after="120"/>
      </w:pPr>
      <w:r w:rsidRPr="00C50B7B">
        <w:rPr>
          <w:rStyle w:val="FootnoteReference"/>
        </w:rPr>
        <w:footnoteRef/>
      </w:r>
      <w:r w:rsidRPr="00C50B7B">
        <w:t xml:space="preserve"> An objection ordinarily will first be ruled upon by the </w:t>
      </w:r>
      <w:r>
        <w:t xml:space="preserve">Wireless Telecommunications </w:t>
      </w:r>
      <w:r w:rsidRPr="00C50B7B">
        <w:t xml:space="preserve">Bureau.  If the Bureau rejects the objection, the objecting party will be provided 10 business days to file an Application for Review with the Commission; if an Application for Review is not filed within that time, the </w:t>
      </w:r>
      <w:r>
        <w:t xml:space="preserve">NRUF/LNP </w:t>
      </w:r>
      <w:r w:rsidRPr="00C50B7B">
        <w:t xml:space="preserve">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w:t>
      </w:r>
      <w:r>
        <w:t xml:space="preserve">NRUF/LNP </w:t>
      </w:r>
      <w:r w:rsidRPr="00C50B7B">
        <w:t>Confidential Information shall be made available to the Reviewing Party.</w:t>
      </w:r>
    </w:p>
  </w:footnote>
  <w:footnote w:id="9">
    <w:p w:rsidR="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A42">
    <w:pPr>
      <w:pStyle w:val="Header"/>
      <w:tabs>
        <w:tab w:val="clear" w:pos="4320"/>
        <w:tab w:val="center" w:pos="4680"/>
        <w:tab w:val="clear" w:pos="8640"/>
        <w:tab w:val="right" w:pos="9360"/>
      </w:tabs>
      <w:rPr>
        <w:b/>
      </w:rPr>
    </w:pPr>
    <w:r>
      <w:rPr>
        <w:b/>
      </w:rPr>
      <w:tab/>
      <w:t>Federal</w:t>
    </w:r>
    <w:r w:rsidR="005E73F3">
      <w:rPr>
        <w:b/>
      </w:rPr>
      <w:t xml:space="preserve"> Communications Commission</w:t>
    </w:r>
    <w:r w:rsidR="005E73F3">
      <w:rPr>
        <w:b/>
      </w:rPr>
      <w:tab/>
      <w:t>DA 1</w:t>
    </w:r>
    <w:r w:rsidR="00D030BC">
      <w:rPr>
        <w:b/>
      </w:rPr>
      <w:t>8</w:t>
    </w:r>
    <w:r>
      <w:rPr>
        <w:b/>
      </w:rPr>
      <w:t>-</w:t>
    </w:r>
    <w:r w:rsidR="00572659">
      <w:rPr>
        <w:b/>
      </w:rPr>
      <w:t>777</w:t>
    </w:r>
  </w:p>
  <w:p w:rsidR="00B02A42">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B02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A42">
    <w:pPr>
      <w:pStyle w:val="Header"/>
      <w:tabs>
        <w:tab w:val="clear" w:pos="4320"/>
        <w:tab w:val="center" w:pos="4680"/>
        <w:tab w:val="clear" w:pos="8640"/>
        <w:tab w:val="right" w:pos="9360"/>
      </w:tabs>
      <w:rPr>
        <w:b/>
      </w:rPr>
    </w:pPr>
    <w:r>
      <w:rPr>
        <w:b/>
      </w:rPr>
      <w:tab/>
      <w:t>Federal Communications Commission</w:t>
    </w:r>
    <w:r>
      <w:rPr>
        <w:b/>
      </w:rPr>
      <w:tab/>
      <w:t xml:space="preserve">DA </w:t>
    </w:r>
    <w:r w:rsidR="00094BF2">
      <w:rPr>
        <w:b/>
      </w:rPr>
      <w:t>18</w:t>
    </w:r>
    <w:r>
      <w:rPr>
        <w:b/>
      </w:rPr>
      <w:t>-</w:t>
    </w:r>
    <w:r w:rsidR="00572659">
      <w:rPr>
        <w:b/>
      </w:rPr>
      <w:t>777</w:t>
    </w:r>
  </w:p>
  <w:p w:rsidR="00B02A4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2"/>
  </w:num>
  <w:num w:numId="3">
    <w:abstractNumId w:val="3"/>
  </w:num>
  <w:num w:numId="4">
    <w:abstractNumId w:val="2"/>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rPr>
      <w:sz w:val="20"/>
    </w:rPr>
  </w:style>
  <w:style w:type="character" w:styleId="FootnoteReference">
    <w:name w:val="footnote reference"/>
    <w:aliases w:val="(NECG) Footnote Reference,Appel note de bas de p,FR,Footnote Reference/,Style 12,Style 124,Style 13,Style 17,Style 3,Style 6,Style 7,fr,o"/>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 Char1 Char Char Char Char1,Footnote Text Char Char1,Footnote Text Char1 Char1 Char Char Char Char1,Footnote Text Char2 Char Char Char Char1,Footnote Text Char2 Char Char1,Footnote Text Char3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 Char Char1 Char Char Char Char,Footnote Text Char1 Char1 Char Char Char Char,Footnote Text Char2 Char Char,Footnote Text Char2 Char Char Char Char,Footnote Text Char3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 w:type="character" w:customStyle="1" w:styleId="ALTSFOOTNOTEChar">
    <w:name w:val="ALTS FOOTNOTE Char"/>
    <w:aliases w:val="Footnote Text Char Char Char Char Char,Footnote Text Char Char Char Char Char Char Char,Footnote Text Char1 Char Char Char Char Char,Footnote Text Char1 Char1 Char Char,f Char,fn Char"/>
    <w:rsid w:val="0007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