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273E3" w:rsidRPr="000531D6" w:rsidP="002659F3">
      <w:pPr>
        <w:widowControl/>
        <w:jc w:val="center"/>
        <w:rPr>
          <w:b/>
          <w:szCs w:val="22"/>
        </w:rPr>
      </w:pPr>
      <w:r w:rsidRPr="000531D6">
        <w:rPr>
          <w:b/>
          <w:kern w:val="0"/>
          <w:szCs w:val="22"/>
        </w:rPr>
        <w:t xml:space="preserve"> </w:t>
      </w:r>
      <w:r w:rsidRPr="000531D6">
        <w:rPr>
          <w:b/>
          <w:kern w:val="0"/>
          <w:szCs w:val="22"/>
        </w:rPr>
        <w:t>Before</w:t>
      </w:r>
      <w:r w:rsidRPr="000531D6">
        <w:rPr>
          <w:b/>
          <w:szCs w:val="22"/>
        </w:rPr>
        <w:t xml:space="preserve"> the</w:t>
      </w:r>
    </w:p>
    <w:p w:rsidR="00E273E3" w:rsidRPr="000531D6" w:rsidP="002659F3">
      <w:pPr>
        <w:pStyle w:val="StyleBoldCentered"/>
        <w:widowControl/>
        <w:rPr>
          <w:rFonts w:ascii="Times New Roman" w:hAnsi="Times New Roman"/>
        </w:rPr>
      </w:pPr>
      <w:r w:rsidRPr="000531D6">
        <w:rPr>
          <w:rFonts w:ascii="Times New Roman" w:hAnsi="Times New Roman"/>
        </w:rPr>
        <w:t>F</w:t>
      </w:r>
      <w:r w:rsidRPr="000531D6">
        <w:rPr>
          <w:rFonts w:ascii="Times New Roman" w:hAnsi="Times New Roman"/>
          <w:caps w:val="0"/>
        </w:rPr>
        <w:t>ederal Communications Commission</w:t>
      </w:r>
    </w:p>
    <w:p w:rsidR="00E273E3" w:rsidRPr="000531D6" w:rsidP="002659F3">
      <w:pPr>
        <w:pStyle w:val="StyleBoldCentered"/>
        <w:widowControl/>
        <w:rPr>
          <w:rFonts w:ascii="Times New Roman" w:hAnsi="Times New Roman"/>
        </w:rPr>
      </w:pPr>
      <w:r w:rsidRPr="000531D6">
        <w:rPr>
          <w:rFonts w:ascii="Times New Roman" w:hAnsi="Times New Roman"/>
          <w:caps w:val="0"/>
        </w:rPr>
        <w:t>Washington</w:t>
      </w:r>
      <w:r w:rsidRPr="000531D6" w:rsidR="00BD0B73">
        <w:rPr>
          <w:rFonts w:ascii="Times New Roman" w:hAnsi="Times New Roman"/>
        </w:rPr>
        <w:t>, DC</w:t>
      </w:r>
      <w:r w:rsidRPr="000531D6">
        <w:rPr>
          <w:rFonts w:ascii="Times New Roman" w:hAnsi="Times New Roman"/>
        </w:rPr>
        <w:t xml:space="preserve"> 20554</w:t>
      </w:r>
    </w:p>
    <w:p w:rsidR="00E273E3" w:rsidRPr="000531D6" w:rsidP="002659F3">
      <w:pPr>
        <w:widowControl/>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E273E3" w:rsidRPr="000531D6" w:rsidP="002659F3">
            <w:pPr>
              <w:widowControl/>
              <w:suppressAutoHyphens/>
              <w:rPr>
                <w:spacing w:val="-2"/>
                <w:szCs w:val="22"/>
              </w:rPr>
            </w:pPr>
            <w:r w:rsidRPr="000531D6">
              <w:rPr>
                <w:spacing w:val="-2"/>
                <w:szCs w:val="22"/>
              </w:rPr>
              <w:t>In the Matter of</w:t>
            </w:r>
          </w:p>
          <w:p w:rsidR="00E273E3" w:rsidRPr="000531D6" w:rsidP="002659F3">
            <w:pPr>
              <w:widowControl/>
              <w:suppressAutoHyphens/>
              <w:rPr>
                <w:spacing w:val="-2"/>
                <w:szCs w:val="22"/>
              </w:rPr>
            </w:pPr>
          </w:p>
          <w:p w:rsidR="00E273E3" w:rsidRPr="000531D6" w:rsidP="00190DD9">
            <w:pPr>
              <w:widowControl/>
              <w:suppressAutoHyphens/>
              <w:rPr>
                <w:spacing w:val="-2"/>
                <w:szCs w:val="22"/>
              </w:rPr>
            </w:pPr>
            <w:r w:rsidRPr="000531D6">
              <w:rPr>
                <w:szCs w:val="22"/>
              </w:rPr>
              <w:t>Amcrest Industries</w:t>
            </w:r>
            <w:r w:rsidRPr="000531D6" w:rsidR="00D71DAC">
              <w:rPr>
                <w:szCs w:val="22"/>
              </w:rPr>
              <w:t>,</w:t>
            </w:r>
            <w:r w:rsidRPr="000531D6" w:rsidR="00AA44FD">
              <w:rPr>
                <w:szCs w:val="22"/>
              </w:rPr>
              <w:t xml:space="preserve"> LLC</w:t>
            </w:r>
            <w:r w:rsidRPr="000531D6" w:rsidR="00826751">
              <w:rPr>
                <w:szCs w:val="22"/>
              </w:rPr>
              <w:t xml:space="preserve"> </w:t>
            </w:r>
            <w:r w:rsidRPr="000531D6" w:rsidR="00B20D2F">
              <w:rPr>
                <w:szCs w:val="22"/>
              </w:rPr>
              <w:t>d</w:t>
            </w:r>
            <w:r w:rsidRPr="000531D6" w:rsidR="007D37E1">
              <w:rPr>
                <w:szCs w:val="22"/>
              </w:rPr>
              <w:t>/</w:t>
            </w:r>
            <w:r w:rsidRPr="000531D6" w:rsidR="00B20D2F">
              <w:rPr>
                <w:szCs w:val="22"/>
              </w:rPr>
              <w:t>b</w:t>
            </w:r>
            <w:r w:rsidRPr="000531D6" w:rsidR="007D37E1">
              <w:rPr>
                <w:szCs w:val="22"/>
              </w:rPr>
              <w:t>/</w:t>
            </w:r>
            <w:r w:rsidRPr="000531D6" w:rsidR="00B20D2F">
              <w:rPr>
                <w:szCs w:val="22"/>
              </w:rPr>
              <w:t>a</w:t>
            </w:r>
            <w:r w:rsidRPr="000531D6" w:rsidR="007D37E1">
              <w:rPr>
                <w:szCs w:val="22"/>
              </w:rPr>
              <w:t xml:space="preserve"> Baofengradio</w:t>
            </w:r>
            <w:r w:rsidRPr="000531D6" w:rsidR="009D3214">
              <w:rPr>
                <w:szCs w:val="22"/>
              </w:rPr>
              <w:t>.us</w:t>
            </w:r>
          </w:p>
        </w:tc>
        <w:tc>
          <w:tcPr>
            <w:tcW w:w="630" w:type="dxa"/>
          </w:tcPr>
          <w:p w:rsidR="00E273E3" w:rsidRPr="000531D6" w:rsidP="002659F3">
            <w:pPr>
              <w:widowControl/>
              <w:suppressAutoHyphens/>
              <w:rPr>
                <w:spacing w:val="-2"/>
                <w:szCs w:val="22"/>
              </w:rPr>
            </w:pPr>
            <w:r w:rsidRPr="000531D6">
              <w:rPr>
                <w:spacing w:val="-2"/>
                <w:szCs w:val="22"/>
              </w:rPr>
              <w:t>)</w:t>
            </w:r>
          </w:p>
          <w:p w:rsidR="00E273E3" w:rsidRPr="000531D6" w:rsidP="002659F3">
            <w:pPr>
              <w:widowControl/>
              <w:suppressAutoHyphens/>
              <w:rPr>
                <w:spacing w:val="-2"/>
                <w:szCs w:val="22"/>
              </w:rPr>
            </w:pPr>
            <w:r w:rsidRPr="000531D6">
              <w:rPr>
                <w:spacing w:val="-2"/>
                <w:szCs w:val="22"/>
              </w:rPr>
              <w:t>)</w:t>
            </w:r>
          </w:p>
          <w:p w:rsidR="00E273E3" w:rsidRPr="000531D6" w:rsidP="002659F3">
            <w:pPr>
              <w:widowControl/>
              <w:suppressAutoHyphens/>
              <w:rPr>
                <w:spacing w:val="-2"/>
                <w:szCs w:val="22"/>
              </w:rPr>
            </w:pPr>
            <w:r w:rsidRPr="000531D6">
              <w:rPr>
                <w:spacing w:val="-2"/>
                <w:szCs w:val="22"/>
              </w:rPr>
              <w:t>)</w:t>
            </w:r>
          </w:p>
          <w:p w:rsidR="00E273E3" w:rsidRPr="000531D6" w:rsidP="002659F3">
            <w:pPr>
              <w:widowControl/>
              <w:suppressAutoHyphens/>
              <w:rPr>
                <w:spacing w:val="-2"/>
                <w:szCs w:val="22"/>
              </w:rPr>
            </w:pPr>
            <w:r w:rsidRPr="000531D6">
              <w:rPr>
                <w:spacing w:val="-2"/>
                <w:szCs w:val="22"/>
              </w:rPr>
              <w:t>)</w:t>
            </w:r>
          </w:p>
          <w:p w:rsidR="00E273E3" w:rsidRPr="000531D6" w:rsidP="002659F3">
            <w:pPr>
              <w:widowControl/>
              <w:suppressAutoHyphens/>
              <w:rPr>
                <w:spacing w:val="-2"/>
                <w:szCs w:val="22"/>
              </w:rPr>
            </w:pPr>
          </w:p>
        </w:tc>
        <w:tc>
          <w:tcPr>
            <w:tcW w:w="4248" w:type="dxa"/>
          </w:tcPr>
          <w:p w:rsidR="00E273E3" w:rsidRPr="000531D6" w:rsidP="002659F3">
            <w:pPr>
              <w:widowControl/>
              <w:suppressAutoHyphens/>
              <w:rPr>
                <w:spacing w:val="-2"/>
                <w:szCs w:val="22"/>
              </w:rPr>
            </w:pPr>
          </w:p>
          <w:p w:rsidR="00E273E3" w:rsidRPr="000531D6" w:rsidP="002659F3">
            <w:pPr>
              <w:widowControl/>
              <w:suppressAutoHyphens/>
              <w:rPr>
                <w:spacing w:val="-2"/>
                <w:szCs w:val="22"/>
              </w:rPr>
            </w:pPr>
          </w:p>
          <w:p w:rsidR="00E273E3" w:rsidRPr="000531D6" w:rsidP="00EE05DB">
            <w:pPr>
              <w:widowControl/>
              <w:suppressAutoHyphens/>
              <w:ind w:left="432"/>
              <w:rPr>
                <w:spacing w:val="-2"/>
                <w:szCs w:val="22"/>
              </w:rPr>
            </w:pPr>
            <w:r w:rsidRPr="000531D6">
              <w:rPr>
                <w:spacing w:val="-2"/>
                <w:szCs w:val="22"/>
              </w:rPr>
              <w:t>File No.:  EB-</w:t>
            </w:r>
            <w:r w:rsidRPr="000531D6" w:rsidR="00725A3C">
              <w:rPr>
                <w:spacing w:val="-2"/>
                <w:szCs w:val="22"/>
              </w:rPr>
              <w:t>SED-17-00024360</w:t>
            </w:r>
          </w:p>
          <w:p w:rsidR="00E273E3" w:rsidRPr="000531D6" w:rsidP="00FA6A4A">
            <w:pPr>
              <w:widowControl/>
              <w:suppressAutoHyphens/>
              <w:ind w:left="432"/>
              <w:rPr>
                <w:spacing w:val="-2"/>
                <w:szCs w:val="22"/>
              </w:rPr>
            </w:pPr>
          </w:p>
        </w:tc>
      </w:tr>
    </w:tbl>
    <w:p w:rsidR="00E273E3" w:rsidRPr="000531D6" w:rsidP="002659F3">
      <w:pPr>
        <w:pStyle w:val="StyleBoldCentered"/>
        <w:widowControl/>
        <w:spacing w:after="220"/>
        <w:rPr>
          <w:rFonts w:ascii="Times New Roman" w:hAnsi="Times New Roman"/>
        </w:rPr>
      </w:pPr>
      <w:r w:rsidRPr="000531D6">
        <w:rPr>
          <w:rFonts w:ascii="Times New Roman" w:hAnsi="Times New Roman"/>
        </w:rPr>
        <w:t xml:space="preserve">CITATION AND </w:t>
      </w:r>
      <w:r w:rsidRPr="000531D6">
        <w:rPr>
          <w:rFonts w:ascii="Times New Roman" w:hAnsi="Times New Roman"/>
        </w:rPr>
        <w:t>ORDER</w:t>
      </w:r>
    </w:p>
    <w:p w:rsidR="006657AB" w:rsidRPr="000531D6" w:rsidP="009536A5">
      <w:pPr>
        <w:spacing w:after="240"/>
        <w:jc w:val="center"/>
        <w:rPr>
          <w:b/>
          <w:szCs w:val="22"/>
        </w:rPr>
      </w:pPr>
      <w:r w:rsidRPr="000531D6">
        <w:rPr>
          <w:b/>
          <w:szCs w:val="22"/>
        </w:rPr>
        <w:t xml:space="preserve">ILLEGAL </w:t>
      </w:r>
      <w:r w:rsidRPr="000531D6" w:rsidR="009B38D7">
        <w:rPr>
          <w:b/>
          <w:szCs w:val="22"/>
        </w:rPr>
        <w:t xml:space="preserve">MARKETING OF </w:t>
      </w:r>
      <w:r w:rsidRPr="000531D6">
        <w:rPr>
          <w:b/>
          <w:szCs w:val="22"/>
        </w:rPr>
        <w:t xml:space="preserve">UNAUTHORIZED </w:t>
      </w:r>
      <w:r w:rsidRPr="000531D6" w:rsidR="009B38D7">
        <w:rPr>
          <w:b/>
          <w:szCs w:val="22"/>
        </w:rPr>
        <w:t>RADIO</w:t>
      </w:r>
      <w:r w:rsidRPr="000531D6" w:rsidR="00953991">
        <w:rPr>
          <w:b/>
          <w:szCs w:val="22"/>
        </w:rPr>
        <w:t xml:space="preserve"> </w:t>
      </w:r>
      <w:r w:rsidRPr="000531D6" w:rsidR="009B38D7">
        <w:rPr>
          <w:b/>
          <w:szCs w:val="22"/>
        </w:rPr>
        <w:t xml:space="preserve">FREQUENCY DEVICES </w:t>
      </w:r>
    </w:p>
    <w:p w:rsidR="00E273E3" w:rsidRPr="000531D6" w:rsidP="00226191">
      <w:pPr>
        <w:widowControl/>
        <w:tabs>
          <w:tab w:val="right" w:pos="9360"/>
        </w:tabs>
        <w:suppressAutoHyphens/>
        <w:rPr>
          <w:spacing w:val="-2"/>
          <w:szCs w:val="22"/>
        </w:rPr>
      </w:pPr>
      <w:r w:rsidRPr="000531D6">
        <w:rPr>
          <w:b/>
          <w:spacing w:val="-2"/>
          <w:szCs w:val="22"/>
        </w:rPr>
        <w:t xml:space="preserve">Adopted:  </w:t>
      </w:r>
      <w:r w:rsidR="000E5C2C">
        <w:rPr>
          <w:b/>
          <w:spacing w:val="-2"/>
          <w:szCs w:val="22"/>
        </w:rPr>
        <w:t>August 1, 2018</w:t>
      </w:r>
      <w:r w:rsidRPr="000531D6" w:rsidR="006D2212">
        <w:rPr>
          <w:b/>
          <w:spacing w:val="-2"/>
          <w:szCs w:val="22"/>
        </w:rPr>
        <w:tab/>
        <w:t xml:space="preserve">Released:  </w:t>
      </w:r>
      <w:r w:rsidR="000E5C2C">
        <w:rPr>
          <w:b/>
          <w:spacing w:val="-2"/>
          <w:szCs w:val="22"/>
        </w:rPr>
        <w:t>August 1, 2018</w:t>
      </w:r>
    </w:p>
    <w:p w:rsidR="00E273E3" w:rsidRPr="000531D6" w:rsidP="00EE05DB">
      <w:pPr>
        <w:widowControl/>
        <w:jc w:val="center"/>
        <w:rPr>
          <w:szCs w:val="22"/>
        </w:rPr>
      </w:pPr>
    </w:p>
    <w:p w:rsidR="00E273E3" w:rsidRPr="000531D6" w:rsidP="002659F3">
      <w:pPr>
        <w:widowControl/>
        <w:rPr>
          <w:spacing w:val="-2"/>
          <w:szCs w:val="22"/>
        </w:rPr>
      </w:pPr>
      <w:r w:rsidRPr="000531D6">
        <w:rPr>
          <w:szCs w:val="22"/>
        </w:rPr>
        <w:t xml:space="preserve">By the </w:t>
      </w:r>
      <w:r w:rsidRPr="000531D6" w:rsidR="00EE36BE">
        <w:rPr>
          <w:spacing w:val="-2"/>
          <w:szCs w:val="22"/>
        </w:rPr>
        <w:t>Chief</w:t>
      </w:r>
      <w:r w:rsidRPr="000531D6" w:rsidR="009D3214">
        <w:rPr>
          <w:spacing w:val="-2"/>
          <w:szCs w:val="22"/>
        </w:rPr>
        <w:t>, Spectrum Enforcement Division, Enforcement Bureau</w:t>
      </w:r>
      <w:r w:rsidRPr="000531D6" w:rsidR="00EE36BE">
        <w:rPr>
          <w:spacing w:val="-2"/>
          <w:szCs w:val="22"/>
        </w:rPr>
        <w:t>:</w:t>
      </w:r>
    </w:p>
    <w:p w:rsidR="00E273E3" w:rsidRPr="000531D6" w:rsidP="002659F3">
      <w:pPr>
        <w:widowControl/>
        <w:rPr>
          <w:spacing w:val="-2"/>
          <w:szCs w:val="22"/>
        </w:rPr>
      </w:pPr>
    </w:p>
    <w:p w:rsidR="00E273E3" w:rsidRPr="000531D6" w:rsidP="00226191">
      <w:pPr>
        <w:pStyle w:val="Heading1"/>
        <w:rPr>
          <w:rFonts w:ascii="Times New Roman" w:hAnsi="Times New Roman"/>
          <w:szCs w:val="22"/>
        </w:rPr>
      </w:pPr>
      <w:bookmarkStart w:id="0" w:name="_Toc379288998"/>
      <w:bookmarkStart w:id="1" w:name="_Toc379365499"/>
      <w:r w:rsidRPr="000531D6">
        <w:rPr>
          <w:rFonts w:ascii="Times New Roman" w:hAnsi="Times New Roman"/>
          <w:szCs w:val="22"/>
        </w:rPr>
        <w:t>NOTICE OF CITATION</w:t>
      </w:r>
      <w:bookmarkEnd w:id="0"/>
      <w:bookmarkEnd w:id="1"/>
    </w:p>
    <w:p w:rsidR="00C158FD" w:rsidRPr="000531D6" w:rsidP="00E75FCE">
      <w:pPr>
        <w:pStyle w:val="ParaNum"/>
        <w:tabs>
          <w:tab w:val="clear" w:pos="1080"/>
        </w:tabs>
        <w:rPr>
          <w:szCs w:val="22"/>
        </w:rPr>
      </w:pPr>
      <w:r w:rsidRPr="000531D6">
        <w:rPr>
          <w:szCs w:val="22"/>
        </w:rPr>
        <w:t xml:space="preserve">Under </w:t>
      </w:r>
      <w:r w:rsidRPr="000531D6" w:rsidR="00A215C8">
        <w:rPr>
          <w:szCs w:val="22"/>
        </w:rPr>
        <w:t xml:space="preserve">the rules of the </w:t>
      </w:r>
      <w:r w:rsidRPr="000531D6" w:rsidR="00604FCF">
        <w:rPr>
          <w:szCs w:val="22"/>
        </w:rPr>
        <w:t xml:space="preserve">Federal Communication </w:t>
      </w:r>
      <w:r w:rsidRPr="000531D6">
        <w:rPr>
          <w:szCs w:val="22"/>
        </w:rPr>
        <w:t xml:space="preserve">Commission </w:t>
      </w:r>
      <w:r w:rsidRPr="000531D6" w:rsidR="00A215C8">
        <w:rPr>
          <w:szCs w:val="22"/>
        </w:rPr>
        <w:t>(Commission or FCC)</w:t>
      </w:r>
      <w:r w:rsidRPr="000531D6">
        <w:rPr>
          <w:szCs w:val="22"/>
        </w:rPr>
        <w:t>,</w:t>
      </w:r>
      <w:r w:rsidRPr="000531D6">
        <w:rPr>
          <w:szCs w:val="22"/>
        </w:rPr>
        <w:t xml:space="preserve"> </w:t>
      </w:r>
      <w:r w:rsidRPr="000531D6" w:rsidR="005046E4">
        <w:rPr>
          <w:szCs w:val="22"/>
        </w:rPr>
        <w:t>radio frequency</w:t>
      </w:r>
      <w:r w:rsidRPr="000531D6" w:rsidR="00CC2B76">
        <w:rPr>
          <w:szCs w:val="22"/>
        </w:rPr>
        <w:t xml:space="preserve"> (RF)</w:t>
      </w:r>
      <w:r w:rsidRPr="000531D6" w:rsidR="005046E4">
        <w:rPr>
          <w:szCs w:val="22"/>
        </w:rPr>
        <w:t xml:space="preserve"> </w:t>
      </w:r>
      <w:r w:rsidRPr="000531D6">
        <w:rPr>
          <w:szCs w:val="22"/>
        </w:rPr>
        <w:t xml:space="preserve">devices </w:t>
      </w:r>
      <w:r w:rsidRPr="000531D6" w:rsidR="009B2DC0">
        <w:rPr>
          <w:szCs w:val="22"/>
        </w:rPr>
        <w:t xml:space="preserve">marketed in the United States </w:t>
      </w:r>
      <w:r w:rsidRPr="000531D6">
        <w:rPr>
          <w:szCs w:val="22"/>
        </w:rPr>
        <w:t xml:space="preserve">must </w:t>
      </w:r>
      <w:r w:rsidRPr="000531D6">
        <w:rPr>
          <w:szCs w:val="22"/>
        </w:rPr>
        <w:t>operate within certain technical parameters</w:t>
      </w:r>
      <w:r w:rsidRPr="000531D6" w:rsidR="00CC2B76">
        <w:rPr>
          <w:szCs w:val="22"/>
        </w:rPr>
        <w:t xml:space="preserve"> because </w:t>
      </w:r>
      <w:r w:rsidRPr="000531D6" w:rsidR="00604FCF">
        <w:rPr>
          <w:szCs w:val="22"/>
        </w:rPr>
        <w:t>they can</w:t>
      </w:r>
      <w:r w:rsidRPr="000531D6" w:rsidR="00CC2B76">
        <w:rPr>
          <w:szCs w:val="22"/>
        </w:rPr>
        <w:t xml:space="preserve"> easily ca</w:t>
      </w:r>
      <w:r w:rsidRPr="000531D6" w:rsidR="001901C2">
        <w:rPr>
          <w:szCs w:val="22"/>
        </w:rPr>
        <w:t>u</w:t>
      </w:r>
      <w:r w:rsidRPr="000531D6" w:rsidR="00CC2B76">
        <w:rPr>
          <w:szCs w:val="22"/>
        </w:rPr>
        <w:t xml:space="preserve">se interference to federal </w:t>
      </w:r>
      <w:r w:rsidRPr="000531D6" w:rsidR="00A55BFC">
        <w:rPr>
          <w:szCs w:val="22"/>
        </w:rPr>
        <w:t xml:space="preserve">government </w:t>
      </w:r>
      <w:r w:rsidRPr="000531D6" w:rsidR="00CC2B76">
        <w:rPr>
          <w:szCs w:val="22"/>
        </w:rPr>
        <w:t xml:space="preserve">and licensed communications systems.  </w:t>
      </w:r>
      <w:r w:rsidRPr="000531D6" w:rsidR="00341FE6">
        <w:rPr>
          <w:szCs w:val="22"/>
        </w:rPr>
        <w:t xml:space="preserve">Consistent with </w:t>
      </w:r>
      <w:r w:rsidRPr="000531D6" w:rsidR="005046E4">
        <w:rPr>
          <w:szCs w:val="22"/>
        </w:rPr>
        <w:t xml:space="preserve">these rules, the Commission </w:t>
      </w:r>
      <w:r w:rsidRPr="000531D6" w:rsidR="00604FCF">
        <w:rPr>
          <w:szCs w:val="22"/>
        </w:rPr>
        <w:t xml:space="preserve">has </w:t>
      </w:r>
      <w:r w:rsidRPr="000531D6" w:rsidR="005046E4">
        <w:rPr>
          <w:szCs w:val="22"/>
        </w:rPr>
        <w:t xml:space="preserve">established an equipment authorization program, </w:t>
      </w:r>
      <w:r w:rsidRPr="000531D6" w:rsidR="00604FCF">
        <w:rPr>
          <w:szCs w:val="22"/>
        </w:rPr>
        <w:t xml:space="preserve">which requires </w:t>
      </w:r>
      <w:r w:rsidRPr="000531D6" w:rsidR="00E27D8B">
        <w:rPr>
          <w:szCs w:val="22"/>
        </w:rPr>
        <w:t xml:space="preserve">most </w:t>
      </w:r>
      <w:r w:rsidRPr="000531D6" w:rsidR="005046E4">
        <w:rPr>
          <w:szCs w:val="22"/>
        </w:rPr>
        <w:t xml:space="preserve">RF devices to first pass tests verifying that </w:t>
      </w:r>
      <w:r w:rsidRPr="000531D6" w:rsidR="00604FCF">
        <w:rPr>
          <w:szCs w:val="22"/>
        </w:rPr>
        <w:t>they</w:t>
      </w:r>
      <w:r w:rsidRPr="000531D6" w:rsidR="005046E4">
        <w:rPr>
          <w:szCs w:val="22"/>
        </w:rPr>
        <w:t xml:space="preserve"> </w:t>
      </w:r>
      <w:r w:rsidRPr="000531D6" w:rsidR="00341FE6">
        <w:rPr>
          <w:szCs w:val="22"/>
        </w:rPr>
        <w:t xml:space="preserve">comply </w:t>
      </w:r>
      <w:r w:rsidRPr="000531D6" w:rsidR="005046E4">
        <w:rPr>
          <w:szCs w:val="22"/>
        </w:rPr>
        <w:t xml:space="preserve">with </w:t>
      </w:r>
      <w:r w:rsidRPr="000531D6" w:rsidR="00F63EA9">
        <w:rPr>
          <w:szCs w:val="22"/>
        </w:rPr>
        <w:t>FCC-</w:t>
      </w:r>
      <w:r w:rsidRPr="000531D6" w:rsidR="005046E4">
        <w:rPr>
          <w:szCs w:val="22"/>
        </w:rPr>
        <w:t xml:space="preserve">prescribed technical </w:t>
      </w:r>
      <w:r w:rsidRPr="000531D6" w:rsidR="00604FCF">
        <w:rPr>
          <w:szCs w:val="22"/>
        </w:rPr>
        <w:t xml:space="preserve">requirements </w:t>
      </w:r>
      <w:r w:rsidRPr="000531D6" w:rsidR="00F801E1">
        <w:rPr>
          <w:szCs w:val="22"/>
        </w:rPr>
        <w:t xml:space="preserve">before </w:t>
      </w:r>
      <w:r w:rsidRPr="000531D6" w:rsidR="000A7190">
        <w:rPr>
          <w:szCs w:val="22"/>
        </w:rPr>
        <w:t>such device</w:t>
      </w:r>
      <w:r w:rsidRPr="000531D6" w:rsidR="00341FE6">
        <w:rPr>
          <w:szCs w:val="22"/>
        </w:rPr>
        <w:t>s</w:t>
      </w:r>
      <w:r w:rsidRPr="000531D6" w:rsidR="000A7190">
        <w:rPr>
          <w:szCs w:val="22"/>
        </w:rPr>
        <w:t xml:space="preserve"> </w:t>
      </w:r>
      <w:r w:rsidRPr="000531D6" w:rsidR="00341FE6">
        <w:rPr>
          <w:szCs w:val="22"/>
        </w:rPr>
        <w:t xml:space="preserve">can </w:t>
      </w:r>
      <w:r w:rsidRPr="000531D6" w:rsidR="002478CD">
        <w:rPr>
          <w:szCs w:val="22"/>
        </w:rPr>
        <w:t>be</w:t>
      </w:r>
      <w:r w:rsidRPr="000531D6" w:rsidR="000A7190">
        <w:rPr>
          <w:szCs w:val="22"/>
        </w:rPr>
        <w:t xml:space="preserve"> </w:t>
      </w:r>
      <w:r w:rsidRPr="000531D6" w:rsidR="005046E4">
        <w:rPr>
          <w:szCs w:val="22"/>
        </w:rPr>
        <w:t>marketed in the United States</w:t>
      </w:r>
      <w:r w:rsidRPr="000531D6" w:rsidR="00CC2B76">
        <w:rPr>
          <w:szCs w:val="22"/>
        </w:rPr>
        <w:t>.</w:t>
      </w:r>
      <w:r>
        <w:rPr>
          <w:rStyle w:val="FootnoteReference"/>
          <w:sz w:val="22"/>
          <w:szCs w:val="22"/>
        </w:rPr>
        <w:footnoteReference w:id="3"/>
      </w:r>
      <w:r w:rsidRPr="000531D6" w:rsidR="005046E4">
        <w:rPr>
          <w:szCs w:val="22"/>
        </w:rPr>
        <w:t xml:space="preserve">  As such, </w:t>
      </w:r>
      <w:r w:rsidRPr="000531D6" w:rsidR="00CC2B76">
        <w:rPr>
          <w:szCs w:val="22"/>
        </w:rPr>
        <w:t xml:space="preserve">a </w:t>
      </w:r>
      <w:r w:rsidRPr="000531D6">
        <w:rPr>
          <w:szCs w:val="22"/>
        </w:rPr>
        <w:t xml:space="preserve">marketer must </w:t>
      </w:r>
      <w:r w:rsidRPr="000531D6" w:rsidR="00F801E1">
        <w:rPr>
          <w:szCs w:val="22"/>
        </w:rPr>
        <w:t>(</w:t>
      </w:r>
      <w:r w:rsidRPr="000531D6" w:rsidR="00A45F47">
        <w:rPr>
          <w:szCs w:val="22"/>
        </w:rPr>
        <w:t>a</w:t>
      </w:r>
      <w:r w:rsidRPr="000531D6" w:rsidR="00F801E1">
        <w:rPr>
          <w:szCs w:val="22"/>
        </w:rPr>
        <w:t xml:space="preserve">) </w:t>
      </w:r>
      <w:r w:rsidRPr="000531D6">
        <w:rPr>
          <w:szCs w:val="22"/>
        </w:rPr>
        <w:t>ensure</w:t>
      </w:r>
      <w:r w:rsidRPr="000531D6" w:rsidR="009B2DC0">
        <w:rPr>
          <w:szCs w:val="22"/>
        </w:rPr>
        <w:t xml:space="preserve"> that </w:t>
      </w:r>
      <w:r w:rsidRPr="000531D6" w:rsidR="00CC2B76">
        <w:rPr>
          <w:szCs w:val="22"/>
        </w:rPr>
        <w:t xml:space="preserve">any </w:t>
      </w:r>
      <w:r w:rsidRPr="000531D6" w:rsidR="009B2DC0">
        <w:rPr>
          <w:szCs w:val="22"/>
        </w:rPr>
        <w:t xml:space="preserve">RF device </w:t>
      </w:r>
      <w:r w:rsidRPr="000531D6" w:rsidR="00CC2B76">
        <w:rPr>
          <w:szCs w:val="22"/>
        </w:rPr>
        <w:t xml:space="preserve">it offers for sale in the United States </w:t>
      </w:r>
      <w:r w:rsidRPr="000531D6" w:rsidR="005046E4">
        <w:rPr>
          <w:szCs w:val="22"/>
        </w:rPr>
        <w:t>ha</w:t>
      </w:r>
      <w:r w:rsidRPr="000531D6" w:rsidR="00CC2B76">
        <w:rPr>
          <w:szCs w:val="22"/>
        </w:rPr>
        <w:t>s</w:t>
      </w:r>
      <w:r w:rsidRPr="000531D6" w:rsidR="005046E4">
        <w:rPr>
          <w:szCs w:val="22"/>
        </w:rPr>
        <w:t xml:space="preserve"> been </w:t>
      </w:r>
      <w:r w:rsidRPr="000531D6" w:rsidR="00CC2B76">
        <w:rPr>
          <w:szCs w:val="22"/>
        </w:rPr>
        <w:t xml:space="preserve">tested under and complies with the Commission’s rules and </w:t>
      </w:r>
      <w:r w:rsidRPr="000531D6" w:rsidR="008977F8">
        <w:rPr>
          <w:szCs w:val="22"/>
        </w:rPr>
        <w:t>(</w:t>
      </w:r>
      <w:r w:rsidRPr="000531D6" w:rsidR="00A45F47">
        <w:rPr>
          <w:szCs w:val="22"/>
        </w:rPr>
        <w:t>b</w:t>
      </w:r>
      <w:r w:rsidRPr="000531D6" w:rsidR="008977F8">
        <w:rPr>
          <w:szCs w:val="22"/>
        </w:rPr>
        <w:t>) a</w:t>
      </w:r>
      <w:r w:rsidRPr="000531D6" w:rsidR="00CC2B76">
        <w:rPr>
          <w:szCs w:val="22"/>
        </w:rPr>
        <w:t xml:space="preserve">dhere to </w:t>
      </w:r>
      <w:r w:rsidRPr="000531D6">
        <w:rPr>
          <w:szCs w:val="22"/>
        </w:rPr>
        <w:t xml:space="preserve">all </w:t>
      </w:r>
      <w:r w:rsidRPr="000531D6" w:rsidR="00F801E1">
        <w:rPr>
          <w:szCs w:val="22"/>
        </w:rPr>
        <w:t>FCC identification</w:t>
      </w:r>
      <w:r w:rsidRPr="000531D6" w:rsidR="007C28B6">
        <w:rPr>
          <w:szCs w:val="22"/>
        </w:rPr>
        <w:t xml:space="preserve"> </w:t>
      </w:r>
      <w:r w:rsidRPr="000531D6">
        <w:rPr>
          <w:szCs w:val="22"/>
        </w:rPr>
        <w:t>requirements</w:t>
      </w:r>
      <w:r w:rsidRPr="000531D6" w:rsidR="00CC2B76">
        <w:rPr>
          <w:szCs w:val="22"/>
        </w:rPr>
        <w:t xml:space="preserve">, </w:t>
      </w:r>
      <w:r w:rsidRPr="000531D6" w:rsidR="00A55BFC">
        <w:rPr>
          <w:szCs w:val="22"/>
        </w:rPr>
        <w:t xml:space="preserve">including providing notice to </w:t>
      </w:r>
      <w:r w:rsidRPr="000531D6" w:rsidR="00CC2B76">
        <w:rPr>
          <w:szCs w:val="22"/>
        </w:rPr>
        <w:t>consumer</w:t>
      </w:r>
      <w:r w:rsidRPr="000531D6" w:rsidR="00A45F47">
        <w:rPr>
          <w:szCs w:val="22"/>
        </w:rPr>
        <w:t>s</w:t>
      </w:r>
      <w:r w:rsidRPr="000531D6" w:rsidR="00CC2B76">
        <w:rPr>
          <w:szCs w:val="22"/>
        </w:rPr>
        <w:t xml:space="preserve"> that such device has been </w:t>
      </w:r>
      <w:r w:rsidRPr="000531D6" w:rsidR="008977F8">
        <w:rPr>
          <w:szCs w:val="22"/>
        </w:rPr>
        <w:t xml:space="preserve">properly authorized </w:t>
      </w:r>
      <w:r w:rsidRPr="000531D6" w:rsidR="00F801E1">
        <w:rPr>
          <w:szCs w:val="22"/>
        </w:rPr>
        <w:t>under the Commission’s rules</w:t>
      </w:r>
      <w:r w:rsidRPr="000531D6" w:rsidR="007C28B6">
        <w:rPr>
          <w:szCs w:val="22"/>
        </w:rPr>
        <w:t>.</w:t>
      </w:r>
      <w:r w:rsidRPr="000531D6" w:rsidR="00284370">
        <w:rPr>
          <w:szCs w:val="22"/>
        </w:rPr>
        <w:t xml:space="preserve">  </w:t>
      </w:r>
    </w:p>
    <w:p w:rsidR="00336824" w:rsidRPr="000531D6">
      <w:pPr>
        <w:pStyle w:val="ParaNum"/>
        <w:tabs>
          <w:tab w:val="clear" w:pos="1080"/>
        </w:tabs>
        <w:rPr>
          <w:szCs w:val="22"/>
        </w:rPr>
      </w:pPr>
      <w:r w:rsidRPr="000531D6">
        <w:rPr>
          <w:szCs w:val="22"/>
        </w:rPr>
        <w:t>T</w:t>
      </w:r>
      <w:r w:rsidRPr="000531D6" w:rsidR="00500FF2">
        <w:rPr>
          <w:szCs w:val="22"/>
        </w:rPr>
        <w:t xml:space="preserve">his </w:t>
      </w:r>
      <w:r w:rsidRPr="000531D6" w:rsidR="00500FF2">
        <w:rPr>
          <w:b/>
          <w:szCs w:val="22"/>
        </w:rPr>
        <w:t>CITATION AND ORDER</w:t>
      </w:r>
      <w:r w:rsidRPr="000531D6" w:rsidR="00716E89">
        <w:rPr>
          <w:b/>
          <w:szCs w:val="22"/>
        </w:rPr>
        <w:t xml:space="preserve"> </w:t>
      </w:r>
      <w:r w:rsidRPr="000531D6" w:rsidR="00716E89">
        <w:rPr>
          <w:szCs w:val="22"/>
        </w:rPr>
        <w:t>(Citation)</w:t>
      </w:r>
      <w:r w:rsidRPr="000531D6">
        <w:rPr>
          <w:szCs w:val="22"/>
        </w:rPr>
        <w:t xml:space="preserve"> notifies</w:t>
      </w:r>
      <w:r w:rsidRPr="000531D6" w:rsidR="00500FF2">
        <w:rPr>
          <w:szCs w:val="22"/>
        </w:rPr>
        <w:t xml:space="preserve"> </w:t>
      </w:r>
      <w:r w:rsidRPr="000531D6" w:rsidR="00826751">
        <w:rPr>
          <w:szCs w:val="22"/>
        </w:rPr>
        <w:t xml:space="preserve">Amcrest </w:t>
      </w:r>
      <w:r w:rsidRPr="000531D6" w:rsidR="00922E7A">
        <w:rPr>
          <w:szCs w:val="22"/>
        </w:rPr>
        <w:t>Industries</w:t>
      </w:r>
      <w:r w:rsidRPr="000531D6" w:rsidR="00D71DAC">
        <w:rPr>
          <w:szCs w:val="22"/>
        </w:rPr>
        <w:t>,</w:t>
      </w:r>
      <w:r w:rsidRPr="000531D6" w:rsidR="00826751">
        <w:rPr>
          <w:szCs w:val="22"/>
        </w:rPr>
        <w:t xml:space="preserve"> LLC</w:t>
      </w:r>
      <w:r w:rsidRPr="000531D6" w:rsidR="007D37E1">
        <w:rPr>
          <w:szCs w:val="22"/>
        </w:rPr>
        <w:t xml:space="preserve"> </w:t>
      </w:r>
      <w:r w:rsidRPr="000531D6" w:rsidR="009D3214">
        <w:rPr>
          <w:szCs w:val="22"/>
        </w:rPr>
        <w:t>d</w:t>
      </w:r>
      <w:r w:rsidRPr="000531D6" w:rsidR="007D37E1">
        <w:rPr>
          <w:szCs w:val="22"/>
        </w:rPr>
        <w:t>/</w:t>
      </w:r>
      <w:r w:rsidRPr="000531D6" w:rsidR="009D3214">
        <w:rPr>
          <w:szCs w:val="22"/>
        </w:rPr>
        <w:t>b</w:t>
      </w:r>
      <w:r w:rsidRPr="000531D6" w:rsidR="007D37E1">
        <w:rPr>
          <w:szCs w:val="22"/>
        </w:rPr>
        <w:t>/</w:t>
      </w:r>
      <w:r w:rsidRPr="000531D6" w:rsidR="009D3214">
        <w:rPr>
          <w:szCs w:val="22"/>
        </w:rPr>
        <w:t>a</w:t>
      </w:r>
      <w:r w:rsidRPr="000531D6" w:rsidR="007D37E1">
        <w:rPr>
          <w:szCs w:val="22"/>
        </w:rPr>
        <w:t xml:space="preserve"> Baofengradio</w:t>
      </w:r>
      <w:r w:rsidRPr="000531D6" w:rsidR="009D3214">
        <w:rPr>
          <w:szCs w:val="22"/>
        </w:rPr>
        <w:t xml:space="preserve">.us </w:t>
      </w:r>
      <w:r w:rsidRPr="000531D6" w:rsidR="00D347CF">
        <w:rPr>
          <w:szCs w:val="22"/>
        </w:rPr>
        <w:t>(Amcrest</w:t>
      </w:r>
      <w:r w:rsidRPr="000531D6" w:rsidR="003852A3">
        <w:rPr>
          <w:szCs w:val="22"/>
        </w:rPr>
        <w:t xml:space="preserve"> or Company</w:t>
      </w:r>
      <w:r w:rsidRPr="000531D6" w:rsidR="00D347CF">
        <w:rPr>
          <w:szCs w:val="22"/>
        </w:rPr>
        <w:t>)</w:t>
      </w:r>
      <w:r>
        <w:rPr>
          <w:rStyle w:val="FootnoteReference"/>
          <w:sz w:val="22"/>
          <w:szCs w:val="22"/>
        </w:rPr>
        <w:footnoteReference w:id="4"/>
      </w:r>
      <w:r w:rsidRPr="000531D6" w:rsidR="00D347CF">
        <w:rPr>
          <w:szCs w:val="22"/>
        </w:rPr>
        <w:t xml:space="preserve"> </w:t>
      </w:r>
      <w:r w:rsidRPr="000531D6" w:rsidR="00542045">
        <w:rPr>
          <w:szCs w:val="22"/>
        </w:rPr>
        <w:t>t</w:t>
      </w:r>
      <w:r w:rsidRPr="000531D6" w:rsidR="00500FF2">
        <w:rPr>
          <w:szCs w:val="22"/>
        </w:rPr>
        <w:t xml:space="preserve">hat </w:t>
      </w:r>
      <w:r w:rsidRPr="000531D6" w:rsidR="00C1709F">
        <w:rPr>
          <w:szCs w:val="22"/>
        </w:rPr>
        <w:t xml:space="preserve">it </w:t>
      </w:r>
      <w:r w:rsidRPr="000531D6" w:rsidR="004876A1">
        <w:rPr>
          <w:szCs w:val="22"/>
        </w:rPr>
        <w:t>is</w:t>
      </w:r>
      <w:r w:rsidRPr="000531D6" w:rsidR="00500FF2">
        <w:rPr>
          <w:szCs w:val="22"/>
        </w:rPr>
        <w:t xml:space="preserve"> </w:t>
      </w:r>
      <w:r w:rsidRPr="000531D6" w:rsidR="00112A20">
        <w:rPr>
          <w:szCs w:val="22"/>
        </w:rPr>
        <w:t>market</w:t>
      </w:r>
      <w:r w:rsidRPr="000531D6" w:rsidR="004876A1">
        <w:rPr>
          <w:szCs w:val="22"/>
        </w:rPr>
        <w:t>ing</w:t>
      </w:r>
      <w:r w:rsidRPr="000531D6" w:rsidR="00D26760">
        <w:rPr>
          <w:szCs w:val="22"/>
        </w:rPr>
        <w:t xml:space="preserve"> an</w:t>
      </w:r>
      <w:r w:rsidRPr="000531D6" w:rsidR="00112A20">
        <w:rPr>
          <w:szCs w:val="22"/>
        </w:rPr>
        <w:t xml:space="preserve"> </w:t>
      </w:r>
      <w:r w:rsidRPr="000531D6" w:rsidR="00AC6BC9">
        <w:rPr>
          <w:szCs w:val="22"/>
        </w:rPr>
        <w:t xml:space="preserve">unauthorized </w:t>
      </w:r>
      <w:r w:rsidR="003D16A6">
        <w:t>RF device—a handheld two-way radio—</w:t>
      </w:r>
      <w:r w:rsidRPr="000531D6" w:rsidR="00112A20">
        <w:rPr>
          <w:szCs w:val="22"/>
        </w:rPr>
        <w:t>in</w:t>
      </w:r>
      <w:r w:rsidRPr="000531D6" w:rsidR="00EF488C">
        <w:rPr>
          <w:szCs w:val="22"/>
        </w:rPr>
        <w:t xml:space="preserve"> violation of </w:t>
      </w:r>
      <w:r w:rsidRPr="000531D6" w:rsidR="00AC6BC9">
        <w:rPr>
          <w:szCs w:val="22"/>
        </w:rPr>
        <w:t>Section 302(b) of the Communications Act, as amended (A</w:t>
      </w:r>
      <w:r w:rsidRPr="000531D6" w:rsidR="00861786">
        <w:rPr>
          <w:szCs w:val="22"/>
        </w:rPr>
        <w:t>ct)</w:t>
      </w:r>
      <w:r w:rsidRPr="000531D6" w:rsidR="0097750D">
        <w:rPr>
          <w:szCs w:val="22"/>
        </w:rPr>
        <w:t>,</w:t>
      </w:r>
      <w:r w:rsidRPr="000531D6" w:rsidR="00861786">
        <w:rPr>
          <w:szCs w:val="22"/>
        </w:rPr>
        <w:t xml:space="preserve"> and Section 2.803</w:t>
      </w:r>
      <w:r w:rsidRPr="000531D6" w:rsidR="00DD772A">
        <w:rPr>
          <w:szCs w:val="22"/>
        </w:rPr>
        <w:t xml:space="preserve"> </w:t>
      </w:r>
      <w:r w:rsidRPr="000531D6" w:rsidR="00AC6BC9">
        <w:rPr>
          <w:szCs w:val="22"/>
        </w:rPr>
        <w:t>of the Commission’s rules.</w:t>
      </w:r>
      <w:r>
        <w:rPr>
          <w:rStyle w:val="FootnoteReference"/>
          <w:sz w:val="22"/>
          <w:szCs w:val="22"/>
        </w:rPr>
        <w:footnoteReference w:id="5"/>
      </w:r>
      <w:r w:rsidRPr="000531D6" w:rsidR="00B734CF">
        <w:rPr>
          <w:szCs w:val="22"/>
        </w:rPr>
        <w:t xml:space="preserve"> </w:t>
      </w:r>
      <w:r w:rsidRPr="000531D6" w:rsidR="007F6312">
        <w:rPr>
          <w:szCs w:val="22"/>
        </w:rPr>
        <w:t xml:space="preserve"> </w:t>
      </w:r>
      <w:r w:rsidRPr="000531D6" w:rsidR="00500FF2">
        <w:rPr>
          <w:szCs w:val="22"/>
        </w:rPr>
        <w:t xml:space="preserve">We therefore direct </w:t>
      </w:r>
      <w:r w:rsidRPr="000531D6" w:rsidR="009F7161">
        <w:rPr>
          <w:szCs w:val="22"/>
        </w:rPr>
        <w:t>Amcrest</w:t>
      </w:r>
      <w:r w:rsidRPr="000531D6" w:rsidR="00500FF2">
        <w:rPr>
          <w:szCs w:val="22"/>
        </w:rPr>
        <w:t xml:space="preserve"> to take immediate steps to </w:t>
      </w:r>
      <w:r w:rsidRPr="000531D6" w:rsidR="00826751">
        <w:rPr>
          <w:szCs w:val="22"/>
        </w:rPr>
        <w:t xml:space="preserve">come into </w:t>
      </w:r>
      <w:r w:rsidRPr="000531D6" w:rsidR="00A517D0">
        <w:rPr>
          <w:szCs w:val="22"/>
        </w:rPr>
        <w:t>compl</w:t>
      </w:r>
      <w:r w:rsidRPr="000531D6" w:rsidR="00826751">
        <w:rPr>
          <w:szCs w:val="22"/>
        </w:rPr>
        <w:t>i</w:t>
      </w:r>
      <w:r w:rsidRPr="000531D6" w:rsidR="00A517D0">
        <w:rPr>
          <w:szCs w:val="22"/>
        </w:rPr>
        <w:t>a</w:t>
      </w:r>
      <w:r w:rsidRPr="000531D6" w:rsidR="00826751">
        <w:rPr>
          <w:szCs w:val="22"/>
        </w:rPr>
        <w:t>n</w:t>
      </w:r>
      <w:r w:rsidRPr="000531D6" w:rsidR="00A517D0">
        <w:rPr>
          <w:szCs w:val="22"/>
        </w:rPr>
        <w:t>ce</w:t>
      </w:r>
      <w:r w:rsidRPr="000531D6" w:rsidR="00826751">
        <w:rPr>
          <w:szCs w:val="22"/>
        </w:rPr>
        <w:t xml:space="preserve"> with </w:t>
      </w:r>
      <w:r w:rsidRPr="000531D6" w:rsidR="007F6312">
        <w:rPr>
          <w:szCs w:val="22"/>
        </w:rPr>
        <w:t>the Commission’s equipment authorization rules and cease marketing unauthorized RF devices in the United States</w:t>
      </w:r>
      <w:r w:rsidRPr="000531D6" w:rsidR="007D298C">
        <w:rPr>
          <w:szCs w:val="22"/>
        </w:rPr>
        <w:t xml:space="preserve">.  </w:t>
      </w:r>
      <w:r w:rsidRPr="000531D6" w:rsidR="00500FF2">
        <w:rPr>
          <w:szCs w:val="22"/>
        </w:rPr>
        <w:t xml:space="preserve">If </w:t>
      </w:r>
      <w:r w:rsidRPr="000531D6" w:rsidR="009F7161">
        <w:rPr>
          <w:szCs w:val="22"/>
        </w:rPr>
        <w:t>Amcrest</w:t>
      </w:r>
      <w:r w:rsidRPr="000531D6" w:rsidR="00500FF2">
        <w:rPr>
          <w:szCs w:val="22"/>
        </w:rPr>
        <w:t xml:space="preserve"> fails to comply with these laws, it may be liable for significant fines</w:t>
      </w:r>
      <w:r w:rsidRPr="000531D6" w:rsidR="0038268A">
        <w:rPr>
          <w:szCs w:val="22"/>
        </w:rPr>
        <w:t xml:space="preserve"> of up to $19,639 per day and other sanctions</w:t>
      </w:r>
      <w:r w:rsidRPr="000531D6" w:rsidR="007D298C">
        <w:rPr>
          <w:szCs w:val="22"/>
        </w:rPr>
        <w:t>.</w:t>
      </w:r>
      <w:r>
        <w:rPr>
          <w:rStyle w:val="FootnoteReference"/>
          <w:sz w:val="22"/>
          <w:szCs w:val="22"/>
        </w:rPr>
        <w:footnoteReference w:id="6"/>
      </w:r>
      <w:r w:rsidRPr="000531D6" w:rsidR="008B27C1">
        <w:rPr>
          <w:szCs w:val="22"/>
        </w:rPr>
        <w:t xml:space="preserve"> </w:t>
      </w:r>
    </w:p>
    <w:p w:rsidR="008D5526" w:rsidRPr="000531D6">
      <w:pPr>
        <w:pStyle w:val="ParaNum"/>
        <w:tabs>
          <w:tab w:val="clear" w:pos="1080"/>
          <w:tab w:val="num" w:pos="1440"/>
        </w:tabs>
        <w:rPr>
          <w:kern w:val="2"/>
          <w:szCs w:val="22"/>
        </w:rPr>
      </w:pPr>
      <w:r w:rsidRPr="000531D6">
        <w:rPr>
          <w:b/>
          <w:i/>
          <w:szCs w:val="22"/>
        </w:rPr>
        <w:t xml:space="preserve">Notice of Duty to Comply with </w:t>
      </w:r>
      <w:r w:rsidRPr="000531D6" w:rsidR="00F6754D">
        <w:rPr>
          <w:b/>
          <w:i/>
          <w:szCs w:val="22"/>
        </w:rPr>
        <w:t>the Law</w:t>
      </w:r>
      <w:r w:rsidRPr="000531D6">
        <w:rPr>
          <w:szCs w:val="22"/>
        </w:rPr>
        <w:t xml:space="preserve">:  </w:t>
      </w:r>
      <w:r w:rsidRPr="000531D6" w:rsidR="00716E89">
        <w:rPr>
          <w:szCs w:val="22"/>
        </w:rPr>
        <w:t xml:space="preserve">We issue this Citation pursuant to Section 503(b)(5) of the Act, which </w:t>
      </w:r>
      <w:r w:rsidRPr="000531D6" w:rsidR="00604FCF">
        <w:rPr>
          <w:szCs w:val="22"/>
        </w:rPr>
        <w:t>bars</w:t>
      </w:r>
      <w:r w:rsidRPr="000531D6" w:rsidR="00727F4F">
        <w:rPr>
          <w:szCs w:val="22"/>
        </w:rPr>
        <w:t xml:space="preserve"> the Commission </w:t>
      </w:r>
      <w:r w:rsidRPr="000531D6" w:rsidR="00604FCF">
        <w:rPr>
          <w:szCs w:val="22"/>
        </w:rPr>
        <w:t>from</w:t>
      </w:r>
      <w:r w:rsidRPr="000531D6" w:rsidR="00727F4F">
        <w:rPr>
          <w:szCs w:val="22"/>
        </w:rPr>
        <w:t xml:space="preserve"> impos</w:t>
      </w:r>
      <w:r w:rsidRPr="000531D6" w:rsidR="00604FCF">
        <w:rPr>
          <w:szCs w:val="22"/>
        </w:rPr>
        <w:t>ing</w:t>
      </w:r>
      <w:r w:rsidRPr="000531D6" w:rsidR="00727F4F">
        <w:rPr>
          <w:szCs w:val="22"/>
        </w:rPr>
        <w:t xml:space="preserve"> </w:t>
      </w:r>
      <w:r w:rsidRPr="000531D6" w:rsidR="00716E89">
        <w:rPr>
          <w:szCs w:val="22"/>
        </w:rPr>
        <w:t>monetary forfeitures against non-regulatees who violate the Act</w:t>
      </w:r>
      <w:r w:rsidRPr="000531D6" w:rsidR="00727F4F">
        <w:rPr>
          <w:szCs w:val="22"/>
        </w:rPr>
        <w:t xml:space="preserve"> </w:t>
      </w:r>
      <w:r w:rsidRPr="000531D6" w:rsidR="00604FCF">
        <w:rPr>
          <w:szCs w:val="22"/>
        </w:rPr>
        <w:t xml:space="preserve">or Commission rules </w:t>
      </w:r>
      <w:r w:rsidRPr="000531D6" w:rsidR="00C42D39">
        <w:rPr>
          <w:szCs w:val="22"/>
        </w:rPr>
        <w:t>unless and until</w:t>
      </w:r>
      <w:r w:rsidRPr="000531D6" w:rsidR="00BF39AF">
        <w:rPr>
          <w:szCs w:val="22"/>
        </w:rPr>
        <w:t xml:space="preserve">: </w:t>
      </w:r>
      <w:r w:rsidRPr="000531D6" w:rsidR="00716E89">
        <w:rPr>
          <w:szCs w:val="22"/>
        </w:rPr>
        <w:t xml:space="preserve"> (a)</w:t>
      </w:r>
      <w:r w:rsidRPr="000531D6" w:rsidR="00C42D39">
        <w:rPr>
          <w:szCs w:val="22"/>
        </w:rPr>
        <w:t xml:space="preserve"> the Commission</w:t>
      </w:r>
      <w:r w:rsidRPr="000531D6" w:rsidR="00716E89">
        <w:rPr>
          <w:szCs w:val="22"/>
        </w:rPr>
        <w:t xml:space="preserve"> issues a citation to the violator</w:t>
      </w:r>
      <w:r w:rsidRPr="000531D6" w:rsidR="00C42D39">
        <w:rPr>
          <w:szCs w:val="22"/>
        </w:rPr>
        <w:t xml:space="preserve">; (b) the Commission </w:t>
      </w:r>
      <w:r w:rsidRPr="000531D6" w:rsidR="00716E89">
        <w:rPr>
          <w:szCs w:val="22"/>
        </w:rPr>
        <w:t xml:space="preserve">provides the violator a reasonable opportunity to respond; and (c) the </w:t>
      </w:r>
      <w:r w:rsidRPr="000531D6" w:rsidR="00716E89">
        <w:rPr>
          <w:szCs w:val="22"/>
        </w:rPr>
        <w:t>violator subsequently engages in conduct described in the citation.</w:t>
      </w:r>
      <w:r>
        <w:rPr>
          <w:rStyle w:val="FootnoteReference"/>
          <w:kern w:val="2"/>
          <w:sz w:val="22"/>
          <w:szCs w:val="22"/>
        </w:rPr>
        <w:footnoteReference w:id="7"/>
      </w:r>
      <w:r w:rsidRPr="000531D6" w:rsidR="00716E89">
        <w:rPr>
          <w:szCs w:val="22"/>
        </w:rPr>
        <w:t xml:space="preserve">  </w:t>
      </w:r>
      <w:r w:rsidRPr="000531D6" w:rsidR="006E6234">
        <w:rPr>
          <w:szCs w:val="22"/>
        </w:rPr>
        <w:t xml:space="preserve">Accordingly, </w:t>
      </w:r>
      <w:r w:rsidRPr="000531D6" w:rsidR="009F7161">
        <w:rPr>
          <w:szCs w:val="22"/>
        </w:rPr>
        <w:t>Amcrest</w:t>
      </w:r>
      <w:r w:rsidRPr="000531D6" w:rsidR="00BF790E">
        <w:rPr>
          <w:szCs w:val="22"/>
        </w:rPr>
        <w:t xml:space="preserve"> </w:t>
      </w:r>
      <w:r w:rsidRPr="000531D6" w:rsidR="00BF790E">
        <w:rPr>
          <w:kern w:val="2"/>
          <w:szCs w:val="22"/>
        </w:rPr>
        <w:t xml:space="preserve">is hereby on notice that it must comply with </w:t>
      </w:r>
      <w:r w:rsidRPr="000531D6" w:rsidR="00AA44FD">
        <w:rPr>
          <w:kern w:val="2"/>
          <w:szCs w:val="22"/>
        </w:rPr>
        <w:t>Section 302(b) of the Act and Section</w:t>
      </w:r>
      <w:r w:rsidRPr="000531D6" w:rsidR="0027183B">
        <w:rPr>
          <w:kern w:val="2"/>
          <w:szCs w:val="22"/>
        </w:rPr>
        <w:t xml:space="preserve"> </w:t>
      </w:r>
      <w:r w:rsidRPr="000531D6" w:rsidR="00A901A3">
        <w:rPr>
          <w:kern w:val="2"/>
          <w:szCs w:val="22"/>
        </w:rPr>
        <w:t>2.803</w:t>
      </w:r>
      <w:r w:rsidRPr="000531D6" w:rsidR="00AA44FD">
        <w:rPr>
          <w:kern w:val="2"/>
          <w:szCs w:val="22"/>
        </w:rPr>
        <w:t>(b)</w:t>
      </w:r>
      <w:r w:rsidRPr="000531D6" w:rsidR="00AC6BC9">
        <w:rPr>
          <w:kern w:val="2"/>
          <w:szCs w:val="22"/>
        </w:rPr>
        <w:t xml:space="preserve"> </w:t>
      </w:r>
      <w:r w:rsidRPr="000531D6" w:rsidR="007C28B6">
        <w:rPr>
          <w:kern w:val="2"/>
          <w:szCs w:val="22"/>
        </w:rPr>
        <w:t>o</w:t>
      </w:r>
      <w:r w:rsidRPr="000531D6" w:rsidR="0027183B">
        <w:rPr>
          <w:kern w:val="2"/>
          <w:szCs w:val="22"/>
        </w:rPr>
        <w:t xml:space="preserve">f the </w:t>
      </w:r>
      <w:r w:rsidRPr="000531D6" w:rsidR="0026718F">
        <w:rPr>
          <w:kern w:val="2"/>
          <w:szCs w:val="22"/>
        </w:rPr>
        <w:t>Commission’s r</w:t>
      </w:r>
      <w:r w:rsidRPr="000531D6" w:rsidR="00AA44FD">
        <w:rPr>
          <w:kern w:val="2"/>
          <w:szCs w:val="22"/>
        </w:rPr>
        <w:t>ules.</w:t>
      </w:r>
      <w:r>
        <w:rPr>
          <w:rStyle w:val="FootnoteReference"/>
          <w:kern w:val="2"/>
          <w:sz w:val="22"/>
          <w:szCs w:val="22"/>
        </w:rPr>
        <w:footnoteReference w:id="8"/>
      </w:r>
      <w:r w:rsidRPr="000531D6" w:rsidR="00BF790E">
        <w:rPr>
          <w:kern w:val="2"/>
          <w:szCs w:val="22"/>
        </w:rPr>
        <w:t xml:space="preserve">  I</w:t>
      </w:r>
      <w:r w:rsidRPr="000531D6" w:rsidR="00BF790E">
        <w:rPr>
          <w:szCs w:val="22"/>
        </w:rPr>
        <w:t xml:space="preserve">f </w:t>
      </w:r>
      <w:r w:rsidRPr="000531D6" w:rsidR="009F7161">
        <w:rPr>
          <w:szCs w:val="22"/>
        </w:rPr>
        <w:t>Amcrest</w:t>
      </w:r>
      <w:r w:rsidRPr="000531D6" w:rsidR="00BF790E">
        <w:rPr>
          <w:szCs w:val="22"/>
        </w:rPr>
        <w:t xml:space="preserve"> </w:t>
      </w:r>
      <w:r w:rsidRPr="000531D6" w:rsidR="00BF790E">
        <w:rPr>
          <w:kern w:val="2"/>
          <w:szCs w:val="22"/>
        </w:rPr>
        <w:t xml:space="preserve">subsequently engages in any conduct of the type </w:t>
      </w:r>
      <w:r w:rsidRPr="000531D6" w:rsidR="00C42D39">
        <w:rPr>
          <w:kern w:val="2"/>
          <w:szCs w:val="22"/>
        </w:rPr>
        <w:t>this Citation describes</w:t>
      </w:r>
      <w:r w:rsidRPr="000531D6" w:rsidR="003C0607">
        <w:rPr>
          <w:kern w:val="2"/>
          <w:szCs w:val="22"/>
        </w:rPr>
        <w:t xml:space="preserve">, </w:t>
      </w:r>
      <w:r w:rsidRPr="000531D6" w:rsidR="009F7161">
        <w:rPr>
          <w:szCs w:val="22"/>
        </w:rPr>
        <w:t>Amcrest</w:t>
      </w:r>
      <w:r w:rsidRPr="000531D6" w:rsidR="00BF790E">
        <w:rPr>
          <w:kern w:val="2"/>
          <w:szCs w:val="22"/>
        </w:rPr>
        <w:t xml:space="preserve"> may be subject to civil penalties including</w:t>
      </w:r>
      <w:r w:rsidRPr="000531D6" w:rsidR="00134541">
        <w:rPr>
          <w:kern w:val="2"/>
          <w:szCs w:val="22"/>
        </w:rPr>
        <w:t>,</w:t>
      </w:r>
      <w:r w:rsidRPr="000531D6" w:rsidR="00BF790E">
        <w:rPr>
          <w:kern w:val="2"/>
          <w:szCs w:val="22"/>
        </w:rPr>
        <w:t xml:space="preserve"> but not limited to, substantial monetary forfeitures.  In assessing such forfeitures, the Commission may consider both the conduct that led to this Citation and the conduct following it.</w:t>
      </w:r>
      <w:r>
        <w:rPr>
          <w:kern w:val="2"/>
          <w:szCs w:val="22"/>
          <w:vertAlign w:val="superscript"/>
        </w:rPr>
        <w:footnoteReference w:id="9"/>
      </w:r>
    </w:p>
    <w:p w:rsidR="00E273E3" w:rsidRPr="000531D6" w:rsidP="00D01704">
      <w:pPr>
        <w:pStyle w:val="Heading1"/>
        <w:keepNext w:val="0"/>
        <w:rPr>
          <w:rFonts w:ascii="Times New Roman" w:hAnsi="Times New Roman"/>
          <w:szCs w:val="22"/>
        </w:rPr>
      </w:pPr>
      <w:bookmarkStart w:id="2" w:name="_Toc379288999"/>
      <w:bookmarkStart w:id="3" w:name="_Toc379365500"/>
      <w:r w:rsidRPr="000531D6">
        <w:rPr>
          <w:rFonts w:ascii="Times New Roman" w:hAnsi="Times New Roman"/>
          <w:szCs w:val="22"/>
        </w:rPr>
        <w:t>BACKGROUND</w:t>
      </w:r>
      <w:bookmarkEnd w:id="2"/>
      <w:bookmarkEnd w:id="3"/>
      <w:r w:rsidRPr="000531D6" w:rsidR="00A8604A">
        <w:rPr>
          <w:rFonts w:ascii="Times New Roman" w:hAnsi="Times New Roman"/>
          <w:szCs w:val="22"/>
        </w:rPr>
        <w:t xml:space="preserve"> </w:t>
      </w:r>
    </w:p>
    <w:p w:rsidR="00BC36AD" w:rsidRPr="000531D6">
      <w:pPr>
        <w:pStyle w:val="ParaNum"/>
        <w:numPr>
          <w:ilvl w:val="0"/>
          <w:numId w:val="1"/>
        </w:numPr>
        <w:tabs>
          <w:tab w:val="clear" w:pos="1080"/>
          <w:tab w:val="left" w:pos="1440"/>
        </w:tabs>
        <w:rPr>
          <w:szCs w:val="22"/>
        </w:rPr>
      </w:pPr>
      <w:r w:rsidRPr="000531D6">
        <w:rPr>
          <w:szCs w:val="22"/>
        </w:rPr>
        <w:t>On March 14, 2013</w:t>
      </w:r>
      <w:r w:rsidRPr="000531D6" w:rsidR="005A493E">
        <w:rPr>
          <w:szCs w:val="22"/>
        </w:rPr>
        <w:t>, t</w:t>
      </w:r>
      <w:r w:rsidRPr="000531D6" w:rsidR="009976C6">
        <w:rPr>
          <w:szCs w:val="22"/>
        </w:rPr>
        <w:t>he Enforcement Bureau’s Spectrum Enforcement Division (</w:t>
      </w:r>
      <w:r w:rsidRPr="000531D6" w:rsidR="007974E3">
        <w:rPr>
          <w:szCs w:val="22"/>
        </w:rPr>
        <w:t>SED</w:t>
      </w:r>
      <w:r w:rsidRPr="000531D6" w:rsidR="009976C6">
        <w:rPr>
          <w:szCs w:val="22"/>
        </w:rPr>
        <w:t xml:space="preserve">) received a complaint </w:t>
      </w:r>
      <w:r w:rsidRPr="000531D6" w:rsidR="00465057">
        <w:rPr>
          <w:rFonts w:eastAsia="ヒラギノ角ゴ Pro W3"/>
          <w:szCs w:val="22"/>
        </w:rPr>
        <w:t>alleging that</w:t>
      </w:r>
      <w:r w:rsidRPr="000531D6" w:rsidR="002620D8">
        <w:rPr>
          <w:rFonts w:eastAsia="ヒラギノ角ゴ Pro W3"/>
          <w:szCs w:val="22"/>
        </w:rPr>
        <w:t xml:space="preserve"> Baofeng radio</w:t>
      </w:r>
      <w:r w:rsidRPr="000531D6" w:rsidR="00DF5DDD">
        <w:rPr>
          <w:rFonts w:eastAsia="ヒラギノ角ゴ Pro W3"/>
          <w:szCs w:val="22"/>
        </w:rPr>
        <w:t xml:space="preserve"> </w:t>
      </w:r>
      <w:r w:rsidRPr="000531D6" w:rsidR="001A5253">
        <w:rPr>
          <w:rFonts w:eastAsia="ヒラギノ角ゴ Pro W3"/>
          <w:szCs w:val="22"/>
        </w:rPr>
        <w:t xml:space="preserve">model </w:t>
      </w:r>
      <w:r w:rsidRPr="000531D6" w:rsidR="00DF5DDD">
        <w:rPr>
          <w:rFonts w:eastAsia="ヒラギノ角ゴ Pro W3"/>
          <w:szCs w:val="22"/>
        </w:rPr>
        <w:t>U</w:t>
      </w:r>
      <w:r w:rsidRPr="000531D6" w:rsidR="002620D8">
        <w:rPr>
          <w:rFonts w:eastAsia="ヒラギノ角ゴ Pro W3"/>
          <w:szCs w:val="22"/>
        </w:rPr>
        <w:t xml:space="preserve">V-5R </w:t>
      </w:r>
      <w:r w:rsidRPr="000531D6" w:rsidR="00DF5DDD">
        <w:rPr>
          <w:rFonts w:eastAsia="ヒラギノ角ゴ Pro W3"/>
          <w:szCs w:val="22"/>
        </w:rPr>
        <w:t xml:space="preserve">was </w:t>
      </w:r>
      <w:r w:rsidRPr="000531D6" w:rsidR="007974E3">
        <w:rPr>
          <w:rFonts w:eastAsia="ヒラギノ角ゴ Pro W3"/>
          <w:szCs w:val="22"/>
        </w:rPr>
        <w:t xml:space="preserve">capable of </w:t>
      </w:r>
      <w:r w:rsidRPr="000531D6" w:rsidR="00D371CF">
        <w:rPr>
          <w:rFonts w:eastAsia="ヒラギノ角ゴ Pro W3"/>
          <w:szCs w:val="22"/>
        </w:rPr>
        <w:t xml:space="preserve">(1) </w:t>
      </w:r>
      <w:r w:rsidRPr="000531D6" w:rsidR="007974E3">
        <w:rPr>
          <w:rFonts w:eastAsia="ヒラギノ角ゴ Pro W3"/>
          <w:szCs w:val="22"/>
        </w:rPr>
        <w:t xml:space="preserve">transmitting on </w:t>
      </w:r>
      <w:r w:rsidRPr="000531D6" w:rsidR="006B31BD">
        <w:rPr>
          <w:rFonts w:eastAsia="ヒラギノ角ゴ Pro W3"/>
          <w:szCs w:val="22"/>
        </w:rPr>
        <w:t>l</w:t>
      </w:r>
      <w:r w:rsidRPr="000531D6" w:rsidR="007974E3">
        <w:rPr>
          <w:rFonts w:eastAsia="ヒラギノ角ゴ Pro W3"/>
          <w:szCs w:val="22"/>
        </w:rPr>
        <w:t xml:space="preserve">and </w:t>
      </w:r>
      <w:r w:rsidRPr="000531D6" w:rsidR="006B31BD">
        <w:rPr>
          <w:rFonts w:eastAsia="ヒラギノ角ゴ Pro W3"/>
          <w:szCs w:val="22"/>
        </w:rPr>
        <w:t>m</w:t>
      </w:r>
      <w:r w:rsidRPr="000531D6" w:rsidR="007974E3">
        <w:rPr>
          <w:rFonts w:eastAsia="ヒラギノ角ゴ Pro W3"/>
          <w:szCs w:val="22"/>
        </w:rPr>
        <w:t xml:space="preserve">obile frequencies using the equipment’s external </w:t>
      </w:r>
      <w:r w:rsidRPr="000531D6" w:rsidR="00EE00BF">
        <w:rPr>
          <w:rFonts w:eastAsia="ヒラギノ角ゴ Pro W3"/>
          <w:szCs w:val="22"/>
        </w:rPr>
        <w:t>controls</w:t>
      </w:r>
      <w:r w:rsidRPr="000531D6" w:rsidR="007974E3">
        <w:rPr>
          <w:rFonts w:eastAsia="ヒラギノ角ゴ Pro W3"/>
          <w:szCs w:val="22"/>
        </w:rPr>
        <w:t xml:space="preserve"> and (2) operating at power levels above those specified in its </w:t>
      </w:r>
      <w:r w:rsidRPr="000531D6" w:rsidR="00493533">
        <w:rPr>
          <w:rFonts w:eastAsia="ヒラギノ角ゴ Pro W3"/>
          <w:szCs w:val="22"/>
        </w:rPr>
        <w:t>E</w:t>
      </w:r>
      <w:r w:rsidRPr="000531D6" w:rsidR="007974E3">
        <w:rPr>
          <w:rFonts w:eastAsia="ヒラギノ角ゴ Pro W3"/>
          <w:szCs w:val="22"/>
        </w:rPr>
        <w:t xml:space="preserve">quipment </w:t>
      </w:r>
      <w:r w:rsidRPr="000531D6" w:rsidR="00493533">
        <w:rPr>
          <w:rFonts w:eastAsia="ヒラギノ角ゴ Pro W3"/>
          <w:szCs w:val="22"/>
        </w:rPr>
        <w:t>A</w:t>
      </w:r>
      <w:r w:rsidRPr="000531D6" w:rsidR="007974E3">
        <w:rPr>
          <w:rFonts w:eastAsia="ヒラギノ角ゴ Pro W3"/>
          <w:szCs w:val="22"/>
        </w:rPr>
        <w:t>uthorization.</w:t>
      </w:r>
      <w:r>
        <w:rPr>
          <w:rStyle w:val="FootnoteReference"/>
          <w:rFonts w:eastAsia="ヒラギノ角ゴ Pro W3"/>
          <w:sz w:val="22"/>
          <w:szCs w:val="22"/>
        </w:rPr>
        <w:footnoteReference w:id="10"/>
      </w:r>
      <w:r w:rsidRPr="000531D6" w:rsidR="007974E3">
        <w:rPr>
          <w:rFonts w:eastAsia="ヒラギノ角ゴ Pro W3"/>
          <w:szCs w:val="22"/>
        </w:rPr>
        <w:t xml:space="preserve">  </w:t>
      </w:r>
      <w:r w:rsidRPr="000531D6" w:rsidR="00847F1D">
        <w:rPr>
          <w:szCs w:val="22"/>
        </w:rPr>
        <w:t xml:space="preserve">On October 30, 2017, </w:t>
      </w:r>
      <w:r w:rsidRPr="000531D6" w:rsidR="00732EFD">
        <w:rPr>
          <w:szCs w:val="22"/>
        </w:rPr>
        <w:t>SED</w:t>
      </w:r>
      <w:r w:rsidRPr="000531D6" w:rsidR="00847F1D">
        <w:rPr>
          <w:szCs w:val="22"/>
        </w:rPr>
        <w:t xml:space="preserve"> issued </w:t>
      </w:r>
      <w:r w:rsidRPr="000531D6" w:rsidR="001F5E58">
        <w:rPr>
          <w:szCs w:val="22"/>
        </w:rPr>
        <w:t>a Letter of I</w:t>
      </w:r>
      <w:r w:rsidRPr="000531D6" w:rsidR="00847F1D">
        <w:rPr>
          <w:szCs w:val="22"/>
        </w:rPr>
        <w:t>nquiry</w:t>
      </w:r>
      <w:r w:rsidRPr="000531D6" w:rsidR="00BC1279">
        <w:rPr>
          <w:szCs w:val="22"/>
        </w:rPr>
        <w:t xml:space="preserve"> (LOI)</w:t>
      </w:r>
      <w:r w:rsidRPr="000531D6" w:rsidR="00847F1D">
        <w:rPr>
          <w:szCs w:val="22"/>
        </w:rPr>
        <w:t xml:space="preserve"> </w:t>
      </w:r>
      <w:r w:rsidRPr="000531D6" w:rsidR="001F5E58">
        <w:rPr>
          <w:szCs w:val="22"/>
        </w:rPr>
        <w:t>to Amcrest</w:t>
      </w:r>
      <w:r w:rsidRPr="000531D6" w:rsidR="000F4277">
        <w:rPr>
          <w:szCs w:val="22"/>
        </w:rPr>
        <w:t>, an authorized distributor of Baofeng radios,</w:t>
      </w:r>
      <w:r>
        <w:rPr>
          <w:rStyle w:val="FootnoteReference"/>
          <w:sz w:val="22"/>
          <w:szCs w:val="22"/>
        </w:rPr>
        <w:footnoteReference w:id="11"/>
      </w:r>
      <w:r w:rsidRPr="000531D6" w:rsidR="00651D16">
        <w:rPr>
          <w:szCs w:val="22"/>
        </w:rPr>
        <w:t xml:space="preserve"> </w:t>
      </w:r>
      <w:r w:rsidRPr="000531D6" w:rsidR="00847F1D">
        <w:rPr>
          <w:szCs w:val="22"/>
        </w:rPr>
        <w:t xml:space="preserve">directing </w:t>
      </w:r>
      <w:r w:rsidRPr="000531D6" w:rsidR="00A15DC8">
        <w:rPr>
          <w:szCs w:val="22"/>
        </w:rPr>
        <w:t xml:space="preserve">it </w:t>
      </w:r>
      <w:r w:rsidRPr="000531D6" w:rsidR="00847F1D">
        <w:rPr>
          <w:szCs w:val="22"/>
        </w:rPr>
        <w:t>to submit a sworn written response to a series of questions relating to the</w:t>
      </w:r>
      <w:r w:rsidRPr="000531D6" w:rsidR="009F4127">
        <w:rPr>
          <w:szCs w:val="22"/>
        </w:rPr>
        <w:t>se</w:t>
      </w:r>
      <w:r w:rsidRPr="000531D6" w:rsidR="00847F1D">
        <w:rPr>
          <w:szCs w:val="22"/>
        </w:rPr>
        <w:t xml:space="preserve"> allegation</w:t>
      </w:r>
      <w:r w:rsidRPr="000531D6" w:rsidR="0026718F">
        <w:rPr>
          <w:szCs w:val="22"/>
        </w:rPr>
        <w:t>s</w:t>
      </w:r>
      <w:r w:rsidRPr="000531D6" w:rsidR="00A1345F">
        <w:rPr>
          <w:szCs w:val="22"/>
        </w:rPr>
        <w:t>; follow-up LOIs were issued on</w:t>
      </w:r>
      <w:r w:rsidRPr="000531D6" w:rsidR="00894FB4">
        <w:rPr>
          <w:szCs w:val="22"/>
        </w:rPr>
        <w:t xml:space="preserve"> January 12, 2018, and February 2, 2018</w:t>
      </w:r>
      <w:r w:rsidRPr="000531D6" w:rsidR="00847F1D">
        <w:rPr>
          <w:szCs w:val="22"/>
        </w:rPr>
        <w:t>.</w:t>
      </w:r>
      <w:r>
        <w:rPr>
          <w:szCs w:val="22"/>
          <w:vertAlign w:val="superscript"/>
        </w:rPr>
        <w:footnoteReference w:id="12"/>
      </w:r>
      <w:r w:rsidRPr="000531D6" w:rsidR="00A15DC8">
        <w:rPr>
          <w:szCs w:val="22"/>
        </w:rPr>
        <w:t xml:space="preserve"> </w:t>
      </w:r>
      <w:r w:rsidRPr="000531D6" w:rsidR="00302E14">
        <w:rPr>
          <w:szCs w:val="22"/>
        </w:rPr>
        <w:t xml:space="preserve"> </w:t>
      </w:r>
      <w:r w:rsidRPr="000531D6" w:rsidR="00894FB4">
        <w:rPr>
          <w:szCs w:val="22"/>
        </w:rPr>
        <w:t xml:space="preserve">Amcrest timely responded to the </w:t>
      </w:r>
      <w:r w:rsidRPr="000531D6" w:rsidR="000047A2">
        <w:rPr>
          <w:szCs w:val="22"/>
        </w:rPr>
        <w:t>i</w:t>
      </w:r>
      <w:r w:rsidRPr="000531D6" w:rsidR="00894FB4">
        <w:rPr>
          <w:szCs w:val="22"/>
        </w:rPr>
        <w:t>nquiries on December 7, 2017, January 23, 2018</w:t>
      </w:r>
      <w:r w:rsidRPr="000531D6" w:rsidR="00371D98">
        <w:rPr>
          <w:szCs w:val="22"/>
        </w:rPr>
        <w:t>,</w:t>
      </w:r>
      <w:r w:rsidRPr="000531D6" w:rsidR="00894FB4">
        <w:rPr>
          <w:szCs w:val="22"/>
        </w:rPr>
        <w:t xml:space="preserve"> and February 4, 2018</w:t>
      </w:r>
      <w:r w:rsidRPr="000531D6" w:rsidR="000047A2">
        <w:rPr>
          <w:szCs w:val="22"/>
        </w:rPr>
        <w:t>, respectiv</w:t>
      </w:r>
      <w:r w:rsidRPr="000531D6" w:rsidR="00140384">
        <w:rPr>
          <w:szCs w:val="22"/>
        </w:rPr>
        <w:t>e</w:t>
      </w:r>
      <w:r w:rsidRPr="000531D6" w:rsidR="000047A2">
        <w:rPr>
          <w:szCs w:val="22"/>
        </w:rPr>
        <w:t>ly</w:t>
      </w:r>
      <w:r w:rsidRPr="000531D6" w:rsidR="00894FB4">
        <w:rPr>
          <w:szCs w:val="22"/>
        </w:rPr>
        <w:t>.</w:t>
      </w:r>
      <w:r>
        <w:rPr>
          <w:rStyle w:val="FootnoteReference"/>
          <w:sz w:val="22"/>
          <w:szCs w:val="22"/>
        </w:rPr>
        <w:footnoteReference w:id="13"/>
      </w:r>
    </w:p>
    <w:p w:rsidR="00B83AC3" w:rsidRPr="000531D6">
      <w:pPr>
        <w:pStyle w:val="ParaNum"/>
        <w:numPr>
          <w:ilvl w:val="0"/>
          <w:numId w:val="1"/>
        </w:numPr>
        <w:tabs>
          <w:tab w:val="clear" w:pos="1080"/>
          <w:tab w:val="left" w:pos="1440"/>
        </w:tabs>
        <w:rPr>
          <w:szCs w:val="22"/>
        </w:rPr>
      </w:pPr>
      <w:r w:rsidRPr="000531D6">
        <w:rPr>
          <w:szCs w:val="22"/>
        </w:rPr>
        <w:t xml:space="preserve">According to </w:t>
      </w:r>
      <w:r w:rsidRPr="000531D6" w:rsidR="009F4E08">
        <w:rPr>
          <w:szCs w:val="22"/>
        </w:rPr>
        <w:t>Amcrest</w:t>
      </w:r>
      <w:r w:rsidRPr="000531D6">
        <w:rPr>
          <w:szCs w:val="22"/>
        </w:rPr>
        <w:t xml:space="preserve">, the Company </w:t>
      </w:r>
      <w:r w:rsidRPr="000531D6" w:rsidR="00812F5F">
        <w:rPr>
          <w:szCs w:val="22"/>
        </w:rPr>
        <w:t>began marketing</w:t>
      </w:r>
      <w:r w:rsidRPr="000531D6" w:rsidR="003E047C">
        <w:rPr>
          <w:szCs w:val="22"/>
        </w:rPr>
        <w:t xml:space="preserve"> four models of the Baofeng </w:t>
      </w:r>
      <w:r w:rsidRPr="000531D6" w:rsidR="001A5253">
        <w:rPr>
          <w:szCs w:val="22"/>
        </w:rPr>
        <w:t xml:space="preserve">radio </w:t>
      </w:r>
      <w:r w:rsidRPr="000531D6" w:rsidR="003E047C">
        <w:rPr>
          <w:szCs w:val="22"/>
        </w:rPr>
        <w:t>UV-5R series</w:t>
      </w:r>
      <w:r w:rsidRPr="000531D6">
        <w:rPr>
          <w:szCs w:val="22"/>
        </w:rPr>
        <w:t xml:space="preserve"> in June 2013</w:t>
      </w:r>
      <w:r w:rsidRPr="000531D6" w:rsidR="00942A09">
        <w:rPr>
          <w:szCs w:val="22"/>
        </w:rPr>
        <w:t xml:space="preserve">; it ceased doing </w:t>
      </w:r>
      <w:r w:rsidRPr="000531D6" w:rsidR="00A45F47">
        <w:rPr>
          <w:szCs w:val="22"/>
        </w:rPr>
        <w:t>s</w:t>
      </w:r>
      <w:r w:rsidRPr="000531D6" w:rsidR="00942A09">
        <w:rPr>
          <w:szCs w:val="22"/>
        </w:rPr>
        <w:t>o with respect to three of them (UV-5R, UV-5RA, UV-5RE) “a few years ago.”</w:t>
      </w:r>
      <w:r>
        <w:rPr>
          <w:rStyle w:val="FootnoteReference"/>
          <w:sz w:val="22"/>
          <w:szCs w:val="22"/>
        </w:rPr>
        <w:footnoteReference w:id="14"/>
      </w:r>
      <w:r w:rsidRPr="000531D6" w:rsidR="00942A09">
        <w:rPr>
          <w:szCs w:val="22"/>
        </w:rPr>
        <w:t xml:space="preserve">  </w:t>
      </w:r>
      <w:r w:rsidRPr="000531D6" w:rsidR="001A5253">
        <w:rPr>
          <w:szCs w:val="22"/>
        </w:rPr>
        <w:t xml:space="preserve">The Company nonetheless failed to remove these three models from its website until </w:t>
      </w:r>
    </w:p>
    <w:p w:rsidR="00B83AC3" w:rsidRPr="000531D6" w:rsidP="00D01704">
      <w:pPr>
        <w:rPr>
          <w:szCs w:val="22"/>
        </w:rPr>
      </w:pPr>
      <w:r w:rsidRPr="000531D6">
        <w:rPr>
          <w:szCs w:val="22"/>
        </w:rPr>
        <w:br w:type="page"/>
      </w:r>
    </w:p>
    <w:p w:rsidR="003C639D" w:rsidRPr="000531D6">
      <w:pPr>
        <w:pStyle w:val="ParaNum"/>
        <w:numPr>
          <w:ilvl w:val="0"/>
          <w:numId w:val="0"/>
        </w:numPr>
        <w:tabs>
          <w:tab w:val="left" w:pos="1440"/>
        </w:tabs>
        <w:rPr>
          <w:szCs w:val="22"/>
        </w:rPr>
      </w:pPr>
      <w:r w:rsidRPr="000531D6">
        <w:rPr>
          <w:szCs w:val="22"/>
        </w:rPr>
        <w:t xml:space="preserve">February 1, 2018, </w:t>
      </w:r>
      <w:r w:rsidRPr="000531D6" w:rsidR="001A5253">
        <w:rPr>
          <w:szCs w:val="22"/>
        </w:rPr>
        <w:t xml:space="preserve">following its </w:t>
      </w:r>
      <w:r w:rsidRPr="000531D6">
        <w:rPr>
          <w:szCs w:val="22"/>
        </w:rPr>
        <w:t>receipt of the LOI.</w:t>
      </w:r>
      <w:r>
        <w:rPr>
          <w:rStyle w:val="FootnoteReference"/>
          <w:sz w:val="22"/>
          <w:szCs w:val="22"/>
        </w:rPr>
        <w:footnoteReference w:id="15"/>
      </w:r>
      <w:r w:rsidRPr="000531D6" w:rsidR="00A02886">
        <w:rPr>
          <w:szCs w:val="22"/>
        </w:rPr>
        <w:t xml:space="preserve"> </w:t>
      </w:r>
      <w:r w:rsidRPr="000531D6" w:rsidR="0031451E">
        <w:rPr>
          <w:szCs w:val="22"/>
        </w:rPr>
        <w:t xml:space="preserve"> Currently, Amcrest markets only one model of the Baofeng radio UV-5R series, the UV-5R V2+.</w:t>
      </w:r>
      <w:r>
        <w:rPr>
          <w:rStyle w:val="FootnoteReference"/>
          <w:sz w:val="22"/>
          <w:szCs w:val="22"/>
        </w:rPr>
        <w:footnoteReference w:id="16"/>
      </w:r>
    </w:p>
    <w:p w:rsidR="0031451E" w:rsidRPr="000531D6">
      <w:pPr>
        <w:pStyle w:val="ParaNum"/>
        <w:numPr>
          <w:ilvl w:val="0"/>
          <w:numId w:val="1"/>
        </w:numPr>
        <w:tabs>
          <w:tab w:val="clear" w:pos="1080"/>
          <w:tab w:val="left" w:pos="1440"/>
        </w:tabs>
        <w:rPr>
          <w:szCs w:val="22"/>
        </w:rPr>
      </w:pPr>
      <w:r w:rsidRPr="000531D6">
        <w:rPr>
          <w:szCs w:val="22"/>
        </w:rPr>
        <w:t xml:space="preserve">After </w:t>
      </w:r>
      <w:r w:rsidRPr="000531D6">
        <w:rPr>
          <w:szCs w:val="22"/>
        </w:rPr>
        <w:t xml:space="preserve">receiving </w:t>
      </w:r>
      <w:r w:rsidRPr="000531D6">
        <w:rPr>
          <w:szCs w:val="22"/>
        </w:rPr>
        <w:t>the LOI, t</w:t>
      </w:r>
      <w:r w:rsidRPr="000531D6" w:rsidR="00BC1279">
        <w:rPr>
          <w:szCs w:val="22"/>
        </w:rPr>
        <w:t>he Company</w:t>
      </w:r>
      <w:r w:rsidRPr="000531D6" w:rsidR="000C3756">
        <w:rPr>
          <w:szCs w:val="22"/>
        </w:rPr>
        <w:t xml:space="preserve"> </w:t>
      </w:r>
      <w:r w:rsidRPr="000531D6" w:rsidR="00B70BD0">
        <w:rPr>
          <w:szCs w:val="22"/>
        </w:rPr>
        <w:t xml:space="preserve">confirmed with the manufacturer that </w:t>
      </w:r>
      <w:r w:rsidRPr="000531D6" w:rsidR="00913E77">
        <w:rPr>
          <w:szCs w:val="22"/>
        </w:rPr>
        <w:t>m</w:t>
      </w:r>
      <w:r w:rsidRPr="000531D6" w:rsidR="00B70BD0">
        <w:rPr>
          <w:szCs w:val="22"/>
        </w:rPr>
        <w:t xml:space="preserve">odel </w:t>
      </w:r>
      <w:r w:rsidRPr="000531D6" w:rsidR="009307C1">
        <w:rPr>
          <w:szCs w:val="22"/>
        </w:rPr>
        <w:t xml:space="preserve">UV-5R V2+ </w:t>
      </w:r>
      <w:r w:rsidRPr="000531D6" w:rsidR="00B70BD0">
        <w:rPr>
          <w:szCs w:val="22"/>
        </w:rPr>
        <w:t xml:space="preserve">is </w:t>
      </w:r>
      <w:r w:rsidRPr="000531D6" w:rsidR="001D1CA6">
        <w:rPr>
          <w:szCs w:val="22"/>
        </w:rPr>
        <w:t xml:space="preserve">indeed </w:t>
      </w:r>
      <w:r w:rsidRPr="000531D6" w:rsidR="00B70BD0">
        <w:rPr>
          <w:szCs w:val="22"/>
        </w:rPr>
        <w:t xml:space="preserve">capable of operating on </w:t>
      </w:r>
      <w:r w:rsidRPr="000531D6" w:rsidR="000047A2">
        <w:rPr>
          <w:szCs w:val="22"/>
        </w:rPr>
        <w:t>“</w:t>
      </w:r>
      <w:r w:rsidRPr="000531D6" w:rsidR="00B70BD0">
        <w:rPr>
          <w:szCs w:val="22"/>
        </w:rPr>
        <w:t>restricted frequencies</w:t>
      </w:r>
      <w:r w:rsidRPr="000531D6" w:rsidR="001D1CA6">
        <w:rPr>
          <w:szCs w:val="22"/>
        </w:rPr>
        <w:t>,</w:t>
      </w:r>
      <w:r w:rsidRPr="000531D6" w:rsidR="000047A2">
        <w:rPr>
          <w:szCs w:val="22"/>
        </w:rPr>
        <w:t>”</w:t>
      </w:r>
      <w:r>
        <w:rPr>
          <w:rStyle w:val="FootnoteReference"/>
          <w:sz w:val="22"/>
          <w:szCs w:val="22"/>
        </w:rPr>
        <w:footnoteReference w:id="17"/>
      </w:r>
      <w:r w:rsidRPr="000531D6" w:rsidR="00774CA5">
        <w:rPr>
          <w:szCs w:val="22"/>
        </w:rPr>
        <w:t xml:space="preserve"> </w:t>
      </w:r>
      <w:r w:rsidRPr="000531D6" w:rsidR="001D1CA6">
        <w:rPr>
          <w:szCs w:val="22"/>
        </w:rPr>
        <w:t>though it is</w:t>
      </w:r>
      <w:r w:rsidRPr="000531D6" w:rsidR="009307C1">
        <w:rPr>
          <w:szCs w:val="22"/>
        </w:rPr>
        <w:t xml:space="preserve"> in</w:t>
      </w:r>
      <w:r w:rsidRPr="000531D6" w:rsidR="000C3756">
        <w:rPr>
          <w:szCs w:val="22"/>
        </w:rPr>
        <w:t xml:space="preserve">capable of operating at power levels above those specified in its </w:t>
      </w:r>
      <w:r w:rsidRPr="000531D6" w:rsidR="00493533">
        <w:rPr>
          <w:szCs w:val="22"/>
        </w:rPr>
        <w:t>E</w:t>
      </w:r>
      <w:r w:rsidRPr="000531D6" w:rsidR="00D83AFB">
        <w:rPr>
          <w:szCs w:val="22"/>
        </w:rPr>
        <w:t xml:space="preserve">quipment </w:t>
      </w:r>
      <w:r w:rsidRPr="000531D6" w:rsidR="00493533">
        <w:rPr>
          <w:szCs w:val="22"/>
        </w:rPr>
        <w:t>A</w:t>
      </w:r>
      <w:r w:rsidRPr="000531D6" w:rsidR="00D83AFB">
        <w:rPr>
          <w:szCs w:val="22"/>
        </w:rPr>
        <w:t>uthorization</w:t>
      </w:r>
      <w:r w:rsidRPr="000531D6" w:rsidR="00D007A3">
        <w:rPr>
          <w:szCs w:val="22"/>
        </w:rPr>
        <w:t>.</w:t>
      </w:r>
      <w:r>
        <w:rPr>
          <w:rStyle w:val="FootnoteReference"/>
          <w:sz w:val="22"/>
          <w:szCs w:val="22"/>
        </w:rPr>
        <w:footnoteReference w:id="18"/>
      </w:r>
      <w:r w:rsidRPr="000531D6" w:rsidR="00774CA5">
        <w:rPr>
          <w:szCs w:val="22"/>
        </w:rPr>
        <w:t xml:space="preserve">  The</w:t>
      </w:r>
      <w:r w:rsidRPr="000531D6" w:rsidR="009445B8">
        <w:rPr>
          <w:szCs w:val="22"/>
        </w:rPr>
        <w:t xml:space="preserve"> Company </w:t>
      </w:r>
      <w:r w:rsidRPr="000531D6" w:rsidR="00A45F47">
        <w:rPr>
          <w:szCs w:val="22"/>
        </w:rPr>
        <w:t xml:space="preserve">then </w:t>
      </w:r>
      <w:r w:rsidRPr="000531D6" w:rsidR="00BC3499">
        <w:rPr>
          <w:szCs w:val="22"/>
        </w:rPr>
        <w:t xml:space="preserve">instructed </w:t>
      </w:r>
      <w:r w:rsidRPr="000531D6" w:rsidR="009445B8">
        <w:rPr>
          <w:szCs w:val="22"/>
        </w:rPr>
        <w:t xml:space="preserve">the manufacturer to </w:t>
      </w:r>
      <w:r w:rsidRPr="000531D6" w:rsidR="00BC3499">
        <w:rPr>
          <w:szCs w:val="22"/>
        </w:rPr>
        <w:t>rectify</w:t>
      </w:r>
      <w:r w:rsidRPr="000531D6" w:rsidR="009445B8">
        <w:rPr>
          <w:szCs w:val="22"/>
        </w:rPr>
        <w:t xml:space="preserve"> the issue</w:t>
      </w:r>
      <w:r>
        <w:rPr>
          <w:rStyle w:val="FootnoteReference"/>
          <w:sz w:val="22"/>
          <w:szCs w:val="22"/>
        </w:rPr>
        <w:footnoteReference w:id="19"/>
      </w:r>
      <w:r w:rsidRPr="000531D6" w:rsidR="009445B8">
        <w:rPr>
          <w:szCs w:val="22"/>
        </w:rPr>
        <w:t xml:space="preserve"> </w:t>
      </w:r>
      <w:r w:rsidRPr="000531D6" w:rsidR="00D3275C">
        <w:rPr>
          <w:szCs w:val="22"/>
        </w:rPr>
        <w:t>and subsequently</w:t>
      </w:r>
      <w:r w:rsidRPr="000531D6" w:rsidR="00BC3499">
        <w:rPr>
          <w:szCs w:val="22"/>
        </w:rPr>
        <w:t xml:space="preserve"> confirmed with the manufacture</w:t>
      </w:r>
      <w:r w:rsidRPr="000531D6" w:rsidR="000C18F9">
        <w:rPr>
          <w:szCs w:val="22"/>
        </w:rPr>
        <w:t>r</w:t>
      </w:r>
      <w:r w:rsidRPr="000531D6" w:rsidR="00BC3499">
        <w:rPr>
          <w:szCs w:val="22"/>
        </w:rPr>
        <w:t xml:space="preserve"> that “all [Amcrest] inventory currently on order and in the future will operate only on 145-155</w:t>
      </w:r>
      <w:r w:rsidRPr="000531D6" w:rsidR="000E5404">
        <w:rPr>
          <w:szCs w:val="22"/>
        </w:rPr>
        <w:t xml:space="preserve"> </w:t>
      </w:r>
      <w:r w:rsidRPr="000531D6" w:rsidR="00BC3499">
        <w:rPr>
          <w:szCs w:val="22"/>
        </w:rPr>
        <w:t>M[H]z and 400-520</w:t>
      </w:r>
      <w:r w:rsidRPr="000531D6" w:rsidR="000E5404">
        <w:rPr>
          <w:szCs w:val="22"/>
        </w:rPr>
        <w:t xml:space="preserve"> </w:t>
      </w:r>
      <w:r w:rsidRPr="000531D6" w:rsidR="00BC3499">
        <w:rPr>
          <w:szCs w:val="22"/>
        </w:rPr>
        <w:t>M[H]z</w:t>
      </w:r>
      <w:r w:rsidRPr="000531D6" w:rsidR="00D45D89">
        <w:rPr>
          <w:szCs w:val="22"/>
        </w:rPr>
        <w:t>.</w:t>
      </w:r>
      <w:r w:rsidRPr="000531D6" w:rsidR="00BC3499">
        <w:rPr>
          <w:szCs w:val="22"/>
        </w:rPr>
        <w:t>”</w:t>
      </w:r>
      <w:r>
        <w:rPr>
          <w:rStyle w:val="FootnoteReference"/>
          <w:sz w:val="22"/>
          <w:szCs w:val="22"/>
        </w:rPr>
        <w:footnoteReference w:id="20"/>
      </w:r>
      <w:r w:rsidRPr="000531D6" w:rsidR="00431801">
        <w:rPr>
          <w:szCs w:val="22"/>
        </w:rPr>
        <w:t xml:space="preserve"> </w:t>
      </w:r>
    </w:p>
    <w:p w:rsidR="0096675D" w:rsidRPr="000531D6" w:rsidP="00D01704">
      <w:pPr>
        <w:pStyle w:val="Heading1"/>
        <w:keepNext w:val="0"/>
        <w:rPr>
          <w:rFonts w:ascii="Times New Roman" w:hAnsi="Times New Roman"/>
          <w:szCs w:val="22"/>
        </w:rPr>
      </w:pPr>
      <w:r w:rsidRPr="000531D6">
        <w:rPr>
          <w:rFonts w:ascii="Times New Roman" w:hAnsi="Times New Roman"/>
          <w:szCs w:val="22"/>
        </w:rPr>
        <w:t xml:space="preserve">aPPLICABLE LAW </w:t>
      </w:r>
      <w:r w:rsidRPr="000531D6" w:rsidR="00654D13">
        <w:rPr>
          <w:rFonts w:ascii="Times New Roman" w:hAnsi="Times New Roman"/>
          <w:szCs w:val="22"/>
        </w:rPr>
        <w:t>and violations</w:t>
      </w:r>
    </w:p>
    <w:p w:rsidR="00EA393F" w:rsidRPr="000531D6" w:rsidP="003076A3">
      <w:pPr>
        <w:pStyle w:val="ParaNum"/>
        <w:numPr>
          <w:ilvl w:val="0"/>
          <w:numId w:val="1"/>
        </w:numPr>
        <w:tabs>
          <w:tab w:val="clear" w:pos="1080"/>
          <w:tab w:val="left" w:pos="1440"/>
        </w:tabs>
        <w:rPr>
          <w:szCs w:val="22"/>
        </w:rPr>
      </w:pPr>
      <w:r w:rsidRPr="000531D6">
        <w:rPr>
          <w:kern w:val="2"/>
          <w:szCs w:val="22"/>
        </w:rPr>
        <w:t>Section</w:t>
      </w:r>
      <w:r w:rsidRPr="000531D6">
        <w:rPr>
          <w:szCs w:val="22"/>
        </w:rPr>
        <w:t xml:space="preserve"> 302(b) of the Act states that “[n]o</w:t>
      </w:r>
      <w:r w:rsidRPr="000531D6">
        <w:rPr>
          <w:b/>
          <w:szCs w:val="22"/>
        </w:rPr>
        <w:t xml:space="preserve"> </w:t>
      </w:r>
      <w:r w:rsidRPr="000531D6">
        <w:rPr>
          <w:szCs w:val="22"/>
        </w:rPr>
        <w:t>person shall manufacture, import, sell, offer for sale, or ship devices or home electronic equipment and systems, or use devices, which fail to comply with regulations promulgated pursuant to this section.”</w:t>
      </w:r>
      <w:r>
        <w:rPr>
          <w:rStyle w:val="FootnoteReference"/>
          <w:sz w:val="22"/>
          <w:szCs w:val="22"/>
        </w:rPr>
        <w:footnoteReference w:id="21"/>
      </w:r>
      <w:r w:rsidRPr="000531D6">
        <w:rPr>
          <w:szCs w:val="22"/>
        </w:rPr>
        <w:t xml:space="preserve">  </w:t>
      </w:r>
      <w:r w:rsidRPr="000531D6" w:rsidR="00A8604A">
        <w:rPr>
          <w:szCs w:val="22"/>
        </w:rPr>
        <w:t xml:space="preserve">Section </w:t>
      </w:r>
      <w:r w:rsidRPr="000531D6" w:rsidR="000948D2">
        <w:rPr>
          <w:szCs w:val="22"/>
        </w:rPr>
        <w:t xml:space="preserve">2.803(b) </w:t>
      </w:r>
      <w:r w:rsidRPr="000531D6" w:rsidR="00753BD2">
        <w:rPr>
          <w:szCs w:val="22"/>
        </w:rPr>
        <w:t xml:space="preserve">of the </w:t>
      </w:r>
      <w:r w:rsidRPr="000531D6" w:rsidR="00A67057">
        <w:rPr>
          <w:szCs w:val="22"/>
        </w:rPr>
        <w:t>Commission’s rules</w:t>
      </w:r>
      <w:r w:rsidRPr="000531D6" w:rsidR="00753BD2">
        <w:rPr>
          <w:szCs w:val="22"/>
        </w:rPr>
        <w:t xml:space="preserve"> </w:t>
      </w:r>
      <w:r w:rsidRPr="000531D6" w:rsidR="00667ED8">
        <w:rPr>
          <w:szCs w:val="22"/>
        </w:rPr>
        <w:t>states that “</w:t>
      </w:r>
      <w:r w:rsidRPr="000531D6" w:rsidR="001A022F">
        <w:rPr>
          <w:szCs w:val="22"/>
        </w:rPr>
        <w:t>[n]o</w:t>
      </w:r>
      <w:r w:rsidRPr="000531D6" w:rsidR="00861618">
        <w:rPr>
          <w:szCs w:val="22"/>
        </w:rPr>
        <w:t xml:space="preserve"> person may market a radio frequency device unless</w:t>
      </w:r>
      <w:r w:rsidRPr="000531D6" w:rsidR="008424F4">
        <w:rPr>
          <w:szCs w:val="22"/>
        </w:rPr>
        <w:t xml:space="preserve"> . . . </w:t>
      </w:r>
      <w:r w:rsidRPr="000531D6" w:rsidR="00861618">
        <w:rPr>
          <w:szCs w:val="22"/>
        </w:rPr>
        <w:t>the device has been authorized in accordance with the rules in subpart J of this chapter and is properly identified and labeled as required by §</w:t>
      </w:r>
      <w:r w:rsidRPr="000531D6" w:rsidR="00487E46">
        <w:rPr>
          <w:szCs w:val="22"/>
        </w:rPr>
        <w:t xml:space="preserve"> </w:t>
      </w:r>
      <w:r w:rsidRPr="000531D6" w:rsidR="00861618">
        <w:rPr>
          <w:szCs w:val="22"/>
        </w:rPr>
        <w:t>2.925 and other rele</w:t>
      </w:r>
      <w:r w:rsidRPr="000531D6" w:rsidR="00DA26BB">
        <w:rPr>
          <w:szCs w:val="22"/>
        </w:rPr>
        <w:t>vant sections in this chapter . . . .”</w:t>
      </w:r>
      <w:r>
        <w:rPr>
          <w:rStyle w:val="FootnoteReference"/>
          <w:sz w:val="22"/>
          <w:szCs w:val="22"/>
        </w:rPr>
        <w:footnoteReference w:id="22"/>
      </w:r>
      <w:r w:rsidRPr="000531D6" w:rsidR="00E86ADB">
        <w:rPr>
          <w:szCs w:val="22"/>
        </w:rPr>
        <w:t xml:space="preserve">  </w:t>
      </w:r>
      <w:r w:rsidRPr="000531D6" w:rsidR="00640423">
        <w:rPr>
          <w:szCs w:val="22"/>
        </w:rPr>
        <w:t>Under Section 2.803 of the Commission’s rules, an entity may not market a device that is capable of operating outside the scope of its equipment authorization.</w:t>
      </w:r>
      <w:r>
        <w:rPr>
          <w:rStyle w:val="FootnoteReference"/>
          <w:sz w:val="22"/>
          <w:szCs w:val="22"/>
        </w:rPr>
        <w:footnoteReference w:id="23"/>
      </w:r>
      <w:r w:rsidRPr="000531D6" w:rsidR="00640423">
        <w:rPr>
          <w:szCs w:val="22"/>
        </w:rPr>
        <w:t xml:space="preserve">  </w:t>
      </w:r>
      <w:r w:rsidRPr="000531D6" w:rsidR="008B32EE">
        <w:rPr>
          <w:szCs w:val="22"/>
        </w:rPr>
        <w:t>RF devices that have been authorized under Part 90 rules (Private Land Mobile Radio services), such as the model at issue, must operate within the technical parameters established in those rules</w:t>
      </w:r>
      <w:r w:rsidRPr="000531D6" w:rsidR="006A6EEF">
        <w:rPr>
          <w:szCs w:val="22"/>
        </w:rPr>
        <w:t>.</w:t>
      </w:r>
      <w:r>
        <w:rPr>
          <w:rStyle w:val="FootnoteReference"/>
          <w:sz w:val="22"/>
          <w:szCs w:val="22"/>
        </w:rPr>
        <w:footnoteReference w:id="24"/>
      </w:r>
      <w:r w:rsidRPr="000531D6" w:rsidR="006A6EEF">
        <w:rPr>
          <w:szCs w:val="22"/>
        </w:rPr>
        <w:t xml:space="preserve"> </w:t>
      </w:r>
    </w:p>
    <w:p w:rsidR="00CE6383" w:rsidRPr="000531D6">
      <w:pPr>
        <w:pStyle w:val="ParaNum"/>
        <w:tabs>
          <w:tab w:val="clear" w:pos="1080"/>
          <w:tab w:val="num" w:pos="1440"/>
        </w:tabs>
        <w:rPr>
          <w:szCs w:val="22"/>
        </w:rPr>
      </w:pPr>
      <w:r w:rsidRPr="000531D6">
        <w:rPr>
          <w:szCs w:val="22"/>
        </w:rPr>
        <w:t xml:space="preserve">After reviewing Amcrest’s responses, </w:t>
      </w:r>
      <w:r w:rsidRPr="000531D6" w:rsidR="00722740">
        <w:rPr>
          <w:szCs w:val="22"/>
        </w:rPr>
        <w:t>we find</w:t>
      </w:r>
      <w:r w:rsidRPr="000531D6">
        <w:rPr>
          <w:szCs w:val="22"/>
        </w:rPr>
        <w:t xml:space="preserve"> th</w:t>
      </w:r>
      <w:r w:rsidRPr="000531D6" w:rsidR="00553ADB">
        <w:rPr>
          <w:szCs w:val="22"/>
        </w:rPr>
        <w:t xml:space="preserve">at Amcrest </w:t>
      </w:r>
      <w:r w:rsidRPr="000531D6">
        <w:rPr>
          <w:szCs w:val="22"/>
        </w:rPr>
        <w:t xml:space="preserve">marketed the </w:t>
      </w:r>
      <w:r w:rsidRPr="000531D6" w:rsidR="00120D02">
        <w:rPr>
          <w:szCs w:val="22"/>
        </w:rPr>
        <w:t>UV-5R V2+</w:t>
      </w:r>
      <w:r w:rsidRPr="000531D6" w:rsidR="00064D8C">
        <w:rPr>
          <w:szCs w:val="22"/>
        </w:rPr>
        <w:t xml:space="preserve"> </w:t>
      </w:r>
      <w:r w:rsidRPr="000531D6">
        <w:rPr>
          <w:szCs w:val="22"/>
        </w:rPr>
        <w:t xml:space="preserve">outside the scope of </w:t>
      </w:r>
      <w:r w:rsidRPr="000531D6" w:rsidR="00C014BB">
        <w:rPr>
          <w:szCs w:val="22"/>
        </w:rPr>
        <w:t>its</w:t>
      </w:r>
      <w:r w:rsidRPr="000531D6">
        <w:rPr>
          <w:szCs w:val="22"/>
        </w:rPr>
        <w:t xml:space="preserve"> </w:t>
      </w:r>
      <w:r w:rsidRPr="000531D6" w:rsidR="00493533">
        <w:rPr>
          <w:szCs w:val="22"/>
        </w:rPr>
        <w:t>E</w:t>
      </w:r>
      <w:r w:rsidRPr="000531D6">
        <w:rPr>
          <w:szCs w:val="22"/>
        </w:rPr>
        <w:t xml:space="preserve">quipment </w:t>
      </w:r>
      <w:r w:rsidRPr="000531D6" w:rsidR="00493533">
        <w:rPr>
          <w:szCs w:val="22"/>
        </w:rPr>
        <w:t>A</w:t>
      </w:r>
      <w:r w:rsidRPr="000531D6" w:rsidR="00782EC6">
        <w:rPr>
          <w:szCs w:val="22"/>
        </w:rPr>
        <w:t>uthorization</w:t>
      </w:r>
      <w:r w:rsidRPr="000531D6" w:rsidR="00640423">
        <w:rPr>
          <w:szCs w:val="22"/>
        </w:rPr>
        <w:t>.</w:t>
      </w:r>
      <w:r>
        <w:rPr>
          <w:rStyle w:val="FootnoteReference"/>
          <w:sz w:val="22"/>
          <w:szCs w:val="22"/>
        </w:rPr>
        <w:footnoteReference w:id="25"/>
      </w:r>
      <w:r w:rsidRPr="000531D6">
        <w:rPr>
          <w:szCs w:val="22"/>
        </w:rPr>
        <w:t xml:space="preserve"> </w:t>
      </w:r>
      <w:r w:rsidRPr="000531D6" w:rsidR="00640423">
        <w:rPr>
          <w:szCs w:val="22"/>
        </w:rPr>
        <w:t xml:space="preserve"> </w:t>
      </w:r>
      <w:r w:rsidRPr="000531D6" w:rsidR="006239D2">
        <w:rPr>
          <w:szCs w:val="22"/>
        </w:rPr>
        <w:t xml:space="preserve">As </w:t>
      </w:r>
      <w:r w:rsidRPr="000531D6" w:rsidR="00B40D9C">
        <w:rPr>
          <w:szCs w:val="22"/>
        </w:rPr>
        <w:t xml:space="preserve">noted </w:t>
      </w:r>
      <w:r w:rsidRPr="000531D6" w:rsidR="006239D2">
        <w:rPr>
          <w:szCs w:val="22"/>
        </w:rPr>
        <w:t>above</w:t>
      </w:r>
      <w:r w:rsidRPr="000531D6" w:rsidR="00166C54">
        <w:rPr>
          <w:szCs w:val="22"/>
        </w:rPr>
        <w:t xml:space="preserve">, </w:t>
      </w:r>
      <w:r w:rsidRPr="000531D6" w:rsidR="00797F7C">
        <w:rPr>
          <w:szCs w:val="22"/>
        </w:rPr>
        <w:t>Amcrest</w:t>
      </w:r>
      <w:r w:rsidRPr="000531D6" w:rsidR="003F253F">
        <w:rPr>
          <w:szCs w:val="22"/>
        </w:rPr>
        <w:t xml:space="preserve"> admit</w:t>
      </w:r>
      <w:r w:rsidRPr="000531D6" w:rsidR="00166C54">
        <w:rPr>
          <w:szCs w:val="22"/>
        </w:rPr>
        <w:t>t</w:t>
      </w:r>
      <w:r w:rsidRPr="000531D6" w:rsidR="003F253F">
        <w:rPr>
          <w:szCs w:val="22"/>
        </w:rPr>
        <w:t>ed</w:t>
      </w:r>
      <w:r w:rsidRPr="000531D6" w:rsidR="00A83211">
        <w:rPr>
          <w:szCs w:val="22"/>
        </w:rPr>
        <w:t xml:space="preserve"> that the </w:t>
      </w:r>
      <w:r w:rsidRPr="000531D6" w:rsidR="00B4601D">
        <w:rPr>
          <w:szCs w:val="22"/>
        </w:rPr>
        <w:t xml:space="preserve">UV-5R </w:t>
      </w:r>
      <w:r w:rsidRPr="000531D6" w:rsidR="00B4601D">
        <w:rPr>
          <w:szCs w:val="22"/>
        </w:rPr>
        <w:t>V2</w:t>
      </w:r>
      <w:r w:rsidRPr="000531D6" w:rsidR="00C929B3">
        <w:rPr>
          <w:szCs w:val="22"/>
        </w:rPr>
        <w:t>+</w:t>
      </w:r>
      <w:r w:rsidRPr="000531D6" w:rsidR="00B4601D">
        <w:rPr>
          <w:szCs w:val="22"/>
        </w:rPr>
        <w:t xml:space="preserve"> </w:t>
      </w:r>
      <w:r w:rsidRPr="000531D6" w:rsidR="001E3AC9">
        <w:rPr>
          <w:kern w:val="0"/>
          <w:szCs w:val="22"/>
        </w:rPr>
        <w:t>is “</w:t>
      </w:r>
      <w:r w:rsidRPr="000531D6" w:rsidR="000B0F35">
        <w:rPr>
          <w:kern w:val="0"/>
          <w:szCs w:val="22"/>
        </w:rPr>
        <w:t>capable of operating on restricted frequencies</w:t>
      </w:r>
      <w:r w:rsidRPr="000531D6" w:rsidR="00D415F5">
        <w:rPr>
          <w:szCs w:val="22"/>
        </w:rPr>
        <w:t>.</w:t>
      </w:r>
      <w:r w:rsidRPr="000531D6" w:rsidR="001E3AC9">
        <w:rPr>
          <w:szCs w:val="22"/>
        </w:rPr>
        <w:t>”</w:t>
      </w:r>
      <w:r>
        <w:rPr>
          <w:rStyle w:val="FootnoteReference"/>
          <w:sz w:val="22"/>
          <w:szCs w:val="22"/>
        </w:rPr>
        <w:footnoteReference w:id="26"/>
      </w:r>
      <w:r w:rsidRPr="000531D6" w:rsidR="00166C54">
        <w:rPr>
          <w:szCs w:val="22"/>
        </w:rPr>
        <w:t xml:space="preserve"> </w:t>
      </w:r>
      <w:r w:rsidRPr="000531D6" w:rsidR="006F53C8">
        <w:rPr>
          <w:szCs w:val="22"/>
        </w:rPr>
        <w:t xml:space="preserve"> </w:t>
      </w:r>
      <w:r w:rsidRPr="000531D6" w:rsidR="00B804F0">
        <w:rPr>
          <w:noProof/>
          <w:szCs w:val="22"/>
        </w:rPr>
        <w:t>Accordingly, Amcrest</w:t>
      </w:r>
      <w:r w:rsidRPr="000531D6" w:rsidR="00B804F0">
        <w:rPr>
          <w:szCs w:val="22"/>
        </w:rPr>
        <w:t xml:space="preserve"> </w:t>
      </w:r>
      <w:r w:rsidRPr="000531D6" w:rsidR="00B804F0">
        <w:rPr>
          <w:noProof/>
          <w:szCs w:val="22"/>
        </w:rPr>
        <w:t>violated Section 302(b) of the Act and Section 2.803 of the Commission’s rules.</w:t>
      </w:r>
      <w:r>
        <w:rPr>
          <w:rStyle w:val="FootnoteReference"/>
          <w:noProof/>
          <w:sz w:val="22"/>
          <w:szCs w:val="22"/>
        </w:rPr>
        <w:footnoteReference w:id="27"/>
      </w:r>
      <w:r w:rsidRPr="000531D6" w:rsidR="00D45D89">
        <w:rPr>
          <w:noProof/>
          <w:szCs w:val="22"/>
        </w:rPr>
        <w:t xml:space="preserve">  </w:t>
      </w:r>
      <w:r w:rsidR="001D005B">
        <w:t>While we recognize Amcrest’s efforts to date to achieve compliance with the Commission’s rules, the Company must nonetheless ensure the version of the UV-5R V2+ it is marketing operates only on frequencies specified in its Equipment Authorization</w:t>
      </w:r>
      <w:r w:rsidRPr="000531D6" w:rsidR="00D45D89">
        <w:rPr>
          <w:szCs w:val="22"/>
        </w:rPr>
        <w:t>.</w:t>
      </w:r>
      <w:r>
        <w:rPr>
          <w:rStyle w:val="FootnoteReference"/>
          <w:sz w:val="22"/>
          <w:szCs w:val="22"/>
        </w:rPr>
        <w:footnoteReference w:id="28"/>
      </w:r>
      <w:r w:rsidRPr="000531D6" w:rsidR="00D45D89">
        <w:rPr>
          <w:szCs w:val="22"/>
        </w:rPr>
        <w:t xml:space="preserve">  </w:t>
      </w:r>
    </w:p>
    <w:p w:rsidR="00E273E3" w:rsidRPr="000531D6" w:rsidP="00D01704">
      <w:pPr>
        <w:pStyle w:val="Heading1"/>
        <w:keepNext w:val="0"/>
        <w:rPr>
          <w:rFonts w:ascii="Times New Roman" w:hAnsi="Times New Roman"/>
          <w:szCs w:val="22"/>
        </w:rPr>
      </w:pPr>
      <w:r w:rsidRPr="000531D6">
        <w:rPr>
          <w:rFonts w:ascii="Times New Roman" w:hAnsi="Times New Roman"/>
          <w:szCs w:val="22"/>
        </w:rPr>
        <w:t xml:space="preserve">Request </w:t>
      </w:r>
      <w:r w:rsidRPr="000531D6" w:rsidR="00B85F3E">
        <w:rPr>
          <w:rFonts w:ascii="Times New Roman" w:hAnsi="Times New Roman"/>
          <w:szCs w:val="22"/>
        </w:rPr>
        <w:t>FOR INFORMATION</w:t>
      </w:r>
      <w:r w:rsidRPr="000531D6" w:rsidR="00B85F3E">
        <w:rPr>
          <w:rFonts w:ascii="Times New Roman" w:hAnsi="Times New Roman"/>
          <w:szCs w:val="22"/>
        </w:rPr>
        <w:t xml:space="preserve"> </w:t>
      </w:r>
    </w:p>
    <w:p w:rsidR="006E6234" w:rsidRPr="000531D6">
      <w:pPr>
        <w:pStyle w:val="ParaNum"/>
        <w:tabs>
          <w:tab w:val="clear" w:pos="1080"/>
          <w:tab w:val="num" w:pos="1440"/>
        </w:tabs>
        <w:rPr>
          <w:szCs w:val="22"/>
        </w:rPr>
      </w:pPr>
      <w:r w:rsidRPr="000531D6">
        <w:rPr>
          <w:szCs w:val="22"/>
        </w:rPr>
        <w:t>W</w:t>
      </w:r>
      <w:r w:rsidRPr="000531D6" w:rsidR="005942FC">
        <w:rPr>
          <w:szCs w:val="22"/>
        </w:rPr>
        <w:t xml:space="preserve">e direct </w:t>
      </w:r>
      <w:r w:rsidRPr="000531D6" w:rsidR="009F7161">
        <w:rPr>
          <w:szCs w:val="22"/>
        </w:rPr>
        <w:t>Amcrest</w:t>
      </w:r>
      <w:r w:rsidRPr="000531D6" w:rsidR="005942FC">
        <w:rPr>
          <w:szCs w:val="22"/>
        </w:rPr>
        <w:t xml:space="preserve"> to </w:t>
      </w:r>
      <w:r w:rsidRPr="000531D6">
        <w:rPr>
          <w:szCs w:val="22"/>
        </w:rPr>
        <w:t xml:space="preserve">provide the </w:t>
      </w:r>
      <w:r w:rsidRPr="000531D6" w:rsidR="005942FC">
        <w:rPr>
          <w:szCs w:val="22"/>
        </w:rPr>
        <w:t>request</w:t>
      </w:r>
      <w:r w:rsidRPr="000531D6">
        <w:rPr>
          <w:szCs w:val="22"/>
        </w:rPr>
        <w:t>ed</w:t>
      </w:r>
      <w:r w:rsidRPr="000531D6" w:rsidR="001F5E58">
        <w:rPr>
          <w:szCs w:val="22"/>
        </w:rPr>
        <w:t xml:space="preserve"> documents</w:t>
      </w:r>
      <w:r w:rsidRPr="000531D6" w:rsidR="005942FC">
        <w:rPr>
          <w:szCs w:val="22"/>
        </w:rPr>
        <w:t xml:space="preserve"> within 30 days from the release date of this Citation:  </w:t>
      </w:r>
    </w:p>
    <w:p w:rsidR="00687528" w:rsidRPr="000531D6">
      <w:pPr>
        <w:pStyle w:val="ParaNum"/>
        <w:numPr>
          <w:ilvl w:val="0"/>
          <w:numId w:val="0"/>
        </w:numPr>
        <w:tabs>
          <w:tab w:val="left" w:pos="1440"/>
        </w:tabs>
        <w:ind w:left="720"/>
        <w:rPr>
          <w:szCs w:val="22"/>
        </w:rPr>
      </w:pPr>
      <w:r w:rsidRPr="000531D6">
        <w:rPr>
          <w:szCs w:val="22"/>
        </w:rPr>
        <w:t xml:space="preserve">Confirm </w:t>
      </w:r>
      <w:r w:rsidRPr="000531D6">
        <w:rPr>
          <w:szCs w:val="22"/>
        </w:rPr>
        <w:t xml:space="preserve">in writing </w:t>
      </w:r>
      <w:r w:rsidRPr="000531D6">
        <w:rPr>
          <w:szCs w:val="22"/>
        </w:rPr>
        <w:t xml:space="preserve">that </w:t>
      </w:r>
      <w:r w:rsidRPr="000531D6" w:rsidR="00851AE8">
        <w:rPr>
          <w:szCs w:val="22"/>
        </w:rPr>
        <w:t xml:space="preserve">Amcrest </w:t>
      </w:r>
      <w:r w:rsidRPr="000531D6">
        <w:rPr>
          <w:szCs w:val="22"/>
        </w:rPr>
        <w:t>ceased marketing the UV-5R V2+, including removing all references to th</w:t>
      </w:r>
      <w:r w:rsidRPr="000531D6">
        <w:rPr>
          <w:szCs w:val="22"/>
        </w:rPr>
        <w:t>e</w:t>
      </w:r>
      <w:r w:rsidRPr="000531D6">
        <w:rPr>
          <w:szCs w:val="22"/>
        </w:rPr>
        <w:t xml:space="preserve"> model from marketing materials and Company websites, until </w:t>
      </w:r>
      <w:r w:rsidRPr="000531D6">
        <w:rPr>
          <w:szCs w:val="22"/>
        </w:rPr>
        <w:t xml:space="preserve">it brought the device into </w:t>
      </w:r>
      <w:r w:rsidRPr="000531D6">
        <w:rPr>
          <w:szCs w:val="22"/>
        </w:rPr>
        <w:t>full compliance with Section 2.803(b)</w:t>
      </w:r>
      <w:r w:rsidRPr="000531D6" w:rsidR="00DD772A">
        <w:rPr>
          <w:szCs w:val="22"/>
        </w:rPr>
        <w:t xml:space="preserve"> </w:t>
      </w:r>
      <w:r w:rsidRPr="000531D6" w:rsidR="00640423">
        <w:rPr>
          <w:szCs w:val="22"/>
        </w:rPr>
        <w:t>o</w:t>
      </w:r>
      <w:r w:rsidRPr="000531D6">
        <w:rPr>
          <w:szCs w:val="22"/>
        </w:rPr>
        <w:t xml:space="preserve">f the </w:t>
      </w:r>
      <w:r w:rsidRPr="000531D6" w:rsidR="006C47F5">
        <w:rPr>
          <w:szCs w:val="22"/>
        </w:rPr>
        <w:t>Commission’s r</w:t>
      </w:r>
      <w:r w:rsidRPr="000531D6">
        <w:rPr>
          <w:szCs w:val="22"/>
        </w:rPr>
        <w:t>ules.</w:t>
      </w:r>
      <w:r>
        <w:rPr>
          <w:rStyle w:val="FootnoteReference"/>
          <w:sz w:val="22"/>
          <w:szCs w:val="22"/>
        </w:rPr>
        <w:footnoteReference w:id="29"/>
      </w:r>
    </w:p>
    <w:p w:rsidR="00851AE8" w:rsidRPr="000531D6">
      <w:pPr>
        <w:pStyle w:val="ParaNum"/>
        <w:numPr>
          <w:ilvl w:val="0"/>
          <w:numId w:val="0"/>
        </w:numPr>
        <w:tabs>
          <w:tab w:val="left" w:pos="1440"/>
        </w:tabs>
        <w:ind w:left="720"/>
        <w:rPr>
          <w:szCs w:val="22"/>
        </w:rPr>
      </w:pPr>
      <w:r w:rsidRPr="000531D6">
        <w:rPr>
          <w:szCs w:val="22"/>
        </w:rPr>
        <w:t xml:space="preserve">State </w:t>
      </w:r>
      <w:r w:rsidRPr="000531D6">
        <w:rPr>
          <w:szCs w:val="22"/>
        </w:rPr>
        <w:t xml:space="preserve">in writing the date </w:t>
      </w:r>
      <w:r w:rsidRPr="000531D6" w:rsidR="006C47F5">
        <w:rPr>
          <w:szCs w:val="22"/>
        </w:rPr>
        <w:t xml:space="preserve">on which the </w:t>
      </w:r>
      <w:r w:rsidRPr="000531D6">
        <w:rPr>
          <w:szCs w:val="22"/>
        </w:rPr>
        <w:t>UV-5R V2+ c</w:t>
      </w:r>
      <w:r w:rsidRPr="000531D6" w:rsidR="00953991">
        <w:rPr>
          <w:szCs w:val="22"/>
        </w:rPr>
        <w:t>a</w:t>
      </w:r>
      <w:r w:rsidRPr="000531D6">
        <w:rPr>
          <w:szCs w:val="22"/>
        </w:rPr>
        <w:t>me into compliance with Section 2.803(b)</w:t>
      </w:r>
      <w:r w:rsidRPr="000531D6" w:rsidR="00DD772A">
        <w:rPr>
          <w:szCs w:val="22"/>
        </w:rPr>
        <w:t xml:space="preserve"> </w:t>
      </w:r>
      <w:r w:rsidRPr="000531D6" w:rsidR="005D08BE">
        <w:rPr>
          <w:szCs w:val="22"/>
        </w:rPr>
        <w:t xml:space="preserve">of the </w:t>
      </w:r>
      <w:r w:rsidRPr="000531D6" w:rsidR="006C47F5">
        <w:rPr>
          <w:szCs w:val="22"/>
        </w:rPr>
        <w:t>Commission’s r</w:t>
      </w:r>
      <w:r w:rsidRPr="000531D6" w:rsidR="005D08BE">
        <w:rPr>
          <w:szCs w:val="22"/>
        </w:rPr>
        <w:t>ules</w:t>
      </w:r>
      <w:r w:rsidRPr="000531D6" w:rsidR="006C47F5">
        <w:rPr>
          <w:szCs w:val="22"/>
        </w:rPr>
        <w:t>.</w:t>
      </w:r>
      <w:r>
        <w:rPr>
          <w:rStyle w:val="FootnoteReference"/>
          <w:sz w:val="22"/>
          <w:szCs w:val="22"/>
        </w:rPr>
        <w:footnoteReference w:id="30"/>
      </w:r>
    </w:p>
    <w:p w:rsidR="004D3233" w:rsidRPr="000531D6" w:rsidP="00D01704">
      <w:pPr>
        <w:pStyle w:val="Heading1"/>
        <w:keepNext w:val="0"/>
        <w:rPr>
          <w:rFonts w:ascii="Times New Roman" w:hAnsi="Times New Roman"/>
          <w:szCs w:val="22"/>
        </w:rPr>
      </w:pPr>
      <w:bookmarkStart w:id="5" w:name="SR;716"/>
      <w:bookmarkStart w:id="6" w:name="SR;717"/>
      <w:bookmarkEnd w:id="5"/>
      <w:bookmarkEnd w:id="6"/>
      <w:r w:rsidRPr="000531D6">
        <w:rPr>
          <w:rFonts w:ascii="Times New Roman" w:hAnsi="Times New Roman"/>
          <w:szCs w:val="22"/>
        </w:rPr>
        <w:t>Op</w:t>
      </w:r>
      <w:r w:rsidRPr="000531D6" w:rsidR="0096675D">
        <w:rPr>
          <w:rFonts w:ascii="Times New Roman" w:hAnsi="Times New Roman"/>
          <w:szCs w:val="22"/>
        </w:rPr>
        <w:t>portunity</w:t>
      </w:r>
      <w:r w:rsidRPr="000531D6">
        <w:rPr>
          <w:rFonts w:ascii="Times New Roman" w:hAnsi="Times New Roman"/>
          <w:szCs w:val="22"/>
        </w:rPr>
        <w:t xml:space="preserve"> to </w:t>
      </w:r>
      <w:r w:rsidRPr="000531D6">
        <w:rPr>
          <w:rFonts w:ascii="Times New Roman" w:hAnsi="Times New Roman"/>
          <w:szCs w:val="22"/>
        </w:rPr>
        <w:t>respond to this citation</w:t>
      </w:r>
    </w:p>
    <w:p w:rsidR="00886C3A" w:rsidRPr="000531D6">
      <w:pPr>
        <w:pStyle w:val="ParaNum"/>
        <w:tabs>
          <w:tab w:val="clear" w:pos="1080"/>
          <w:tab w:val="num" w:pos="1440"/>
        </w:tabs>
        <w:rPr>
          <w:kern w:val="2"/>
          <w:szCs w:val="22"/>
        </w:rPr>
      </w:pPr>
      <w:r w:rsidRPr="000531D6">
        <w:rPr>
          <w:szCs w:val="22"/>
        </w:rPr>
        <w:t>Amcrest</w:t>
      </w:r>
      <w:r w:rsidRPr="000531D6">
        <w:rPr>
          <w:szCs w:val="22"/>
        </w:rPr>
        <w:t xml:space="preserve"> </w:t>
      </w:r>
      <w:r w:rsidRPr="000531D6">
        <w:rPr>
          <w:kern w:val="2"/>
          <w:szCs w:val="22"/>
        </w:rPr>
        <w:t xml:space="preserve">may respond to this Citation within 30 calendar days from the </w:t>
      </w:r>
      <w:r w:rsidRPr="000531D6" w:rsidR="00B122C3">
        <w:rPr>
          <w:kern w:val="2"/>
          <w:szCs w:val="22"/>
        </w:rPr>
        <w:t xml:space="preserve">release date of this Citation by any of the following methods:  </w:t>
      </w:r>
      <w:r w:rsidRPr="000531D6">
        <w:rPr>
          <w:kern w:val="2"/>
          <w:szCs w:val="22"/>
        </w:rPr>
        <w:t xml:space="preserve">(1) </w:t>
      </w:r>
      <w:r w:rsidRPr="000531D6" w:rsidR="00B122C3">
        <w:rPr>
          <w:kern w:val="2"/>
          <w:szCs w:val="22"/>
        </w:rPr>
        <w:t xml:space="preserve">a </w:t>
      </w:r>
      <w:r w:rsidRPr="000531D6">
        <w:rPr>
          <w:kern w:val="2"/>
          <w:szCs w:val="22"/>
        </w:rPr>
        <w:t xml:space="preserve">written statement, (2) a teleconference interview, or (3) a personal interview at the Commission Field Office nearest to </w:t>
      </w:r>
      <w:r w:rsidRPr="000531D6">
        <w:rPr>
          <w:szCs w:val="22"/>
        </w:rPr>
        <w:t>Amcrest</w:t>
      </w:r>
      <w:r w:rsidRPr="000531D6" w:rsidR="00F22E6D">
        <w:rPr>
          <w:kern w:val="2"/>
          <w:szCs w:val="22"/>
        </w:rPr>
        <w:t>’s place of business</w:t>
      </w:r>
      <w:r w:rsidRPr="000531D6" w:rsidR="0090510E">
        <w:rPr>
          <w:kern w:val="2"/>
          <w:szCs w:val="22"/>
        </w:rPr>
        <w:t>.  T</w:t>
      </w:r>
      <w:r w:rsidRPr="000531D6" w:rsidR="00F22E6D">
        <w:rPr>
          <w:kern w:val="2"/>
          <w:szCs w:val="22"/>
        </w:rPr>
        <w:t xml:space="preserve">he Commission Field Office nearest </w:t>
      </w:r>
      <w:r w:rsidRPr="000531D6">
        <w:rPr>
          <w:szCs w:val="22"/>
        </w:rPr>
        <w:t>Amcrest</w:t>
      </w:r>
      <w:r w:rsidRPr="000531D6" w:rsidR="00F22E6D">
        <w:rPr>
          <w:szCs w:val="22"/>
        </w:rPr>
        <w:t xml:space="preserve"> </w:t>
      </w:r>
      <w:r w:rsidRPr="000531D6" w:rsidR="00F50F55">
        <w:rPr>
          <w:kern w:val="2"/>
          <w:szCs w:val="22"/>
        </w:rPr>
        <w:t xml:space="preserve">is located in </w:t>
      </w:r>
      <w:r w:rsidRPr="000531D6" w:rsidR="00C901B3">
        <w:rPr>
          <w:kern w:val="2"/>
          <w:szCs w:val="22"/>
        </w:rPr>
        <w:t>Dallas</w:t>
      </w:r>
      <w:r w:rsidRPr="000531D6" w:rsidR="00FF13C8">
        <w:rPr>
          <w:kern w:val="2"/>
          <w:szCs w:val="22"/>
        </w:rPr>
        <w:t>, Texas.</w:t>
      </w:r>
    </w:p>
    <w:p w:rsidR="00886C3A" w:rsidRPr="000531D6">
      <w:pPr>
        <w:pStyle w:val="ParaNum"/>
        <w:tabs>
          <w:tab w:val="clear" w:pos="1080"/>
          <w:tab w:val="num" w:pos="1440"/>
        </w:tabs>
        <w:rPr>
          <w:kern w:val="2"/>
          <w:szCs w:val="22"/>
        </w:rPr>
      </w:pPr>
      <w:r w:rsidRPr="000531D6">
        <w:rPr>
          <w:kern w:val="2"/>
          <w:szCs w:val="22"/>
        </w:rPr>
        <w:t xml:space="preserve">If </w:t>
      </w:r>
      <w:r w:rsidRPr="000531D6" w:rsidR="009F7161">
        <w:rPr>
          <w:szCs w:val="22"/>
        </w:rPr>
        <w:t>Amcrest</w:t>
      </w:r>
      <w:r w:rsidRPr="000531D6">
        <w:rPr>
          <w:szCs w:val="22"/>
        </w:rPr>
        <w:t xml:space="preserve"> </w:t>
      </w:r>
      <w:r w:rsidRPr="000531D6" w:rsidR="00F22E6D">
        <w:rPr>
          <w:kern w:val="2"/>
          <w:szCs w:val="22"/>
        </w:rPr>
        <w:t>requests</w:t>
      </w:r>
      <w:r w:rsidRPr="000531D6">
        <w:rPr>
          <w:kern w:val="2"/>
          <w:szCs w:val="22"/>
        </w:rPr>
        <w:t xml:space="preserve"> a teleconference or pers</w:t>
      </w:r>
      <w:r w:rsidRPr="000531D6" w:rsidR="00F22E6D">
        <w:rPr>
          <w:kern w:val="2"/>
          <w:szCs w:val="22"/>
        </w:rPr>
        <w:t xml:space="preserve">onal interview, </w:t>
      </w:r>
      <w:r w:rsidRPr="000531D6">
        <w:rPr>
          <w:kern w:val="2"/>
          <w:szCs w:val="22"/>
        </w:rPr>
        <w:t xml:space="preserve">contact </w:t>
      </w:r>
      <w:r w:rsidRPr="000531D6" w:rsidR="003464F0">
        <w:rPr>
          <w:kern w:val="2"/>
          <w:szCs w:val="22"/>
        </w:rPr>
        <w:t>Jennifer Burton</w:t>
      </w:r>
      <w:r w:rsidRPr="000531D6">
        <w:rPr>
          <w:kern w:val="2"/>
          <w:szCs w:val="22"/>
        </w:rPr>
        <w:t xml:space="preserve"> </w:t>
      </w:r>
      <w:r w:rsidRPr="000531D6">
        <w:rPr>
          <w:noProof/>
          <w:szCs w:val="22"/>
        </w:rPr>
        <w:t>at (</w:t>
      </w:r>
      <w:r w:rsidRPr="000531D6" w:rsidR="003464F0">
        <w:rPr>
          <w:noProof/>
          <w:szCs w:val="22"/>
        </w:rPr>
        <w:t>202</w:t>
      </w:r>
      <w:r w:rsidRPr="000531D6">
        <w:rPr>
          <w:noProof/>
          <w:szCs w:val="22"/>
        </w:rPr>
        <w:t xml:space="preserve">) </w:t>
      </w:r>
      <w:r w:rsidRPr="000531D6" w:rsidR="003464F0">
        <w:rPr>
          <w:noProof/>
          <w:szCs w:val="22"/>
        </w:rPr>
        <w:t>418-7581</w:t>
      </w:r>
      <w:r w:rsidRPr="000531D6">
        <w:rPr>
          <w:kern w:val="2"/>
          <w:szCs w:val="22"/>
        </w:rPr>
        <w:t xml:space="preserve">.  </w:t>
      </w:r>
      <w:r w:rsidRPr="000531D6" w:rsidR="00F22E6D">
        <w:rPr>
          <w:kern w:val="2"/>
          <w:szCs w:val="22"/>
        </w:rPr>
        <w:t xml:space="preserve">We </w:t>
      </w:r>
      <w:r w:rsidRPr="000531D6">
        <w:rPr>
          <w:kern w:val="2"/>
          <w:szCs w:val="22"/>
        </w:rPr>
        <w:t xml:space="preserve">note that such teleconference or interview must take place within 30 calendar days of the </w:t>
      </w:r>
      <w:r w:rsidRPr="000531D6" w:rsidR="00C22E21">
        <w:rPr>
          <w:kern w:val="2"/>
          <w:szCs w:val="22"/>
        </w:rPr>
        <w:t xml:space="preserve">release </w:t>
      </w:r>
      <w:r w:rsidRPr="000531D6">
        <w:rPr>
          <w:kern w:val="2"/>
          <w:szCs w:val="22"/>
        </w:rPr>
        <w:t xml:space="preserve">date of this Citation.  If </w:t>
      </w:r>
      <w:r w:rsidRPr="000531D6" w:rsidR="009F7161">
        <w:rPr>
          <w:szCs w:val="22"/>
        </w:rPr>
        <w:t>Amcrest</w:t>
      </w:r>
      <w:r w:rsidRPr="000531D6">
        <w:rPr>
          <w:szCs w:val="22"/>
        </w:rPr>
        <w:t xml:space="preserve"> </w:t>
      </w:r>
      <w:r w:rsidRPr="000531D6">
        <w:rPr>
          <w:kern w:val="2"/>
          <w:szCs w:val="22"/>
        </w:rPr>
        <w:t xml:space="preserve">prefers to submit a written response with supporting documentation, it must send the response within 30 calendar days of the </w:t>
      </w:r>
      <w:r w:rsidRPr="000531D6" w:rsidR="00C22E21">
        <w:rPr>
          <w:kern w:val="2"/>
          <w:szCs w:val="22"/>
        </w:rPr>
        <w:t xml:space="preserve">release </w:t>
      </w:r>
      <w:r w:rsidRPr="000531D6">
        <w:rPr>
          <w:kern w:val="2"/>
          <w:szCs w:val="22"/>
        </w:rPr>
        <w:t>date of this Citation to the contact and address provided in paragraph</w:t>
      </w:r>
      <w:r w:rsidRPr="000531D6" w:rsidR="00D82A8B">
        <w:rPr>
          <w:kern w:val="2"/>
          <w:szCs w:val="22"/>
        </w:rPr>
        <w:t xml:space="preserve"> </w:t>
      </w:r>
      <w:r w:rsidRPr="000531D6" w:rsidR="00FF710B">
        <w:rPr>
          <w:kern w:val="2"/>
          <w:szCs w:val="22"/>
        </w:rPr>
        <w:t>1</w:t>
      </w:r>
      <w:r w:rsidRPr="000531D6" w:rsidR="00D33150">
        <w:rPr>
          <w:kern w:val="2"/>
          <w:szCs w:val="22"/>
        </w:rPr>
        <w:t>2</w:t>
      </w:r>
      <w:r w:rsidRPr="000531D6" w:rsidR="00C72E08">
        <w:rPr>
          <w:kern w:val="2"/>
          <w:szCs w:val="22"/>
        </w:rPr>
        <w:t>,</w:t>
      </w:r>
      <w:r w:rsidRPr="000531D6" w:rsidR="00FF710B">
        <w:rPr>
          <w:kern w:val="2"/>
          <w:szCs w:val="22"/>
        </w:rPr>
        <w:t xml:space="preserve"> </w:t>
      </w:r>
      <w:r w:rsidRPr="000531D6">
        <w:rPr>
          <w:kern w:val="2"/>
          <w:szCs w:val="22"/>
        </w:rPr>
        <w:t>below.</w:t>
      </w:r>
    </w:p>
    <w:p w:rsidR="00886C3A" w:rsidRPr="000531D6">
      <w:pPr>
        <w:pStyle w:val="ParaNum"/>
        <w:tabs>
          <w:tab w:val="clear" w:pos="1080"/>
          <w:tab w:val="num" w:pos="1440"/>
        </w:tabs>
        <w:rPr>
          <w:kern w:val="2"/>
          <w:szCs w:val="22"/>
        </w:rPr>
      </w:pPr>
      <w:r w:rsidRPr="000531D6">
        <w:rPr>
          <w:kern w:val="2"/>
          <w:szCs w:val="22"/>
        </w:rPr>
        <w:t>All written communications should be sent to the address below.</w:t>
      </w:r>
    </w:p>
    <w:p w:rsidR="00886C3A" w:rsidRPr="000531D6">
      <w:pPr>
        <w:rPr>
          <w:noProof/>
          <w:szCs w:val="22"/>
        </w:rPr>
      </w:pPr>
      <w:r w:rsidRPr="000531D6">
        <w:rPr>
          <w:noProof/>
          <w:szCs w:val="22"/>
        </w:rPr>
        <w:tab/>
      </w:r>
      <w:r w:rsidRPr="000531D6">
        <w:rPr>
          <w:noProof/>
          <w:szCs w:val="22"/>
        </w:rPr>
        <w:tab/>
      </w:r>
      <w:r w:rsidRPr="000531D6">
        <w:rPr>
          <w:noProof/>
          <w:szCs w:val="22"/>
        </w:rPr>
        <w:tab/>
      </w:r>
      <w:r w:rsidRPr="000531D6" w:rsidR="00FF710B">
        <w:rPr>
          <w:noProof/>
          <w:szCs w:val="22"/>
        </w:rPr>
        <w:t>Jennifer Burton, Attorney Ad</w:t>
      </w:r>
      <w:r w:rsidRPr="000531D6" w:rsidR="00E20766">
        <w:rPr>
          <w:noProof/>
          <w:szCs w:val="22"/>
        </w:rPr>
        <w:t>visor</w:t>
      </w:r>
    </w:p>
    <w:p w:rsidR="00E20766" w:rsidRPr="000531D6">
      <w:pPr>
        <w:rPr>
          <w:noProof/>
          <w:szCs w:val="22"/>
        </w:rPr>
      </w:pPr>
      <w:r w:rsidRPr="000531D6">
        <w:rPr>
          <w:noProof/>
          <w:szCs w:val="22"/>
        </w:rPr>
        <w:tab/>
      </w:r>
      <w:r w:rsidRPr="000531D6">
        <w:rPr>
          <w:noProof/>
          <w:szCs w:val="22"/>
        </w:rPr>
        <w:tab/>
      </w:r>
      <w:r w:rsidRPr="000531D6">
        <w:rPr>
          <w:noProof/>
          <w:szCs w:val="22"/>
        </w:rPr>
        <w:tab/>
        <w:t>Spectrum Enforcement Division</w:t>
      </w:r>
    </w:p>
    <w:p w:rsidR="00886C3A" w:rsidRPr="000531D6">
      <w:pPr>
        <w:rPr>
          <w:noProof/>
          <w:szCs w:val="22"/>
        </w:rPr>
      </w:pPr>
      <w:r w:rsidRPr="000531D6">
        <w:rPr>
          <w:noProof/>
          <w:szCs w:val="22"/>
        </w:rPr>
        <w:tab/>
      </w:r>
      <w:r w:rsidRPr="000531D6">
        <w:rPr>
          <w:noProof/>
          <w:szCs w:val="22"/>
        </w:rPr>
        <w:tab/>
      </w:r>
      <w:r w:rsidRPr="000531D6">
        <w:rPr>
          <w:noProof/>
          <w:szCs w:val="22"/>
        </w:rPr>
        <w:tab/>
      </w:r>
      <w:r w:rsidRPr="000531D6">
        <w:rPr>
          <w:szCs w:val="22"/>
        </w:rPr>
        <w:t>Federal Communications Commission</w:t>
      </w:r>
    </w:p>
    <w:p w:rsidR="00886C3A" w:rsidRPr="000531D6">
      <w:pPr>
        <w:ind w:left="1440" w:firstLine="720"/>
        <w:rPr>
          <w:szCs w:val="22"/>
        </w:rPr>
      </w:pPr>
      <w:r w:rsidRPr="000531D6">
        <w:rPr>
          <w:szCs w:val="22"/>
        </w:rPr>
        <w:t>445 12</w:t>
      </w:r>
      <w:r w:rsidRPr="000531D6">
        <w:rPr>
          <w:szCs w:val="22"/>
          <w:vertAlign w:val="superscript"/>
        </w:rPr>
        <w:t>th</w:t>
      </w:r>
      <w:r w:rsidRPr="000531D6">
        <w:rPr>
          <w:szCs w:val="22"/>
        </w:rPr>
        <w:t xml:space="preserve"> Street, SW, Rm. 3-A445</w:t>
      </w:r>
    </w:p>
    <w:p w:rsidR="00E20766" w:rsidRPr="000531D6">
      <w:pPr>
        <w:ind w:left="1440" w:firstLine="720"/>
        <w:rPr>
          <w:szCs w:val="22"/>
        </w:rPr>
      </w:pPr>
      <w:r w:rsidRPr="000531D6">
        <w:rPr>
          <w:szCs w:val="22"/>
        </w:rPr>
        <w:t>Washington, DC 20554</w:t>
      </w:r>
    </w:p>
    <w:p w:rsidR="00886C3A" w:rsidRPr="000531D6">
      <w:pPr>
        <w:ind w:left="1440" w:firstLine="720"/>
        <w:rPr>
          <w:noProof/>
          <w:szCs w:val="22"/>
        </w:rPr>
      </w:pPr>
      <w:r w:rsidRPr="000531D6">
        <w:rPr>
          <w:b/>
          <w:noProof/>
          <w:szCs w:val="22"/>
        </w:rPr>
        <w:t xml:space="preserve">Re: </w:t>
      </w:r>
      <w:r w:rsidRPr="000531D6" w:rsidR="00E20766">
        <w:rPr>
          <w:b/>
          <w:noProof/>
          <w:szCs w:val="22"/>
        </w:rPr>
        <w:t>EB-SED-17-00024360</w:t>
      </w:r>
    </w:p>
    <w:p w:rsidR="00886C3A" w:rsidRPr="000531D6" w:rsidP="00D01704">
      <w:pPr>
        <w:pStyle w:val="ParaNum"/>
        <w:numPr>
          <w:ilvl w:val="0"/>
          <w:numId w:val="0"/>
        </w:numPr>
        <w:spacing w:after="0"/>
        <w:ind w:left="2160"/>
        <w:rPr>
          <w:b/>
          <w:noProof/>
          <w:szCs w:val="22"/>
        </w:rPr>
      </w:pPr>
    </w:p>
    <w:p w:rsidR="006F4C07" w:rsidRPr="000531D6" w:rsidP="00D01704">
      <w:pPr>
        <w:pStyle w:val="ParaNum"/>
        <w:numPr>
          <w:ilvl w:val="0"/>
          <w:numId w:val="0"/>
        </w:numPr>
        <w:spacing w:after="0"/>
        <w:ind w:left="2160"/>
        <w:rPr>
          <w:b/>
          <w:noProof/>
          <w:szCs w:val="22"/>
        </w:rPr>
      </w:pPr>
    </w:p>
    <w:p w:rsidR="00886C3A" w:rsidRPr="000531D6" w:rsidP="006F4C07">
      <w:pPr>
        <w:pStyle w:val="ParaNum"/>
        <w:tabs>
          <w:tab w:val="clear" w:pos="1080"/>
          <w:tab w:val="num" w:pos="1440"/>
        </w:tabs>
        <w:rPr>
          <w:kern w:val="2"/>
          <w:szCs w:val="22"/>
        </w:rPr>
      </w:pPr>
      <w:r w:rsidRPr="000531D6">
        <w:rPr>
          <w:kern w:val="2"/>
          <w:szCs w:val="22"/>
        </w:rPr>
        <w:t xml:space="preserve">Upon request, the Commission will make reasonable accommodations for persons with disabilities.  If applicable, </w:t>
      </w:r>
      <w:r w:rsidRPr="000531D6" w:rsidR="009F7161">
        <w:rPr>
          <w:szCs w:val="22"/>
        </w:rPr>
        <w:t>Amcrest</w:t>
      </w:r>
      <w:r w:rsidRPr="000531D6">
        <w:rPr>
          <w:szCs w:val="22"/>
        </w:rPr>
        <w:t xml:space="preserve"> </w:t>
      </w:r>
      <w:r w:rsidRPr="000531D6">
        <w:rPr>
          <w:kern w:val="2"/>
          <w:szCs w:val="22"/>
        </w:rPr>
        <w:t xml:space="preserve">should provide a description of the accommodation required, and include as much detail as possible, and also provide </w:t>
      </w:r>
      <w:r w:rsidRPr="000531D6" w:rsidR="00C22E21">
        <w:rPr>
          <w:kern w:val="2"/>
          <w:szCs w:val="22"/>
        </w:rPr>
        <w:t xml:space="preserve">a telephone number and other </w:t>
      </w:r>
      <w:r w:rsidRPr="000531D6">
        <w:rPr>
          <w:kern w:val="2"/>
          <w:szCs w:val="22"/>
        </w:rPr>
        <w:t xml:space="preserve">contact information.  </w:t>
      </w:r>
      <w:r w:rsidRPr="000531D6" w:rsidR="009F7161">
        <w:rPr>
          <w:szCs w:val="22"/>
        </w:rPr>
        <w:t>Amcrest</w:t>
      </w:r>
      <w:r w:rsidRPr="000531D6">
        <w:rPr>
          <w:szCs w:val="22"/>
        </w:rPr>
        <w:t xml:space="preserve"> </w:t>
      </w:r>
      <w:r w:rsidRPr="000531D6" w:rsidR="00436E88">
        <w:rPr>
          <w:kern w:val="2"/>
          <w:szCs w:val="22"/>
        </w:rPr>
        <w:t xml:space="preserve">should allow at least five </w:t>
      </w:r>
      <w:r w:rsidRPr="000531D6">
        <w:rPr>
          <w:kern w:val="2"/>
          <w:szCs w:val="22"/>
        </w:rPr>
        <w:t xml:space="preserve">business days advance notice; last minute requests will be accepted,but may be impossible to fill.  </w:t>
      </w:r>
      <w:r w:rsidRPr="000531D6" w:rsidR="009F7161">
        <w:rPr>
          <w:szCs w:val="22"/>
        </w:rPr>
        <w:t>Amcrest</w:t>
      </w:r>
      <w:r w:rsidRPr="000531D6">
        <w:rPr>
          <w:szCs w:val="22"/>
        </w:rPr>
        <w:t xml:space="preserve"> </w:t>
      </w:r>
      <w:r w:rsidRPr="000531D6">
        <w:rPr>
          <w:kern w:val="2"/>
          <w:szCs w:val="22"/>
        </w:rPr>
        <w:t>should send an e-mail to fcc504@fcc.gov or call the FCC’s Consumer &amp; Governmental Affairs Bureau:</w:t>
      </w:r>
    </w:p>
    <w:p w:rsidR="00886C3A" w:rsidRPr="000531D6">
      <w:pPr>
        <w:rPr>
          <w:kern w:val="2"/>
          <w:szCs w:val="22"/>
        </w:rPr>
      </w:pPr>
      <w:r w:rsidRPr="000531D6">
        <w:rPr>
          <w:kern w:val="2"/>
          <w:szCs w:val="22"/>
        </w:rPr>
        <w:t xml:space="preserve">      </w:t>
      </w:r>
      <w:r w:rsidRPr="000531D6">
        <w:rPr>
          <w:kern w:val="2"/>
          <w:szCs w:val="22"/>
        </w:rPr>
        <w:tab/>
      </w:r>
      <w:r w:rsidRPr="000531D6">
        <w:rPr>
          <w:kern w:val="2"/>
          <w:szCs w:val="22"/>
        </w:rPr>
        <w:tab/>
        <w:t xml:space="preserve">For sign language interpreters, CART, and other reasonable accommodations: </w:t>
      </w:r>
    </w:p>
    <w:p w:rsidR="00886C3A" w:rsidRPr="000531D6">
      <w:pPr>
        <w:spacing w:after="220"/>
        <w:rPr>
          <w:kern w:val="2"/>
          <w:szCs w:val="22"/>
        </w:rPr>
      </w:pPr>
      <w:r w:rsidRPr="000531D6">
        <w:rPr>
          <w:kern w:val="2"/>
          <w:szCs w:val="22"/>
        </w:rPr>
        <w:tab/>
      </w:r>
      <w:r w:rsidRPr="000531D6">
        <w:rPr>
          <w:kern w:val="2"/>
          <w:szCs w:val="22"/>
        </w:rPr>
        <w:tab/>
        <w:t>202-418-0530 (voice), 202-418-0432 (tty);</w:t>
      </w:r>
    </w:p>
    <w:p w:rsidR="00886C3A" w:rsidRPr="000531D6">
      <w:pPr>
        <w:spacing w:after="220"/>
        <w:rPr>
          <w:b/>
          <w:kern w:val="2"/>
          <w:szCs w:val="22"/>
        </w:rPr>
      </w:pPr>
      <w:r w:rsidRPr="000531D6">
        <w:rPr>
          <w:kern w:val="2"/>
          <w:szCs w:val="22"/>
        </w:rPr>
        <w:t xml:space="preserve">      </w:t>
      </w:r>
      <w:r w:rsidRPr="000531D6">
        <w:rPr>
          <w:kern w:val="2"/>
          <w:szCs w:val="22"/>
        </w:rPr>
        <w:tab/>
      </w:r>
      <w:r w:rsidRPr="000531D6">
        <w:rPr>
          <w:kern w:val="2"/>
          <w:szCs w:val="22"/>
        </w:rPr>
        <w:tab/>
        <w:t xml:space="preserve">For accessible format materials (braille, large print, electronic files, and audio format): </w:t>
      </w:r>
      <w:r w:rsidRPr="000531D6">
        <w:rPr>
          <w:kern w:val="2"/>
          <w:szCs w:val="22"/>
        </w:rPr>
        <w:tab/>
      </w:r>
      <w:r w:rsidRPr="000531D6">
        <w:rPr>
          <w:kern w:val="2"/>
          <w:szCs w:val="22"/>
        </w:rPr>
        <w:tab/>
      </w:r>
      <w:r w:rsidRPr="000531D6">
        <w:rPr>
          <w:kern w:val="2"/>
          <w:szCs w:val="22"/>
        </w:rPr>
        <w:tab/>
        <w:t>202-418-0531 (voice), 202-418-7365 (tty).</w:t>
      </w:r>
      <w:r w:rsidRPr="000531D6">
        <w:rPr>
          <w:b/>
          <w:kern w:val="2"/>
          <w:szCs w:val="22"/>
        </w:rPr>
        <w:t xml:space="preserve">  </w:t>
      </w:r>
    </w:p>
    <w:p w:rsidR="00886C3A" w:rsidRPr="000531D6">
      <w:pPr>
        <w:pStyle w:val="ParaNum"/>
        <w:tabs>
          <w:tab w:val="clear" w:pos="1080"/>
          <w:tab w:val="num" w:pos="1440"/>
        </w:tabs>
        <w:rPr>
          <w:szCs w:val="22"/>
        </w:rPr>
      </w:pPr>
      <w:r w:rsidRPr="000531D6">
        <w:rPr>
          <w:kern w:val="2"/>
          <w:szCs w:val="22"/>
        </w:rPr>
        <w:t xml:space="preserve">We advise </w:t>
      </w:r>
      <w:r w:rsidRPr="000531D6" w:rsidR="009F7161">
        <w:rPr>
          <w:szCs w:val="22"/>
        </w:rPr>
        <w:t>Amcrest</w:t>
      </w:r>
      <w:r w:rsidRPr="000531D6">
        <w:rPr>
          <w:szCs w:val="22"/>
        </w:rPr>
        <w:t xml:space="preserve"> </w:t>
      </w:r>
      <w:r w:rsidRPr="000531D6">
        <w:rPr>
          <w:kern w:val="2"/>
          <w:szCs w:val="22"/>
        </w:rPr>
        <w:t>th</w:t>
      </w:r>
      <w:r w:rsidRPr="000531D6">
        <w:rPr>
          <w:szCs w:val="22"/>
        </w:rPr>
        <w:t>at it is a violation of Section 1.17 of the</w:t>
      </w:r>
      <w:r w:rsidRPr="000531D6" w:rsidR="00B65F70">
        <w:rPr>
          <w:szCs w:val="22"/>
        </w:rPr>
        <w:t xml:space="preserve"> Commission’s r</w:t>
      </w:r>
      <w:r w:rsidRPr="000531D6">
        <w:rPr>
          <w:szCs w:val="22"/>
        </w:rPr>
        <w:t>ules</w:t>
      </w:r>
      <w:r>
        <w:rPr>
          <w:rStyle w:val="FootnoteReference"/>
          <w:sz w:val="22"/>
          <w:szCs w:val="22"/>
        </w:rPr>
        <w:footnoteReference w:id="31"/>
      </w:r>
      <w:r w:rsidRPr="000531D6">
        <w:rPr>
          <w:szCs w:val="22"/>
        </w:rPr>
        <w:t xml:space="preserve"> for any person to make any false or </w:t>
      </w:r>
      <w:r w:rsidRPr="000531D6">
        <w:rPr>
          <w:kern w:val="2"/>
          <w:szCs w:val="22"/>
        </w:rPr>
        <w:t>misleading</w:t>
      </w:r>
      <w:r w:rsidRPr="000531D6">
        <w:rPr>
          <w:szCs w:val="22"/>
        </w:rPr>
        <w:t xml:space="preserve"> written or oral statement of fact</w:t>
      </w:r>
      <w:r w:rsidRPr="000531D6" w:rsidR="00BE70CC">
        <w:rPr>
          <w:szCs w:val="22"/>
        </w:rPr>
        <w:t xml:space="preserve"> to the Commission</w:t>
      </w:r>
      <w:r w:rsidRPr="000531D6">
        <w:rPr>
          <w:szCs w:val="22"/>
        </w:rPr>
        <w:t>.  Specifically, no person shall:</w:t>
      </w:r>
    </w:p>
    <w:p w:rsidR="00886C3A" w:rsidRPr="000531D6" w:rsidP="00D01704">
      <w:pPr>
        <w:pStyle w:val="ParaNum"/>
        <w:numPr>
          <w:ilvl w:val="0"/>
          <w:numId w:val="0"/>
        </w:numPr>
        <w:ind w:left="1440" w:right="720"/>
        <w:rPr>
          <w:kern w:val="2"/>
          <w:szCs w:val="22"/>
        </w:rPr>
      </w:pPr>
      <w:r w:rsidRPr="000531D6">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0531D6" w:rsidP="00D01704">
      <w:pPr>
        <w:pStyle w:val="ParaNum"/>
        <w:numPr>
          <w:ilvl w:val="0"/>
          <w:numId w:val="0"/>
        </w:numPr>
        <w:ind w:left="1440" w:right="720"/>
        <w:rPr>
          <w:kern w:val="2"/>
          <w:szCs w:val="22"/>
        </w:rPr>
      </w:pPr>
      <w:r w:rsidRPr="000531D6">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0531D6">
      <w:pPr>
        <w:pStyle w:val="ParaNum"/>
        <w:tabs>
          <w:tab w:val="clear" w:pos="1080"/>
          <w:tab w:val="num" w:pos="1440"/>
        </w:tabs>
        <w:rPr>
          <w:kern w:val="2"/>
          <w:szCs w:val="22"/>
        </w:rPr>
      </w:pPr>
      <w:r w:rsidRPr="000531D6">
        <w:rPr>
          <w:kern w:val="2"/>
          <w:szCs w:val="22"/>
        </w:rPr>
        <w:t>Further, the knowing and willful making of any false statement, or the concealment of any material fact, in reply to this Citation is punishable by fine or imprisonment</w:t>
      </w:r>
      <w:r w:rsidRPr="000531D6" w:rsidR="0090510E">
        <w:rPr>
          <w:kern w:val="2"/>
          <w:szCs w:val="22"/>
        </w:rPr>
        <w:t>.</w:t>
      </w:r>
      <w:r>
        <w:rPr>
          <w:rStyle w:val="FootnoteReference"/>
          <w:kern w:val="2"/>
          <w:sz w:val="22"/>
          <w:szCs w:val="22"/>
        </w:rPr>
        <w:footnoteReference w:id="32"/>
      </w:r>
    </w:p>
    <w:p w:rsidR="00886C3A" w:rsidRPr="000531D6">
      <w:pPr>
        <w:pStyle w:val="ParaNum"/>
        <w:tabs>
          <w:tab w:val="clear" w:pos="1080"/>
          <w:tab w:val="num" w:pos="1440"/>
        </w:tabs>
        <w:rPr>
          <w:kern w:val="2"/>
          <w:szCs w:val="22"/>
        </w:rPr>
      </w:pPr>
      <w:r w:rsidRPr="000531D6">
        <w:rPr>
          <w:kern w:val="2"/>
          <w:szCs w:val="22"/>
        </w:rPr>
        <w:t xml:space="preserve">Violations of Section 1.17 of the </w:t>
      </w:r>
      <w:r w:rsidRPr="000531D6" w:rsidR="00A67057">
        <w:rPr>
          <w:kern w:val="2"/>
          <w:szCs w:val="22"/>
        </w:rPr>
        <w:t>Commission’s rules</w:t>
      </w:r>
      <w:r w:rsidRPr="000531D6">
        <w:rPr>
          <w:kern w:val="2"/>
          <w:szCs w:val="22"/>
        </w:rPr>
        <w:t xml:space="preserve"> or the criminal statute referenced above may result in further legal action, including monetary forfeitures pursuant to Section 503 of the</w:t>
      </w:r>
      <w:r w:rsidRPr="000531D6" w:rsidR="003C4AD3">
        <w:rPr>
          <w:kern w:val="2"/>
          <w:szCs w:val="22"/>
        </w:rPr>
        <w:t xml:space="preserve"> </w:t>
      </w:r>
      <w:r w:rsidRPr="000531D6">
        <w:rPr>
          <w:kern w:val="2"/>
          <w:szCs w:val="22"/>
        </w:rPr>
        <w:t>Act.</w:t>
      </w:r>
    </w:p>
    <w:p w:rsidR="004D3233" w:rsidRPr="000531D6">
      <w:pPr>
        <w:pStyle w:val="ParaNum"/>
        <w:tabs>
          <w:tab w:val="clear" w:pos="1080"/>
          <w:tab w:val="num" w:pos="1440"/>
        </w:tabs>
        <w:rPr>
          <w:kern w:val="2"/>
          <w:szCs w:val="22"/>
        </w:rPr>
      </w:pPr>
      <w:r w:rsidRPr="000531D6">
        <w:rPr>
          <w:kern w:val="2"/>
          <w:szCs w:val="22"/>
        </w:rPr>
        <w:t xml:space="preserve">Finally, we warn </w:t>
      </w:r>
      <w:r w:rsidRPr="000531D6" w:rsidR="009F7161">
        <w:rPr>
          <w:szCs w:val="22"/>
        </w:rPr>
        <w:t>Amcrest</w:t>
      </w:r>
      <w:r w:rsidRPr="000531D6">
        <w:rPr>
          <w:szCs w:val="22"/>
        </w:rPr>
        <w:t xml:space="preserve"> </w:t>
      </w:r>
      <w:r w:rsidRPr="000531D6">
        <w:rPr>
          <w:kern w:val="2"/>
          <w:szCs w:val="22"/>
        </w:rPr>
        <w:t xml:space="preserve">that, under the </w:t>
      </w:r>
      <w:r w:rsidRPr="000531D6" w:rsidR="00436E88">
        <w:rPr>
          <w:kern w:val="2"/>
          <w:szCs w:val="22"/>
        </w:rPr>
        <w:t>Privacy Act of 1974</w:t>
      </w:r>
      <w:r w:rsidRPr="000531D6" w:rsidR="003C4AD3">
        <w:rPr>
          <w:kern w:val="2"/>
          <w:szCs w:val="22"/>
        </w:rPr>
        <w:t>,</w:t>
      </w:r>
      <w:r>
        <w:rPr>
          <w:rStyle w:val="FootnoteReference"/>
          <w:kern w:val="2"/>
          <w:sz w:val="22"/>
          <w:szCs w:val="22"/>
        </w:rPr>
        <w:footnoteReference w:id="33"/>
      </w:r>
      <w:r w:rsidRPr="000531D6" w:rsidR="00436E88">
        <w:rPr>
          <w:kern w:val="2"/>
          <w:szCs w:val="22"/>
        </w:rPr>
        <w:t xml:space="preserve"> </w:t>
      </w:r>
      <w:r w:rsidRPr="000531D6">
        <w:rPr>
          <w:kern w:val="2"/>
          <w:szCs w:val="22"/>
        </w:rPr>
        <w:t xml:space="preserve">Commission staff will use all relevant material information before it, including information disclosed </w:t>
      </w:r>
      <w:r w:rsidRPr="000531D6" w:rsidR="00BE70CC">
        <w:rPr>
          <w:kern w:val="2"/>
          <w:szCs w:val="22"/>
        </w:rPr>
        <w:t>in</w:t>
      </w:r>
      <w:r w:rsidRPr="000531D6">
        <w:rPr>
          <w:kern w:val="2"/>
          <w:szCs w:val="22"/>
        </w:rPr>
        <w:t xml:space="preserve"> interviews or written statements, to determine what, if any, enforcement action is required to ensure </w:t>
      </w:r>
      <w:r w:rsidRPr="000531D6" w:rsidR="009F7161">
        <w:rPr>
          <w:szCs w:val="22"/>
        </w:rPr>
        <w:t>Amcrest</w:t>
      </w:r>
      <w:r w:rsidRPr="000531D6">
        <w:rPr>
          <w:kern w:val="2"/>
          <w:szCs w:val="22"/>
        </w:rPr>
        <w:t xml:space="preserve">’s compliance with the Act and </w:t>
      </w:r>
      <w:r w:rsidRPr="000531D6" w:rsidR="00A67057">
        <w:rPr>
          <w:kern w:val="2"/>
          <w:szCs w:val="22"/>
        </w:rPr>
        <w:t>Commission’s rules</w:t>
      </w:r>
      <w:r w:rsidRPr="000531D6">
        <w:rPr>
          <w:kern w:val="2"/>
          <w:szCs w:val="22"/>
        </w:rPr>
        <w:t>.</w:t>
      </w:r>
    </w:p>
    <w:p w:rsidR="003343CA" w:rsidRPr="000531D6" w:rsidP="00D01704">
      <w:pPr>
        <w:pStyle w:val="Heading1"/>
        <w:keepNext w:val="0"/>
        <w:rPr>
          <w:rFonts w:ascii="Times New Roman" w:hAnsi="Times New Roman"/>
          <w:szCs w:val="22"/>
        </w:rPr>
      </w:pPr>
      <w:r w:rsidRPr="000531D6">
        <w:rPr>
          <w:rFonts w:ascii="Times New Roman" w:hAnsi="Times New Roman"/>
          <w:szCs w:val="22"/>
        </w:rPr>
        <w:t>future violations</w:t>
      </w:r>
    </w:p>
    <w:p w:rsidR="005B4CEA" w:rsidRPr="000531D6" w:rsidP="0013604D">
      <w:pPr>
        <w:pStyle w:val="ParaNum"/>
        <w:tabs>
          <w:tab w:val="clear" w:pos="1080"/>
          <w:tab w:val="num" w:pos="1440"/>
        </w:tabs>
        <w:rPr>
          <w:szCs w:val="22"/>
        </w:rPr>
      </w:pPr>
      <w:r w:rsidRPr="000531D6">
        <w:rPr>
          <w:szCs w:val="22"/>
        </w:rPr>
        <w:t xml:space="preserve">If, after receipt of this Citation, </w:t>
      </w:r>
      <w:r w:rsidRPr="000531D6" w:rsidR="005D05CE">
        <w:rPr>
          <w:szCs w:val="22"/>
        </w:rPr>
        <w:t>Amcrest</w:t>
      </w:r>
      <w:r w:rsidRPr="000531D6" w:rsidR="00C312A4">
        <w:rPr>
          <w:szCs w:val="22"/>
        </w:rPr>
        <w:t xml:space="preserve"> </w:t>
      </w:r>
      <w:r w:rsidRPr="000531D6">
        <w:rPr>
          <w:szCs w:val="22"/>
        </w:rPr>
        <w:t xml:space="preserve">again violates the </w:t>
      </w:r>
      <w:r w:rsidRPr="000531D6" w:rsidR="00A763C1">
        <w:rPr>
          <w:szCs w:val="22"/>
        </w:rPr>
        <w:t xml:space="preserve">Act </w:t>
      </w:r>
      <w:r w:rsidRPr="000531D6" w:rsidR="00D56E89">
        <w:rPr>
          <w:szCs w:val="22"/>
        </w:rPr>
        <w:t xml:space="preserve">and Commission’s rules </w:t>
      </w:r>
      <w:r w:rsidRPr="000531D6">
        <w:rPr>
          <w:szCs w:val="22"/>
        </w:rPr>
        <w:t xml:space="preserve">by engaging in conduct of the type described herein, the </w:t>
      </w:r>
      <w:r w:rsidRPr="000531D6">
        <w:rPr>
          <w:kern w:val="2"/>
          <w:szCs w:val="22"/>
        </w:rPr>
        <w:t>Commission</w:t>
      </w:r>
      <w:r w:rsidRPr="000531D6">
        <w:rPr>
          <w:szCs w:val="22"/>
        </w:rPr>
        <w:t xml:space="preserve"> may impose </w:t>
      </w:r>
      <w:r w:rsidRPr="000531D6" w:rsidR="00D05B66">
        <w:rPr>
          <w:szCs w:val="22"/>
        </w:rPr>
        <w:t xml:space="preserve">sanctions </w:t>
      </w:r>
      <w:r w:rsidRPr="000531D6">
        <w:rPr>
          <w:szCs w:val="22"/>
        </w:rPr>
        <w:t xml:space="preserve">for each such violation.  For example, </w:t>
      </w:r>
      <w:r w:rsidRPr="000531D6">
        <w:rPr>
          <w:kern w:val="2"/>
          <w:szCs w:val="22"/>
        </w:rPr>
        <w:t>the</w:t>
      </w:r>
      <w:r w:rsidRPr="000531D6">
        <w:rPr>
          <w:szCs w:val="22"/>
        </w:rPr>
        <w:t xml:space="preserve"> </w:t>
      </w:r>
      <w:r w:rsidRPr="000531D6" w:rsidR="00D05B66">
        <w:rPr>
          <w:szCs w:val="22"/>
        </w:rPr>
        <w:t>Commission m</w:t>
      </w:r>
      <w:r w:rsidRPr="000531D6" w:rsidR="00654D13">
        <w:rPr>
          <w:szCs w:val="22"/>
        </w:rPr>
        <w:t xml:space="preserve">ay impose monetary forfeitures. </w:t>
      </w:r>
      <w:r w:rsidRPr="000531D6" w:rsidR="00D05B66">
        <w:rPr>
          <w:szCs w:val="22"/>
        </w:rPr>
        <w:t xml:space="preserve"> </w:t>
      </w:r>
      <w:r w:rsidRPr="000531D6" w:rsidR="00654D13">
        <w:rPr>
          <w:kern w:val="2"/>
          <w:szCs w:val="22"/>
        </w:rPr>
        <w:t xml:space="preserve">The Commission may impose forfeitures not to exceed </w:t>
      </w:r>
      <w:r w:rsidRPr="000531D6" w:rsidR="0031241D">
        <w:rPr>
          <w:szCs w:val="22"/>
        </w:rPr>
        <w:t>$19,639</w:t>
      </w:r>
      <w:r w:rsidRPr="000531D6" w:rsidR="0031241D">
        <w:rPr>
          <w:b/>
          <w:szCs w:val="22"/>
        </w:rPr>
        <w:t xml:space="preserve"> </w:t>
      </w:r>
      <w:r w:rsidRPr="000531D6" w:rsidR="00654D13">
        <w:rPr>
          <w:szCs w:val="22"/>
        </w:rPr>
        <w:t xml:space="preserve">for each such violation or each day of a continuing violation, and up to </w:t>
      </w:r>
      <w:r w:rsidRPr="000531D6" w:rsidR="00CC3BE9">
        <w:rPr>
          <w:szCs w:val="22"/>
        </w:rPr>
        <w:t>$147</w:t>
      </w:r>
      <w:r w:rsidRPr="000531D6" w:rsidR="0031241D">
        <w:rPr>
          <w:szCs w:val="22"/>
        </w:rPr>
        <w:t>,290</w:t>
      </w:r>
      <w:r w:rsidRPr="000531D6" w:rsidR="0031241D">
        <w:rPr>
          <w:b/>
          <w:szCs w:val="22"/>
        </w:rPr>
        <w:t xml:space="preserve"> </w:t>
      </w:r>
      <w:r w:rsidRPr="000531D6" w:rsidR="00654D13">
        <w:rPr>
          <w:szCs w:val="22"/>
        </w:rPr>
        <w:t>for any single act or failure to act.</w:t>
      </w:r>
      <w:r>
        <w:rPr>
          <w:szCs w:val="22"/>
          <w:vertAlign w:val="superscript"/>
        </w:rPr>
        <w:footnoteReference w:id="34"/>
      </w:r>
      <w:r w:rsidRPr="000531D6" w:rsidR="0031241D">
        <w:rPr>
          <w:szCs w:val="22"/>
        </w:rPr>
        <w:t xml:space="preserve"> </w:t>
      </w:r>
      <w:r w:rsidRPr="000531D6" w:rsidR="001B5244">
        <w:rPr>
          <w:szCs w:val="22"/>
        </w:rPr>
        <w:t xml:space="preserve"> </w:t>
      </w:r>
      <w:r w:rsidRPr="000531D6">
        <w:rPr>
          <w:szCs w:val="22"/>
        </w:rPr>
        <w:t>The Commission may fur</w:t>
      </w:r>
      <w:r w:rsidRPr="000531D6" w:rsidR="00C22E21">
        <w:rPr>
          <w:szCs w:val="22"/>
        </w:rPr>
        <w:t xml:space="preserve">ther adjust the forfeiture reflecting </w:t>
      </w:r>
      <w:r w:rsidRPr="000531D6">
        <w:rPr>
          <w:szCs w:val="22"/>
        </w:rPr>
        <w:t xml:space="preserve">enumerated statutory factors, which include the nature, circumstances, extent, and gravity of the violation, and with respect to the violator, the degree of culpability, any history of prior </w:t>
      </w:r>
      <w:r w:rsidRPr="000531D6">
        <w:rPr>
          <w:szCs w:val="22"/>
        </w:rPr>
        <w:t>offenses, ability to pay, and other such matters as justice may require.</w:t>
      </w:r>
      <w:r>
        <w:rPr>
          <w:rStyle w:val="FootnoteReference"/>
          <w:sz w:val="22"/>
          <w:szCs w:val="22"/>
        </w:rPr>
        <w:footnoteReference w:id="35"/>
      </w:r>
      <w:r w:rsidRPr="000531D6">
        <w:rPr>
          <w:szCs w:val="22"/>
        </w:rPr>
        <w:t xml:space="preserve">  Further, as discussed above, the Commission may assess forfeitures on both the conduct that led to this Citation and the conduct following it.</w:t>
      </w:r>
      <w:r>
        <w:rPr>
          <w:rStyle w:val="FootnoteReference"/>
          <w:sz w:val="22"/>
          <w:szCs w:val="22"/>
        </w:rPr>
        <w:footnoteReference w:id="36"/>
      </w:r>
      <w:r w:rsidRPr="000531D6">
        <w:rPr>
          <w:szCs w:val="22"/>
        </w:rPr>
        <w:t xml:space="preserve"> </w:t>
      </w:r>
      <w:r w:rsidRPr="000531D6" w:rsidR="003343CA">
        <w:rPr>
          <w:szCs w:val="22"/>
        </w:rPr>
        <w:t xml:space="preserve"> </w:t>
      </w:r>
    </w:p>
    <w:p w:rsidR="003343CA" w:rsidRPr="000531D6" w:rsidP="00D01704">
      <w:pPr>
        <w:pStyle w:val="Heading1"/>
        <w:keepNext w:val="0"/>
        <w:rPr>
          <w:rFonts w:ascii="Times New Roman" w:hAnsi="Times New Roman"/>
          <w:szCs w:val="22"/>
        </w:rPr>
      </w:pPr>
      <w:r w:rsidRPr="000531D6">
        <w:rPr>
          <w:rFonts w:ascii="Times New Roman" w:hAnsi="Times New Roman"/>
          <w:szCs w:val="22"/>
        </w:rPr>
        <w:t>ORDERING CLAUSES</w:t>
      </w:r>
    </w:p>
    <w:p w:rsidR="00395090" w:rsidRPr="000531D6">
      <w:pPr>
        <w:pStyle w:val="ParaNum"/>
        <w:tabs>
          <w:tab w:val="clear" w:pos="1080"/>
          <w:tab w:val="num" w:pos="1440"/>
        </w:tabs>
        <w:rPr>
          <w:noProof/>
          <w:szCs w:val="22"/>
        </w:rPr>
      </w:pPr>
      <w:r w:rsidRPr="000531D6">
        <w:rPr>
          <w:szCs w:val="22"/>
        </w:rPr>
        <w:t xml:space="preserve">Accordingly, </w:t>
      </w:r>
      <w:r w:rsidRPr="000531D6">
        <w:rPr>
          <w:b/>
          <w:szCs w:val="22"/>
        </w:rPr>
        <w:t>IT IS ORDERED</w:t>
      </w:r>
      <w:r w:rsidRPr="000531D6">
        <w:rPr>
          <w:szCs w:val="22"/>
        </w:rPr>
        <w:t xml:space="preserve"> </w:t>
      </w:r>
      <w:r w:rsidRPr="000531D6" w:rsidR="009A01CF">
        <w:rPr>
          <w:szCs w:val="22"/>
        </w:rPr>
        <w:t>that</w:t>
      </w:r>
      <w:r w:rsidRPr="000531D6">
        <w:rPr>
          <w:szCs w:val="22"/>
        </w:rPr>
        <w:t xml:space="preserve">, pursuant to </w:t>
      </w:r>
      <w:r w:rsidRPr="000531D6" w:rsidR="00C93DFC">
        <w:rPr>
          <w:noProof/>
          <w:szCs w:val="22"/>
        </w:rPr>
        <w:t xml:space="preserve">Sections 4(i) and 4(j) of the </w:t>
      </w:r>
      <w:r w:rsidRPr="000531D6" w:rsidR="003C4AD3">
        <w:rPr>
          <w:noProof/>
          <w:szCs w:val="22"/>
        </w:rPr>
        <w:t>Act</w:t>
      </w:r>
      <w:r w:rsidRPr="000531D6" w:rsidR="00C93DFC">
        <w:rPr>
          <w:noProof/>
          <w:szCs w:val="22"/>
        </w:rPr>
        <w:t>,</w:t>
      </w:r>
      <w:r>
        <w:rPr>
          <w:rStyle w:val="FootnoteReference"/>
          <w:noProof/>
          <w:sz w:val="22"/>
          <w:szCs w:val="22"/>
        </w:rPr>
        <w:footnoteReference w:id="37"/>
      </w:r>
      <w:r w:rsidRPr="000531D6" w:rsidR="00C93DFC">
        <w:rPr>
          <w:noProof/>
          <w:szCs w:val="22"/>
        </w:rPr>
        <w:t xml:space="preserve"> </w:t>
      </w:r>
      <w:r w:rsidRPr="000531D6" w:rsidR="00D71DAC">
        <w:rPr>
          <w:szCs w:val="22"/>
        </w:rPr>
        <w:t>Amcrest Industries, LLC</w:t>
      </w:r>
      <w:r w:rsidRPr="000531D6" w:rsidR="00487E46">
        <w:rPr>
          <w:spacing w:val="-2"/>
          <w:szCs w:val="22"/>
        </w:rPr>
        <w:t xml:space="preserve"> </w:t>
      </w:r>
      <w:r w:rsidRPr="000531D6" w:rsidR="00C93DFC">
        <w:rPr>
          <w:noProof/>
          <w:szCs w:val="22"/>
        </w:rPr>
        <w:t>must cease and desist from</w:t>
      </w:r>
      <w:r w:rsidRPr="000531D6" w:rsidR="009A01CF">
        <w:rPr>
          <w:noProof/>
          <w:szCs w:val="22"/>
        </w:rPr>
        <w:t xml:space="preserve"> </w:t>
      </w:r>
      <w:r w:rsidRPr="000531D6" w:rsidR="00487E46">
        <w:rPr>
          <w:noProof/>
          <w:szCs w:val="22"/>
        </w:rPr>
        <w:t xml:space="preserve">marketing </w:t>
      </w:r>
      <w:r w:rsidRPr="000531D6" w:rsidR="00A65DFD">
        <w:rPr>
          <w:noProof/>
          <w:szCs w:val="22"/>
        </w:rPr>
        <w:t xml:space="preserve">any Baofeng Radio </w:t>
      </w:r>
      <w:r w:rsidRPr="000531D6" w:rsidR="00487E46">
        <w:rPr>
          <w:noProof/>
          <w:szCs w:val="22"/>
        </w:rPr>
        <w:t xml:space="preserve">model UV-5R V2+ </w:t>
      </w:r>
      <w:r w:rsidRPr="000531D6" w:rsidR="00A65DFD">
        <w:rPr>
          <w:noProof/>
          <w:szCs w:val="22"/>
        </w:rPr>
        <w:t>that</w:t>
      </w:r>
      <w:r w:rsidRPr="000531D6" w:rsidR="00487E46">
        <w:rPr>
          <w:noProof/>
          <w:szCs w:val="22"/>
        </w:rPr>
        <w:t xml:space="preserve"> </w:t>
      </w:r>
      <w:r w:rsidRPr="000531D6">
        <w:rPr>
          <w:szCs w:val="22"/>
        </w:rPr>
        <w:t xml:space="preserve">is capable of transmitting on unauthorized </w:t>
      </w:r>
      <w:r w:rsidRPr="000531D6" w:rsidR="00B65F70">
        <w:rPr>
          <w:szCs w:val="22"/>
        </w:rPr>
        <w:t xml:space="preserve">or restricted </w:t>
      </w:r>
      <w:r w:rsidRPr="000531D6">
        <w:rPr>
          <w:szCs w:val="22"/>
        </w:rPr>
        <w:t xml:space="preserve">frequencies </w:t>
      </w:r>
      <w:r w:rsidRPr="000531D6" w:rsidR="00A65DFD">
        <w:rPr>
          <w:szCs w:val="22"/>
        </w:rPr>
        <w:t>in violation of Sections 2.803(b)</w:t>
      </w:r>
      <w:r w:rsidRPr="000531D6" w:rsidR="00DD772A">
        <w:rPr>
          <w:rFonts w:eastAsia="ヒラギノ角ゴ Pro W3"/>
          <w:szCs w:val="22"/>
        </w:rPr>
        <w:t xml:space="preserve"> </w:t>
      </w:r>
      <w:r w:rsidRPr="000531D6" w:rsidR="00AA6184">
        <w:rPr>
          <w:rFonts w:eastAsia="ヒラギノ角ゴ Pro W3"/>
          <w:szCs w:val="22"/>
        </w:rPr>
        <w:t xml:space="preserve">of the </w:t>
      </w:r>
      <w:r w:rsidRPr="000531D6" w:rsidR="00DD772A">
        <w:rPr>
          <w:rFonts w:eastAsia="ヒラギノ角ゴ Pro W3"/>
          <w:szCs w:val="22"/>
        </w:rPr>
        <w:t>Commission’s r</w:t>
      </w:r>
      <w:r w:rsidRPr="000531D6" w:rsidR="00AA6184">
        <w:rPr>
          <w:rFonts w:eastAsia="ヒラギノ角ゴ Pro W3"/>
          <w:szCs w:val="22"/>
        </w:rPr>
        <w:t>ules.</w:t>
      </w:r>
      <w:r>
        <w:rPr>
          <w:rStyle w:val="FootnoteReference"/>
          <w:rFonts w:eastAsia="ヒラギノ角ゴ Pro W3"/>
          <w:sz w:val="22"/>
          <w:szCs w:val="22"/>
        </w:rPr>
        <w:footnoteReference w:id="38"/>
      </w:r>
      <w:r w:rsidRPr="000531D6" w:rsidR="00A65DFD">
        <w:rPr>
          <w:rFonts w:eastAsia="ヒラギノ角ゴ Pro W3"/>
          <w:szCs w:val="22"/>
        </w:rPr>
        <w:t xml:space="preserve"> </w:t>
      </w:r>
    </w:p>
    <w:p w:rsidR="003343CA" w:rsidRPr="000531D6">
      <w:pPr>
        <w:pStyle w:val="ParaNum"/>
        <w:tabs>
          <w:tab w:val="clear" w:pos="1080"/>
          <w:tab w:val="num" w:pos="1440"/>
        </w:tabs>
        <w:rPr>
          <w:noProof/>
          <w:szCs w:val="22"/>
        </w:rPr>
      </w:pPr>
      <w:r w:rsidRPr="000531D6">
        <w:rPr>
          <w:noProof/>
          <w:szCs w:val="22"/>
        </w:rPr>
        <w:t xml:space="preserve"> </w:t>
      </w:r>
      <w:r w:rsidRPr="000531D6" w:rsidR="001164C6">
        <w:rPr>
          <w:b/>
          <w:noProof/>
          <w:szCs w:val="22"/>
        </w:rPr>
        <w:t>IT IS FURTHER ORDERED</w:t>
      </w:r>
      <w:r w:rsidRPr="000531D6" w:rsidR="001164C6">
        <w:rPr>
          <w:noProof/>
          <w:szCs w:val="22"/>
        </w:rPr>
        <w:t xml:space="preserve"> that, pursuant to </w:t>
      </w:r>
      <w:r w:rsidRPr="000531D6" w:rsidR="008F21BF">
        <w:rPr>
          <w:noProof/>
          <w:szCs w:val="22"/>
        </w:rPr>
        <w:t>Sections 4(i), 4(j), and 403 of the Act</w:t>
      </w:r>
      <w:r w:rsidRPr="000531D6" w:rsidR="001164C6">
        <w:rPr>
          <w:noProof/>
          <w:szCs w:val="22"/>
        </w:rPr>
        <w:t>,</w:t>
      </w:r>
      <w:r>
        <w:rPr>
          <w:rStyle w:val="FootnoteReference"/>
          <w:noProof/>
          <w:sz w:val="22"/>
          <w:szCs w:val="22"/>
        </w:rPr>
        <w:footnoteReference w:id="39"/>
      </w:r>
      <w:r w:rsidRPr="000531D6" w:rsidR="00751908">
        <w:rPr>
          <w:noProof/>
          <w:szCs w:val="22"/>
        </w:rPr>
        <w:t xml:space="preserve"> </w:t>
      </w:r>
      <w:r w:rsidRPr="000531D6" w:rsidR="00D71DAC">
        <w:rPr>
          <w:szCs w:val="22"/>
        </w:rPr>
        <w:t>Amcrest Industries, LLC</w:t>
      </w:r>
      <w:r w:rsidRPr="000531D6" w:rsidR="00A43A13">
        <w:rPr>
          <w:spacing w:val="-2"/>
          <w:szCs w:val="22"/>
        </w:rPr>
        <w:t xml:space="preserve"> </w:t>
      </w:r>
      <w:r w:rsidRPr="000531D6" w:rsidR="001164C6">
        <w:rPr>
          <w:noProof/>
          <w:szCs w:val="22"/>
        </w:rPr>
        <w:t>must provide the written info</w:t>
      </w:r>
      <w:r w:rsidRPr="000531D6" w:rsidR="00DE45C6">
        <w:rPr>
          <w:noProof/>
          <w:szCs w:val="22"/>
        </w:rPr>
        <w:t xml:space="preserve">rmation requested in paragraph </w:t>
      </w:r>
      <w:r w:rsidRPr="000531D6" w:rsidR="001A560C">
        <w:rPr>
          <w:noProof/>
          <w:szCs w:val="22"/>
        </w:rPr>
        <w:t>9</w:t>
      </w:r>
      <w:r w:rsidRPr="000531D6" w:rsidR="00A43A13">
        <w:rPr>
          <w:noProof/>
          <w:szCs w:val="22"/>
        </w:rPr>
        <w:t>,</w:t>
      </w:r>
      <w:r w:rsidRPr="000531D6" w:rsidR="00350389">
        <w:rPr>
          <w:noProof/>
          <w:szCs w:val="22"/>
        </w:rPr>
        <w:t xml:space="preserve"> above.  </w:t>
      </w:r>
      <w:r w:rsidRPr="000531D6" w:rsidR="00D71DAC">
        <w:rPr>
          <w:szCs w:val="22"/>
        </w:rPr>
        <w:t>Amcrest Industries, LLC</w:t>
      </w:r>
      <w:r w:rsidRPr="000531D6" w:rsidR="005323FC">
        <w:rPr>
          <w:spacing w:val="-2"/>
          <w:szCs w:val="22"/>
        </w:rPr>
        <w:t xml:space="preserve"> </w:t>
      </w:r>
      <w:r w:rsidRPr="000531D6" w:rsidR="00350389">
        <w:rPr>
          <w:noProof/>
          <w:szCs w:val="22"/>
        </w:rPr>
        <w:t>must support its responses with an affidavit or declaration under penalty of perjury, signed and dat</w:t>
      </w:r>
      <w:r w:rsidRPr="000531D6" w:rsidR="008E2010">
        <w:rPr>
          <w:noProof/>
          <w:szCs w:val="22"/>
        </w:rPr>
        <w:t xml:space="preserve">ed by an authorized officer of </w:t>
      </w:r>
      <w:r w:rsidRPr="000531D6" w:rsidR="00D71DAC">
        <w:rPr>
          <w:szCs w:val="22"/>
        </w:rPr>
        <w:t>Amcrest Industries, LLC</w:t>
      </w:r>
      <w:r w:rsidRPr="000531D6" w:rsidR="005323FC">
        <w:rPr>
          <w:spacing w:val="-2"/>
          <w:szCs w:val="22"/>
        </w:rPr>
        <w:t xml:space="preserve"> </w:t>
      </w:r>
      <w:r w:rsidRPr="000531D6" w:rsidR="00350389">
        <w:rPr>
          <w:noProof/>
          <w:szCs w:val="22"/>
        </w:rPr>
        <w:t xml:space="preserve">with personal knowledge of the representations provided in the </w:t>
      </w:r>
      <w:r w:rsidRPr="000531D6" w:rsidR="008E2010">
        <w:rPr>
          <w:noProof/>
          <w:szCs w:val="22"/>
        </w:rPr>
        <w:t>res</w:t>
      </w:r>
      <w:r w:rsidRPr="000531D6" w:rsidR="00350389">
        <w:rPr>
          <w:noProof/>
          <w:szCs w:val="22"/>
        </w:rPr>
        <w:t xml:space="preserve">ponse, verifying the truth and accuracy of the information therein and that all of the </w:t>
      </w:r>
      <w:r w:rsidRPr="000531D6" w:rsidR="008E2010">
        <w:rPr>
          <w:noProof/>
          <w:szCs w:val="22"/>
        </w:rPr>
        <w:t xml:space="preserve">information requested </w:t>
      </w:r>
      <w:r w:rsidRPr="000531D6" w:rsidR="00350389">
        <w:rPr>
          <w:noProof/>
          <w:szCs w:val="22"/>
        </w:rPr>
        <w:t>ha</w:t>
      </w:r>
      <w:r w:rsidRPr="000531D6" w:rsidR="008E2010">
        <w:rPr>
          <w:noProof/>
          <w:szCs w:val="22"/>
        </w:rPr>
        <w:t>s</w:t>
      </w:r>
      <w:r w:rsidRPr="000531D6" w:rsidR="00350389">
        <w:rPr>
          <w:noProof/>
          <w:szCs w:val="22"/>
        </w:rPr>
        <w:t xml:space="preserve"> been produced.  </w:t>
      </w:r>
      <w:r w:rsidRPr="000531D6" w:rsidR="008E2010">
        <w:rPr>
          <w:szCs w:val="22"/>
        </w:rPr>
        <w:t>All such declarations provided must comply with Section</w:t>
      </w:r>
      <w:r w:rsidRPr="000531D6" w:rsidR="002D63C3">
        <w:rPr>
          <w:szCs w:val="22"/>
        </w:rPr>
        <w:t xml:space="preserve"> 1.16 of the </w:t>
      </w:r>
      <w:r w:rsidRPr="000531D6" w:rsidR="00A67057">
        <w:rPr>
          <w:szCs w:val="22"/>
        </w:rPr>
        <w:t>Commission’s rules</w:t>
      </w:r>
      <w:r w:rsidRPr="000531D6" w:rsidR="008E2010">
        <w:rPr>
          <w:szCs w:val="22"/>
        </w:rPr>
        <w:t xml:space="preserve"> and be substantially in the form set forth therein.</w:t>
      </w:r>
      <w:r>
        <w:rPr>
          <w:szCs w:val="22"/>
          <w:vertAlign w:val="superscript"/>
        </w:rPr>
        <w:footnoteReference w:id="40"/>
      </w:r>
      <w:r w:rsidRPr="000531D6" w:rsidR="008E2010">
        <w:rPr>
          <w:szCs w:val="22"/>
        </w:rPr>
        <w:t xml:space="preserve">  </w:t>
      </w:r>
      <w:r w:rsidRPr="000531D6" w:rsidR="00350389">
        <w:rPr>
          <w:noProof/>
          <w:szCs w:val="22"/>
        </w:rPr>
        <w:t xml:space="preserve">The </w:t>
      </w:r>
      <w:r w:rsidRPr="000531D6" w:rsidR="002D63C3">
        <w:rPr>
          <w:noProof/>
          <w:szCs w:val="22"/>
        </w:rPr>
        <w:t>FCC must receive the response within 30</w:t>
      </w:r>
      <w:r w:rsidRPr="000531D6" w:rsidR="001164C6">
        <w:rPr>
          <w:noProof/>
          <w:szCs w:val="22"/>
        </w:rPr>
        <w:t xml:space="preserve"> calendar days</w:t>
      </w:r>
      <w:r w:rsidRPr="000531D6" w:rsidR="002D63C3">
        <w:rPr>
          <w:noProof/>
          <w:szCs w:val="22"/>
        </w:rPr>
        <w:t xml:space="preserve"> of </w:t>
      </w:r>
      <w:r w:rsidRPr="000531D6" w:rsidR="001164C6">
        <w:rPr>
          <w:noProof/>
          <w:szCs w:val="22"/>
        </w:rPr>
        <w:t>the release date of this Citation and Order.</w:t>
      </w:r>
    </w:p>
    <w:p w:rsidR="003343CA" w:rsidRPr="000531D6">
      <w:pPr>
        <w:pStyle w:val="ParaNum"/>
        <w:tabs>
          <w:tab w:val="clear" w:pos="1080"/>
          <w:tab w:val="num" w:pos="1440"/>
        </w:tabs>
        <w:rPr>
          <w:szCs w:val="22"/>
        </w:rPr>
      </w:pPr>
      <w:r w:rsidRPr="000531D6">
        <w:rPr>
          <w:b/>
          <w:szCs w:val="22"/>
        </w:rPr>
        <w:t>IT IS FURTHER ORDERED</w:t>
      </w:r>
      <w:r w:rsidRPr="000531D6">
        <w:rPr>
          <w:szCs w:val="22"/>
        </w:rPr>
        <w:t xml:space="preserve"> that a copy of this </w:t>
      </w:r>
      <w:r w:rsidRPr="000531D6" w:rsidR="009E53A5">
        <w:rPr>
          <w:szCs w:val="22"/>
        </w:rPr>
        <w:t>Citation and</w:t>
      </w:r>
      <w:r w:rsidRPr="000531D6">
        <w:rPr>
          <w:szCs w:val="22"/>
        </w:rPr>
        <w:t xml:space="preserve"> Order </w:t>
      </w:r>
      <w:r w:rsidRPr="000531D6" w:rsidR="00EE36BE">
        <w:rPr>
          <w:szCs w:val="22"/>
        </w:rPr>
        <w:t xml:space="preserve">shall be sent by first class mail and certified mail, return receipt requested, to </w:t>
      </w:r>
      <w:r w:rsidRPr="000531D6" w:rsidR="005323FC">
        <w:rPr>
          <w:szCs w:val="22"/>
        </w:rPr>
        <w:t xml:space="preserve">Mr. Adam Ravat, Managing Member, </w:t>
      </w:r>
      <w:r w:rsidRPr="000531D6" w:rsidR="00D71DAC">
        <w:rPr>
          <w:szCs w:val="22"/>
        </w:rPr>
        <w:t>Amcrest Industries, LLC</w:t>
      </w:r>
      <w:r w:rsidRPr="000531D6" w:rsidR="005323FC">
        <w:rPr>
          <w:szCs w:val="22"/>
        </w:rPr>
        <w:t>, 16727 Park Row Drive, Houston, TX 77084</w:t>
      </w:r>
      <w:r w:rsidRPr="000531D6" w:rsidR="00EE36BE">
        <w:rPr>
          <w:szCs w:val="22"/>
        </w:rPr>
        <w:t>.</w:t>
      </w:r>
    </w:p>
    <w:p w:rsidR="003343CA" w:rsidRPr="000531D6" w:rsidP="003343CA">
      <w:pPr>
        <w:rPr>
          <w:szCs w:val="22"/>
        </w:rPr>
      </w:pPr>
    </w:p>
    <w:p w:rsidR="003343CA" w:rsidRPr="000531D6" w:rsidP="003343CA">
      <w:pPr>
        <w:rPr>
          <w:szCs w:val="22"/>
        </w:rPr>
      </w:pPr>
    </w:p>
    <w:p w:rsidR="003343CA" w:rsidRPr="000531D6" w:rsidP="005E6F60">
      <w:pPr>
        <w:ind w:left="3600" w:firstLine="720"/>
        <w:rPr>
          <w:szCs w:val="22"/>
        </w:rPr>
      </w:pPr>
      <w:r w:rsidRPr="000531D6">
        <w:rPr>
          <w:szCs w:val="22"/>
        </w:rPr>
        <w:t>FEDERAL COMMUNICATIONS COMMISSION</w:t>
      </w:r>
    </w:p>
    <w:p w:rsidR="003343CA" w:rsidRPr="000531D6" w:rsidP="003343CA">
      <w:pPr>
        <w:ind w:left="4410"/>
        <w:rPr>
          <w:szCs w:val="22"/>
        </w:rPr>
      </w:pPr>
    </w:p>
    <w:p w:rsidR="003343CA" w:rsidRPr="000531D6" w:rsidP="003343CA">
      <w:pPr>
        <w:ind w:left="4410"/>
        <w:rPr>
          <w:szCs w:val="22"/>
        </w:rPr>
      </w:pPr>
    </w:p>
    <w:p w:rsidR="003343CA" w:rsidRPr="000531D6" w:rsidP="003343CA">
      <w:pPr>
        <w:ind w:left="4410"/>
        <w:rPr>
          <w:szCs w:val="22"/>
        </w:rPr>
      </w:pPr>
    </w:p>
    <w:p w:rsidR="003343CA" w:rsidRPr="000531D6" w:rsidP="003343CA">
      <w:pPr>
        <w:ind w:left="4410"/>
        <w:rPr>
          <w:szCs w:val="22"/>
        </w:rPr>
      </w:pPr>
    </w:p>
    <w:p w:rsidR="001617B5" w:rsidRPr="000531D6" w:rsidP="001617B5">
      <w:pPr>
        <w:keepNext/>
        <w:ind w:left="3600" w:firstLine="720"/>
        <w:rPr>
          <w:szCs w:val="22"/>
        </w:rPr>
      </w:pPr>
      <w:r w:rsidRPr="000531D6">
        <w:rPr>
          <w:szCs w:val="22"/>
        </w:rPr>
        <w:t>Matthew L. Conaty</w:t>
      </w:r>
    </w:p>
    <w:p w:rsidR="0058026A" w:rsidRPr="000531D6" w:rsidP="003C4AD3">
      <w:pPr>
        <w:ind w:left="4320"/>
        <w:rPr>
          <w:szCs w:val="22"/>
        </w:rPr>
      </w:pPr>
      <w:r w:rsidRPr="000531D6">
        <w:rPr>
          <w:szCs w:val="22"/>
        </w:rPr>
        <w:t>Chief</w:t>
      </w:r>
    </w:p>
    <w:p w:rsidR="00EE36BE" w:rsidRPr="000531D6" w:rsidP="0058026A">
      <w:pPr>
        <w:ind w:left="4320"/>
        <w:rPr>
          <w:szCs w:val="22"/>
        </w:rPr>
      </w:pPr>
      <w:r w:rsidRPr="000531D6">
        <w:rPr>
          <w:szCs w:val="22"/>
        </w:rPr>
        <w:t>Spectrum Enforcement Division</w:t>
      </w:r>
    </w:p>
    <w:p w:rsidR="0058026A" w:rsidRPr="000531D6" w:rsidP="0058026A">
      <w:pPr>
        <w:ind w:left="4320"/>
        <w:rPr>
          <w:szCs w:val="22"/>
        </w:rPr>
      </w:pPr>
      <w:r w:rsidRPr="000531D6">
        <w:rPr>
          <w:szCs w:val="22"/>
        </w:rPr>
        <w:t>Enforcement Bureau</w:t>
      </w:r>
    </w:p>
    <w:p w:rsidR="00E273E3" w:rsidRPr="000531D6" w:rsidP="00BC350D">
      <w:pPr>
        <w:pStyle w:val="ParaNum"/>
        <w:numPr>
          <w:ilvl w:val="0"/>
          <w:numId w:val="0"/>
        </w:numPr>
        <w:rPr>
          <w:szCs w:val="22"/>
        </w:rPr>
      </w:pPr>
    </w:p>
    <w:sectPr w:rsidSect="00F50F55">
      <w:headerReference w:type="default" r:id="rId5"/>
      <w:footerReference w:type="even" r:id="rId6"/>
      <w:footerReference w:type="default" r:id="rId7"/>
      <w:headerReference w:type="first" r:id="rId8"/>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4E08">
    <w:pPr>
      <w:pStyle w:val="Footer"/>
      <w:framePr w:wrap="around" w:vAnchor="text" w:hAnchor="margin" w:xAlign="center" w:y="1"/>
    </w:pPr>
    <w:r>
      <w:fldChar w:fldCharType="begin"/>
    </w:r>
    <w:r>
      <w:instrText xml:space="preserve">PAGE  </w:instrText>
    </w:r>
    <w:r>
      <w:fldChar w:fldCharType="separate"/>
    </w:r>
    <w:r>
      <w:fldChar w:fldCharType="end"/>
    </w:r>
  </w:p>
  <w:p w:rsidR="009F4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4E08">
    <w:pPr>
      <w:pStyle w:val="Footer"/>
      <w:framePr w:wrap="around" w:vAnchor="text" w:hAnchor="margin" w:xAlign="center" w:y="1"/>
    </w:pPr>
    <w:r>
      <w:fldChar w:fldCharType="begin"/>
    </w:r>
    <w:r>
      <w:instrText xml:space="preserve">PAGE  </w:instrText>
    </w:r>
    <w:r>
      <w:fldChar w:fldCharType="separate"/>
    </w:r>
    <w:r>
      <w:t>6</w:t>
    </w:r>
    <w:r>
      <w:rPr>
        <w:noProof/>
      </w:rPr>
      <w:fldChar w:fldCharType="end"/>
    </w:r>
  </w:p>
  <w:p w:rsidR="009F4E08">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0641">
      <w:r>
        <w:separator/>
      </w:r>
    </w:p>
  </w:footnote>
  <w:footnote w:type="continuationSeparator" w:id="1">
    <w:p w:rsidR="00B10641">
      <w:pPr>
        <w:rPr>
          <w:sz w:val="20"/>
        </w:rPr>
      </w:pPr>
    </w:p>
  </w:footnote>
  <w:footnote w:type="continuationNotice" w:id="2">
    <w:p w:rsidR="00B10641">
      <w:pPr>
        <w:rPr>
          <w:sz w:val="20"/>
        </w:rPr>
      </w:pPr>
    </w:p>
  </w:footnote>
  <w:footnote w:id="3">
    <w:p w:rsidR="00CC2B76" w:rsidP="00D01704">
      <w:pPr>
        <w:pStyle w:val="FootnoteText"/>
        <w:widowControl w:val="0"/>
      </w:pPr>
      <w:r>
        <w:rPr>
          <w:rStyle w:val="FootnoteReference"/>
        </w:rPr>
        <w:footnoteRef/>
      </w:r>
      <w:r>
        <w:t xml:space="preserve"> There are limited exceptions </w:t>
      </w:r>
      <w:r w:rsidR="00FF77D8">
        <w:t xml:space="preserve">to </w:t>
      </w:r>
      <w:r>
        <w:t xml:space="preserve">this </w:t>
      </w:r>
      <w:r w:rsidR="00F801E1">
        <w:t>testing requirement, e.g.,</w:t>
      </w:r>
      <w:r w:rsidR="00FF77D8">
        <w:t xml:space="preserve"> transmitters </w:t>
      </w:r>
      <w:r w:rsidR="00B66481">
        <w:t xml:space="preserve">used in the band 1427-1435 MHz.  </w:t>
      </w:r>
      <w:r w:rsidR="00FF77D8">
        <w:t xml:space="preserve">47 CFR </w:t>
      </w:r>
      <w:r w:rsidRPr="00D03601" w:rsidR="00FF77D8">
        <w:t xml:space="preserve">§ </w:t>
      </w:r>
      <w:r w:rsidR="00FF77D8">
        <w:t>90.203(b)(3).</w:t>
      </w:r>
      <w:r w:rsidR="00F801E1">
        <w:t xml:space="preserve"> </w:t>
      </w:r>
      <w:r w:rsidR="00FF77D8">
        <w:t xml:space="preserve"> </w:t>
      </w:r>
      <w:r>
        <w:t>However, none of these ex</w:t>
      </w:r>
      <w:r w:rsidR="00FF77D8">
        <w:t>ce</w:t>
      </w:r>
      <w:r>
        <w:t>pti</w:t>
      </w:r>
      <w:r w:rsidR="00FF77D8">
        <w:t>o</w:t>
      </w:r>
      <w:r>
        <w:t>n</w:t>
      </w:r>
      <w:r w:rsidR="00FF77D8">
        <w:t>s</w:t>
      </w:r>
      <w:r>
        <w:t xml:space="preserve"> apply to </w:t>
      </w:r>
      <w:r w:rsidR="00FF77D8">
        <w:t>the devices at issue in this</w:t>
      </w:r>
      <w:r>
        <w:t xml:space="preserve"> case. </w:t>
      </w:r>
    </w:p>
  </w:footnote>
  <w:footnote w:id="4">
    <w:p w:rsidR="009F4E08" w:rsidRPr="00D03601" w:rsidP="00D01704">
      <w:pPr>
        <w:pStyle w:val="FootnoteText"/>
        <w:widowControl w:val="0"/>
      </w:pPr>
      <w:r w:rsidRPr="00D03601">
        <w:rPr>
          <w:rStyle w:val="FootnoteReference"/>
        </w:rPr>
        <w:footnoteRef/>
      </w:r>
      <w:r w:rsidRPr="00D03601">
        <w:t xml:space="preserve"> Amcrest was formerly Foscam Digital Technologies LLC.  Letter of Inquiry Response from Mr. Adam Ravat, Managing Member, Amcrest Technologies LLC, to Aspasia A. Paroutsas, Chief, Spectrum Enforcement Division, </w:t>
      </w:r>
      <w:r w:rsidR="00B66481">
        <w:t xml:space="preserve">FCC Enforcement Bureau </w:t>
      </w:r>
      <w:r w:rsidRPr="00D03601">
        <w:t>at 1 (Dec. 7, 2017) (LOI Response) (on file in EB-SED-17-</w:t>
      </w:r>
      <w:r w:rsidRPr="00D03601">
        <w:rPr>
          <w:spacing w:val="-2"/>
        </w:rPr>
        <w:t>00024360</w:t>
      </w:r>
      <w:r w:rsidRPr="00D03601">
        <w:t>).</w:t>
      </w:r>
    </w:p>
  </w:footnote>
  <w:footnote w:id="5">
    <w:p w:rsidR="009F4E08" w:rsidRPr="00D03601" w:rsidP="00D01704">
      <w:pPr>
        <w:pStyle w:val="FootnoteText"/>
        <w:widowControl w:val="0"/>
      </w:pPr>
      <w:r w:rsidRPr="00D03601">
        <w:rPr>
          <w:rStyle w:val="FootnoteReference"/>
        </w:rPr>
        <w:footnoteRef/>
      </w:r>
      <w:r w:rsidRPr="00D03601">
        <w:t xml:space="preserve"> 47 U.S.C. § 302a(b); 47 CFR §§ 2.803(b).</w:t>
      </w:r>
    </w:p>
  </w:footnote>
  <w:footnote w:id="6">
    <w:p w:rsidR="009F4E08" w:rsidRPr="00D03601" w:rsidP="00D01704">
      <w:pPr>
        <w:pStyle w:val="FootnoteText"/>
        <w:widowControl w:val="0"/>
      </w:pPr>
      <w:r w:rsidRPr="00D03601">
        <w:rPr>
          <w:rStyle w:val="FootnoteReference"/>
        </w:rPr>
        <w:footnoteRef/>
      </w:r>
      <w:r w:rsidRPr="00D03601">
        <w:t xml:space="preserve"> </w:t>
      </w:r>
      <w:r w:rsidRPr="00D03601">
        <w:rPr>
          <w:i/>
          <w:color w:val="000000"/>
        </w:rPr>
        <w:t>See</w:t>
      </w:r>
      <w:r w:rsidRPr="00D03601">
        <w:rPr>
          <w:color w:val="000000"/>
        </w:rPr>
        <w:t xml:space="preserve"> 47 U.S.C. § 503(b)(2)(D); 47 CFR § 1.80(b)(7).  This amount reflects inflation adjustments to Section 503(b)(2)(D) of the Act, which specifies a $10,000 base forfeiture </w:t>
      </w:r>
      <w:r w:rsidRPr="00D03601">
        <w:t xml:space="preserve">for each violation or each day of a continuing violation and a $75,000 base forfeiture </w:t>
      </w:r>
      <w:r w:rsidRPr="00D03601">
        <w:rPr>
          <w:snapToGrid w:val="0"/>
          <w:color w:val="000000"/>
        </w:rPr>
        <w:t>for any single act or failure to act.</w:t>
      </w:r>
      <w:r w:rsidRPr="00D03601">
        <w:rPr>
          <w:color w:val="000000"/>
        </w:rPr>
        <w:t xml:space="preserve"> </w:t>
      </w:r>
      <w:r w:rsidRPr="00D03601">
        <w:rPr>
          <w:snapToGrid w:val="0"/>
          <w:color w:val="000000"/>
        </w:rPr>
        <w:t xml:space="preserve"> </w:t>
      </w:r>
      <w:r w:rsidRPr="00D03601">
        <w:rPr>
          <w:i/>
          <w:iCs/>
        </w:rPr>
        <w:t xml:space="preserve">See </w:t>
      </w:r>
      <w:r w:rsidRPr="00D03601">
        <w:t xml:space="preserve">47 CFR § 1.80(b)(9); </w:t>
      </w:r>
      <w:r w:rsidRPr="00D03601">
        <w:rPr>
          <w:i/>
          <w:iCs/>
        </w:rPr>
        <w:t>Amendment of Section 1.80(b) of the Commission’s Rules, Adjustment of Civil Monetary Penalties to Reflect Inflation</w:t>
      </w:r>
      <w:r w:rsidRPr="00D03601">
        <w:t>, Order, 33 FCC Rcd 46, Appendix A (EB 2018).</w:t>
      </w:r>
    </w:p>
  </w:footnote>
  <w:footnote w:id="7">
    <w:p w:rsidR="009F4E08" w:rsidRPr="00D03601" w:rsidP="00D01704">
      <w:pPr>
        <w:pStyle w:val="FootnoteText"/>
        <w:widowControl w:val="0"/>
      </w:pPr>
      <w:r w:rsidRPr="00D03601">
        <w:rPr>
          <w:rStyle w:val="FootnoteReference"/>
          <w:kern w:val="20"/>
        </w:rPr>
        <w:footnoteRef/>
      </w:r>
      <w:r w:rsidRPr="00D03601">
        <w:rPr>
          <w:kern w:val="20"/>
        </w:rPr>
        <w:t xml:space="preserve"> 47 U.S.C. § 503(b)(5).</w:t>
      </w:r>
    </w:p>
  </w:footnote>
  <w:footnote w:id="8">
    <w:p w:rsidR="009F4E08" w:rsidRPr="00D03601" w:rsidP="00D01704">
      <w:pPr>
        <w:pStyle w:val="FootnoteText"/>
        <w:widowControl w:val="0"/>
      </w:pPr>
      <w:r w:rsidRPr="00D03601">
        <w:rPr>
          <w:rStyle w:val="FootnoteReference"/>
        </w:rPr>
        <w:footnoteRef/>
      </w:r>
      <w:r w:rsidRPr="00D03601">
        <w:t xml:space="preserve"> </w:t>
      </w:r>
      <w:r w:rsidRPr="00D03601" w:rsidR="007365DF">
        <w:t>47 U.S.C. § 302a(b); 47 CFR § 2.803(b).</w:t>
      </w:r>
    </w:p>
  </w:footnote>
  <w:footnote w:id="9">
    <w:p w:rsidR="009F4E08" w:rsidRPr="00D03601" w:rsidP="00D01704">
      <w:pPr>
        <w:pStyle w:val="FootnoteText"/>
        <w:widowControl w:val="0"/>
      </w:pPr>
      <w:r w:rsidRPr="00D03601">
        <w:rPr>
          <w:rStyle w:val="FootnoteReference"/>
          <w:kern w:val="20"/>
        </w:rPr>
        <w:footnoteRef/>
      </w:r>
      <w:r w:rsidRPr="00D03601">
        <w:rPr>
          <w:kern w:val="20"/>
        </w:rPr>
        <w:t xml:space="preserve"> </w:t>
      </w:r>
      <w:r w:rsidRPr="00D03601">
        <w:rPr>
          <w:i/>
          <w:kern w:val="20"/>
        </w:rPr>
        <w:t>See</w:t>
      </w:r>
      <w:r w:rsidRPr="00D03601">
        <w:rPr>
          <w:kern w:val="20"/>
        </w:rPr>
        <w:t xml:space="preserve"> S. Rep. No. 95-580, 95th Cong., 1st Sess. at 9 (1977) (if the target of a Commission-issued citation subsequently engages in the conduct that occasioned the citation of violation, the resulting notice of apparent liability “would attach not only for the conduct occurring subsequently</w:t>
      </w:r>
      <w:r w:rsidRPr="00D03601">
        <w:rPr>
          <w:i/>
          <w:kern w:val="20"/>
        </w:rPr>
        <w:t xml:space="preserve"> but also for the conduct for which the citation was originally sent</w:t>
      </w:r>
      <w:r w:rsidRPr="00D03601">
        <w:rPr>
          <w:kern w:val="20"/>
        </w:rPr>
        <w:t>.”) (emphasis added).</w:t>
      </w:r>
    </w:p>
  </w:footnote>
  <w:footnote w:id="10">
    <w:p w:rsidR="009F4E08" w:rsidRPr="00D03601" w:rsidP="00D01704">
      <w:pPr>
        <w:pStyle w:val="FootnoteText"/>
        <w:widowControl w:val="0"/>
      </w:pPr>
      <w:r w:rsidRPr="00D03601">
        <w:rPr>
          <w:rStyle w:val="FootnoteReference"/>
        </w:rPr>
        <w:footnoteRef/>
      </w:r>
      <w:r w:rsidRPr="00D03601">
        <w:t xml:space="preserve"> </w:t>
      </w:r>
      <w:r w:rsidRPr="00793603">
        <w:t>Radio model</w:t>
      </w:r>
      <w:r w:rsidRPr="00D03601">
        <w:t>s UV-5R and UV-5R V2+ (the subject of this Citation) were authorized under Commission certification procedures in 2012.  Grant of Equipment Authorization, F</w:t>
      </w:r>
      <w:r w:rsidRPr="00D03601">
        <w:rPr>
          <w:bCs/>
        </w:rPr>
        <w:t xml:space="preserve">ujian Nan'an Baofeng Electronics Co., Ltd., </w:t>
      </w:r>
      <w:r w:rsidRPr="00D03601">
        <w:t>FCC Identif</w:t>
      </w:r>
      <w:r w:rsidR="009F6C77">
        <w:t>i</w:t>
      </w:r>
      <w:r w:rsidRPr="00D03601">
        <w:t>er ZP5BF-5R (granted May 21, 2012) (Equipment Authorization), https://apps.fcc.gov/oetcf/tcb/reports/Tcb731GrantForm.cfm?mode=COPY&amp;RequestTimeout=500&amp;tcb_code=&amp;application_id=n%2BgY1ooaqEevhls5IkVd1g%3D%3D&amp;fcc_id=ZP5BF-5R</w:t>
      </w:r>
      <w:r w:rsidR="00EB7883">
        <w:t>.</w:t>
      </w:r>
      <w:r w:rsidRPr="00D03601">
        <w:t xml:space="preserve"> </w:t>
      </w:r>
      <w:r w:rsidR="00EB7883">
        <w:t xml:space="preserve"> </w:t>
      </w:r>
      <w:r w:rsidR="00EB7883">
        <w:rPr>
          <w:i/>
        </w:rPr>
        <w:t>C</w:t>
      </w:r>
      <w:r w:rsidRPr="00D03601">
        <w:rPr>
          <w:i/>
        </w:rPr>
        <w:t xml:space="preserve">f. </w:t>
      </w:r>
      <w:r w:rsidRPr="00D03601">
        <w:t xml:space="preserve">47 CFR § 15.201.  </w:t>
      </w:r>
    </w:p>
  </w:footnote>
  <w:footnote w:id="11">
    <w:p w:rsidR="009F4E08" w:rsidRPr="00D03601" w:rsidP="00D01704">
      <w:pPr>
        <w:pStyle w:val="FootnoteText"/>
        <w:widowControl w:val="0"/>
      </w:pPr>
      <w:r w:rsidRPr="00D03601">
        <w:rPr>
          <w:rStyle w:val="FootnoteReference"/>
        </w:rPr>
        <w:footnoteRef/>
      </w:r>
      <w:r w:rsidRPr="00D03601">
        <w:t xml:space="preserve"> Amcrest, a limited liability company based in Houston, Texas, sells two-way handheld Baofeng radios through </w:t>
      </w:r>
      <w:r w:rsidR="004561DA">
        <w:t>“Amcrest Direct” and on its</w:t>
      </w:r>
      <w:r w:rsidRPr="00D03601">
        <w:t xml:space="preserve"> website</w:t>
      </w:r>
      <w:r w:rsidRPr="009A1E2E">
        <w:rPr>
          <w:color w:val="000000" w:themeColor="text1"/>
        </w:rPr>
        <w:t xml:space="preserve">, </w:t>
      </w:r>
      <w:r w:rsidRPr="00493533">
        <w:rPr>
          <w:rStyle w:val="Hyperlink"/>
          <w:color w:val="000000" w:themeColor="text1"/>
          <w:u w:val="none"/>
        </w:rPr>
        <w:t>www.baofengradio.us.</w:t>
      </w:r>
      <w:r w:rsidRPr="009A1E2E">
        <w:rPr>
          <w:rStyle w:val="Hyperlink"/>
          <w:color w:val="000000" w:themeColor="text1"/>
          <w:u w:val="none"/>
        </w:rPr>
        <w:t xml:space="preserve">  </w:t>
      </w:r>
      <w:r w:rsidRPr="00D03601">
        <w:t xml:space="preserve">Amcrest is one </w:t>
      </w:r>
      <w:r w:rsidRPr="00D03601">
        <w:rPr>
          <w:kern w:val="2"/>
        </w:rPr>
        <w:t>of</w:t>
      </w:r>
      <w:r w:rsidRPr="00D03601">
        <w:t xml:space="preserve"> many authorized distributors of Baofeng radios and has no relationship with their manufacturer, </w:t>
      </w:r>
      <w:r w:rsidR="00C92C6F">
        <w:t>Fujian Nan’</w:t>
      </w:r>
      <w:r w:rsidRPr="00D03601">
        <w:t xml:space="preserve">an Baofeng Electronics Co., </w:t>
      </w:r>
      <w:r w:rsidR="00EB7883">
        <w:t>Ltd.</w:t>
      </w:r>
      <w:r w:rsidR="00666355">
        <w:t xml:space="preserve">, which Amcrest refers to as </w:t>
      </w:r>
      <w:r w:rsidR="00D533F8">
        <w:t>“Fujian Baofeng Electronic</w:t>
      </w:r>
      <w:r w:rsidR="001D7F14">
        <w:t>s</w:t>
      </w:r>
      <w:r w:rsidR="00D533F8">
        <w:t xml:space="preserve"> Co., Ltd”</w:t>
      </w:r>
      <w:r w:rsidR="00493533">
        <w:t xml:space="preserve"> in its LOI Response, along </w:t>
      </w:r>
      <w:r w:rsidR="00545C3F">
        <w:t>with a reference to the FCC I</w:t>
      </w:r>
      <w:r w:rsidR="009F6C77">
        <w:t>dentifier</w:t>
      </w:r>
      <w:r w:rsidR="00545C3F">
        <w:t xml:space="preserve"> for the </w:t>
      </w:r>
      <w:r w:rsidR="00493533">
        <w:t xml:space="preserve">Equipment Authorization. </w:t>
      </w:r>
      <w:r w:rsidRPr="00D03601">
        <w:t xml:space="preserve"> </w:t>
      </w:r>
      <w:r w:rsidR="00D533F8">
        <w:rPr>
          <w:rStyle w:val="Hyperlink"/>
          <w:color w:val="auto"/>
          <w:u w:val="none"/>
        </w:rPr>
        <w:t xml:space="preserve">LOI Response at </w:t>
      </w:r>
      <w:r w:rsidRPr="00D03601">
        <w:rPr>
          <w:rStyle w:val="Hyperlink"/>
          <w:color w:val="auto"/>
          <w:u w:val="none"/>
        </w:rPr>
        <w:t>2</w:t>
      </w:r>
      <w:r w:rsidR="00D533F8">
        <w:rPr>
          <w:rStyle w:val="Hyperlink"/>
          <w:color w:val="auto"/>
          <w:u w:val="none"/>
        </w:rPr>
        <w:t>.</w:t>
      </w:r>
      <w:r w:rsidR="00493533">
        <w:rPr>
          <w:rStyle w:val="Hyperlink"/>
          <w:color w:val="auto"/>
          <w:u w:val="none"/>
        </w:rPr>
        <w:t xml:space="preserve"> </w:t>
      </w:r>
    </w:p>
  </w:footnote>
  <w:footnote w:id="12">
    <w:p w:rsidR="009F4E08" w:rsidRPr="00D03601" w:rsidP="00D01704">
      <w:pPr>
        <w:pStyle w:val="FootnoteText"/>
        <w:widowControl w:val="0"/>
      </w:pPr>
      <w:r w:rsidRPr="00D03601">
        <w:rPr>
          <w:rStyle w:val="FootnoteReference"/>
        </w:rPr>
        <w:footnoteRef/>
      </w:r>
      <w:r w:rsidRPr="00D03601">
        <w:t xml:space="preserve"> Letter of Inquiry from Aspasia A. Paroutsas, Chief, Spectrum Enforcement Division, </w:t>
      </w:r>
      <w:r w:rsidR="00B66481">
        <w:t>FCC Enforcement Bureau</w:t>
      </w:r>
      <w:r w:rsidR="00E35FCB">
        <w:t xml:space="preserve">, </w:t>
      </w:r>
      <w:r w:rsidRPr="00D03601">
        <w:t>to Mr. Adam Ravat, Managing Member, Amcrest Technologies LLC (Oct. 30, 2017) (LOI); E-mail from Jennifer Burton, Attorney-Advisor, Spectrum Enforcement Division, Enforcement Bureau, FCC, to Mr. Adam Ravat, Amcrest Industries, LLC (Supplemental LOI) (Jan. 12, 2018, 15:38 EST); E-mail from Jennifer Burton, Attorney-Advisor, Spectrum Enforcement Division, Enforcement Bureau, FCC, to Mr. Adam Ravat, Amcrest Industries, LLC (Second Supplemental LOI) (Feb. 2, 2018, 12:40 EST) (all on file in EB-SED-17-</w:t>
      </w:r>
      <w:r w:rsidRPr="00D03601">
        <w:rPr>
          <w:spacing w:val="-2"/>
        </w:rPr>
        <w:t>00024360</w:t>
      </w:r>
      <w:r w:rsidRPr="00D03601">
        <w:t>).</w:t>
      </w:r>
    </w:p>
  </w:footnote>
  <w:footnote w:id="13">
    <w:p w:rsidR="009F4E08" w:rsidRPr="00D03601" w:rsidP="00D01704">
      <w:pPr>
        <w:pStyle w:val="FootnoteText"/>
        <w:widowControl w:val="0"/>
      </w:pPr>
      <w:r w:rsidRPr="00D03601">
        <w:rPr>
          <w:rStyle w:val="FootnoteReference"/>
        </w:rPr>
        <w:footnoteRef/>
      </w:r>
      <w:r w:rsidRPr="00D03601">
        <w:t xml:space="preserve"> LOI Response; Letter of Inquiry Response from Mr. Adam Ravat, Managing Member, Amcrest Technologies LLC, to Aspasia A. Paroutsas, Chief, Spectrum Enforcement Division, </w:t>
      </w:r>
      <w:r w:rsidR="00B66481">
        <w:t>FCC Enforcement Bureau</w:t>
      </w:r>
      <w:r w:rsidRPr="00D03601" w:rsidR="00B66481">
        <w:t xml:space="preserve"> </w:t>
      </w:r>
      <w:r w:rsidRPr="00D03601">
        <w:t>(Jan. 23, 2018) (Supplemental LOI Response); E-mail from Mr. Adam Ravat, Managing Member, Amcrest Technologies LLC, to Jennifer Burton et al., Spectrum Enforcement Division, Enforcement Bureau, FCC (Feb. 4, 2018, 13:30 EST) (Second Supplemental LOI Response) (all on file in EB-SED-17-</w:t>
      </w:r>
      <w:r w:rsidRPr="00D03601">
        <w:rPr>
          <w:spacing w:val="-2"/>
        </w:rPr>
        <w:t>00024360)</w:t>
      </w:r>
      <w:r w:rsidRPr="00D03601">
        <w:t>.</w:t>
      </w:r>
      <w:r w:rsidR="00B66481">
        <w:t xml:space="preserve"> </w:t>
      </w:r>
    </w:p>
  </w:footnote>
  <w:footnote w:id="14">
    <w:p w:rsidR="009F4E08" w:rsidRPr="00D03601" w:rsidP="00D01704">
      <w:pPr>
        <w:pStyle w:val="FootnoteText"/>
        <w:widowControl w:val="0"/>
      </w:pPr>
      <w:r w:rsidRPr="00D03601">
        <w:rPr>
          <w:rStyle w:val="FootnoteReference"/>
        </w:rPr>
        <w:footnoteRef/>
      </w:r>
      <w:r w:rsidRPr="00D03601">
        <w:t xml:space="preserve"> LOI Response at 3; Second Supplemental LOI Response at 2.</w:t>
      </w:r>
      <w:r w:rsidR="00FD7E25">
        <w:t xml:space="preserve"> </w:t>
      </w:r>
    </w:p>
  </w:footnote>
  <w:footnote w:id="15">
    <w:p w:rsidR="009F4E08" w:rsidRPr="00D03601" w:rsidP="00D01704">
      <w:pPr>
        <w:pStyle w:val="FootnoteText"/>
        <w:widowControl w:val="0"/>
      </w:pPr>
      <w:r w:rsidRPr="00D03601">
        <w:rPr>
          <w:rStyle w:val="FootnoteReference"/>
        </w:rPr>
        <w:footnoteRef/>
      </w:r>
      <w:r w:rsidRPr="00D03601">
        <w:t xml:space="preserve"> </w:t>
      </w:r>
      <w:r w:rsidRPr="00D03601">
        <w:rPr>
          <w:i/>
        </w:rPr>
        <w:t xml:space="preserve">See </w:t>
      </w:r>
      <w:r w:rsidRPr="00D03601">
        <w:t xml:space="preserve">Second Supplemental LOI Response at 2. </w:t>
      </w:r>
    </w:p>
  </w:footnote>
  <w:footnote w:id="16">
    <w:p w:rsidR="009F4E08" w:rsidRPr="00D03601" w:rsidP="00D01704">
      <w:pPr>
        <w:pStyle w:val="FootnoteText"/>
        <w:widowControl w:val="0"/>
      </w:pPr>
      <w:r w:rsidRPr="00D03601">
        <w:rPr>
          <w:rStyle w:val="FootnoteReference"/>
        </w:rPr>
        <w:footnoteRef/>
      </w:r>
      <w:r w:rsidRPr="00D03601">
        <w:t xml:space="preserve"> LOI Response at 5.  The UV-5R V2+ is an updated version of the UV-5R model identified in the complaint; as noted above, both models are covered by the same Equipment Authorization.  </w:t>
      </w:r>
      <w:r w:rsidRPr="00F57C2C">
        <w:rPr>
          <w:i/>
        </w:rPr>
        <w:t>See supra</w:t>
      </w:r>
      <w:r w:rsidRPr="00F57C2C" w:rsidR="00F57C2C">
        <w:t xml:space="preserve"> note 8</w:t>
      </w:r>
      <w:r w:rsidRPr="00F57C2C">
        <w:t>.</w:t>
      </w:r>
    </w:p>
  </w:footnote>
  <w:footnote w:id="17">
    <w:p w:rsidR="00931429" w:rsidRPr="00D03601" w:rsidP="00D01704">
      <w:pPr>
        <w:pStyle w:val="FootnoteText"/>
        <w:widowControl w:val="0"/>
      </w:pPr>
      <w:r w:rsidRPr="00D03601">
        <w:rPr>
          <w:rStyle w:val="FootnoteReference"/>
        </w:rPr>
        <w:footnoteRef/>
      </w:r>
      <w:r w:rsidRPr="00D03601">
        <w:t xml:space="preserve"> </w:t>
      </w:r>
      <w:r w:rsidRPr="00931429">
        <w:t xml:space="preserve">Second Supplemental LOI Response at 1.  </w:t>
      </w:r>
      <w:r w:rsidRPr="00D03601" w:rsidR="009B516F">
        <w:t xml:space="preserve">The UV-5R 2+ operates on frequencies not authorized for Part 90.  </w:t>
      </w:r>
      <w:r w:rsidRPr="00D03601" w:rsidR="009B516F">
        <w:rPr>
          <w:i/>
        </w:rPr>
        <w:t xml:space="preserve">Cf. </w:t>
      </w:r>
      <w:r w:rsidRPr="00D03601" w:rsidR="009B516F">
        <w:t xml:space="preserve">First Supplemental LOI Response at 1-2 (Amcrest added </w:t>
      </w:r>
      <w:r w:rsidR="0054639B">
        <w:t xml:space="preserve">a </w:t>
      </w:r>
      <w:r w:rsidRPr="00D03601" w:rsidR="009B516F">
        <w:t xml:space="preserve">warning to “all user manuals, marketing materials and sales materials” </w:t>
      </w:r>
      <w:r w:rsidR="00D13E6A">
        <w:t xml:space="preserve">implying </w:t>
      </w:r>
      <w:r w:rsidR="0054639B">
        <w:t xml:space="preserve">that the </w:t>
      </w:r>
      <w:r w:rsidRPr="00D03601" w:rsidR="009B516F">
        <w:t xml:space="preserve">UV-5R 2+ can operate on </w:t>
      </w:r>
      <w:r w:rsidR="0054639B">
        <w:t xml:space="preserve">unauthorized and </w:t>
      </w:r>
      <w:r w:rsidRPr="00D03601" w:rsidR="009B516F">
        <w:t xml:space="preserve">restricted frequencies, including </w:t>
      </w:r>
      <w:r w:rsidR="0054639B">
        <w:t>“</w:t>
      </w:r>
      <w:r w:rsidRPr="00D03601" w:rsidR="009B516F">
        <w:t xml:space="preserve">136 – 137 MHz (Aviation Services, Part 87); 137 MHz – 138 MHz (Satellite Communications, Part 25); 138 MHz – 144 MHz (not available to any FCC licensee – Federal use only); </w:t>
      </w:r>
      <w:r w:rsidRPr="00D03601" w:rsidR="008B5F12">
        <w:t>156.7625</w:t>
      </w:r>
      <w:r w:rsidR="008B5F12">
        <w:t xml:space="preserve"> </w:t>
      </w:r>
      <w:r w:rsidRPr="00D03601" w:rsidR="009B516F">
        <w:t xml:space="preserve">MHz – 157.0375 MHz (Maritime Services, Part 80 and Aviation Services, Part 87)”).  </w:t>
      </w:r>
      <w:r w:rsidRPr="00D03601" w:rsidR="009B516F">
        <w:rPr>
          <w:i/>
        </w:rPr>
        <w:t>See</w:t>
      </w:r>
      <w:r w:rsidR="008B5F12">
        <w:rPr>
          <w:i/>
        </w:rPr>
        <w:t xml:space="preserve"> </w:t>
      </w:r>
      <w:r w:rsidRPr="00D03601" w:rsidR="009B516F">
        <w:t>47 CFR</w:t>
      </w:r>
      <w:r w:rsidR="00071D8C">
        <w:t xml:space="preserve"> </w:t>
      </w:r>
      <w:r w:rsidRPr="00931429" w:rsidR="00071D8C">
        <w:t>§</w:t>
      </w:r>
      <w:r w:rsidRPr="00931429" w:rsidR="003D16D8">
        <w:t>§</w:t>
      </w:r>
      <w:r w:rsidRPr="00931429" w:rsidR="00071D8C">
        <w:t xml:space="preserve"> </w:t>
      </w:r>
      <w:r w:rsidR="00071D8C">
        <w:t>2.106</w:t>
      </w:r>
      <w:r w:rsidR="003D16D8">
        <w:t xml:space="preserve"> &amp;</w:t>
      </w:r>
      <w:r w:rsidR="00071D8C">
        <w:t xml:space="preserve"> n</w:t>
      </w:r>
      <w:r w:rsidR="008A11DD">
        <w:t>n</w:t>
      </w:r>
      <w:r w:rsidR="00071D8C">
        <w:t>.</w:t>
      </w:r>
      <w:r w:rsidR="00D13E6A">
        <w:t>US</w:t>
      </w:r>
      <w:r w:rsidR="00071D8C">
        <w:t>244 (“</w:t>
      </w:r>
      <w:r w:rsidR="008A11DD">
        <w:t>[t]</w:t>
      </w:r>
      <w:r w:rsidR="00071D8C">
        <w:t>he band 136-137 MHz is allocated to non-Federal aeronautical mobile (R) service on a primary basis”), G30 (“</w:t>
      </w:r>
      <w:r w:rsidR="008A11DD">
        <w:t xml:space="preserve">[i]n </w:t>
      </w:r>
      <w:r w:rsidR="00071D8C">
        <w:t>the band[] 138-144 MHz . . .  the fixed and mobile services are limited primarily to operations by the military services”)</w:t>
      </w:r>
      <w:r w:rsidR="00083F93">
        <w:t>, 25.202(a)(3)</w:t>
      </w:r>
      <w:r w:rsidR="008A11DD">
        <w:t xml:space="preserve">, 80.1(b), 87.173(b). </w:t>
      </w:r>
      <w:r w:rsidR="008B5F12">
        <w:t xml:space="preserve"> </w:t>
      </w:r>
    </w:p>
  </w:footnote>
  <w:footnote w:id="18">
    <w:p w:rsidR="009F4E08" w:rsidRPr="00D03601" w:rsidP="00D01704">
      <w:pPr>
        <w:pStyle w:val="FootnoteText"/>
        <w:widowControl w:val="0"/>
      </w:pPr>
      <w:r w:rsidRPr="00D03601">
        <w:rPr>
          <w:rStyle w:val="FootnoteReference"/>
        </w:rPr>
        <w:footnoteRef/>
      </w:r>
      <w:r w:rsidRPr="00D03601">
        <w:t xml:space="preserve"> Second Supplemental LOI Response at 2.  The UV-5R 2+ user manual states it is capable of operating at either 1 watt or 4 watts, as opposed to the Equipment Authorization’s maximum power level of 1.78 watts.  Amcrest avers that despite these representations, discussions with the manufacturer confirmed that the UV-5R 2+ is “only capable of operating at 1 [w]att.”  </w:t>
      </w:r>
      <w:r w:rsidRPr="00D03601">
        <w:rPr>
          <w:i/>
        </w:rPr>
        <w:t>Id.</w:t>
      </w:r>
    </w:p>
  </w:footnote>
  <w:footnote w:id="19">
    <w:p w:rsidR="009F4E08" w:rsidRPr="00D03601" w:rsidP="00D01704">
      <w:pPr>
        <w:pStyle w:val="FootnoteText"/>
        <w:widowControl w:val="0"/>
      </w:pPr>
      <w:r w:rsidRPr="00D03601">
        <w:rPr>
          <w:rStyle w:val="FootnoteReference"/>
        </w:rPr>
        <w:footnoteRef/>
      </w:r>
      <w:r w:rsidRPr="00D03601">
        <w:t xml:space="preserve"> </w:t>
      </w:r>
      <w:r w:rsidRPr="00D03601">
        <w:rPr>
          <w:i/>
        </w:rPr>
        <w:t>See id</w:t>
      </w:r>
      <w:r w:rsidRPr="00D03601">
        <w:t xml:space="preserve"> at 1-2.</w:t>
      </w:r>
    </w:p>
  </w:footnote>
  <w:footnote w:id="20">
    <w:p w:rsidR="009F4E08" w:rsidRPr="00D03601" w:rsidP="00D01704">
      <w:pPr>
        <w:pStyle w:val="FootnoteText"/>
        <w:widowControl w:val="0"/>
        <w:tabs>
          <w:tab w:val="left" w:pos="2269"/>
        </w:tabs>
      </w:pPr>
      <w:r w:rsidRPr="00D03601">
        <w:rPr>
          <w:rStyle w:val="FootnoteReference"/>
        </w:rPr>
        <w:footnoteRef/>
      </w:r>
      <w:r w:rsidRPr="00D03601">
        <w:t xml:space="preserve"> </w:t>
      </w:r>
      <w:r w:rsidRPr="00D03601">
        <w:rPr>
          <w:i/>
        </w:rPr>
        <w:t>Id.</w:t>
      </w:r>
      <w:r w:rsidRPr="00D03601">
        <w:t xml:space="preserve"> at 1.</w:t>
      </w:r>
    </w:p>
  </w:footnote>
  <w:footnote w:id="21">
    <w:p w:rsidR="009F4E08" w:rsidRPr="00D03601" w:rsidP="00D01704">
      <w:pPr>
        <w:pStyle w:val="FootnoteText"/>
        <w:widowControl w:val="0"/>
      </w:pPr>
      <w:r w:rsidRPr="00D03601">
        <w:rPr>
          <w:rStyle w:val="FootnoteReference"/>
        </w:rPr>
        <w:footnoteRef/>
      </w:r>
      <w:r w:rsidRPr="00D03601">
        <w:t xml:space="preserve"> </w:t>
      </w:r>
      <w:r w:rsidRPr="00D03601">
        <w:rPr>
          <w:rFonts w:cstheme="minorHAnsi"/>
        </w:rPr>
        <w:t>47 U.S.C. § 302a(b).</w:t>
      </w:r>
    </w:p>
  </w:footnote>
  <w:footnote w:id="22">
    <w:p w:rsidR="009F4E08" w:rsidRPr="00D03601" w:rsidP="00D01704">
      <w:pPr>
        <w:pStyle w:val="FootnoteText"/>
        <w:widowControl w:val="0"/>
      </w:pPr>
      <w:r w:rsidRPr="00D03601">
        <w:rPr>
          <w:rStyle w:val="FootnoteReference"/>
        </w:rPr>
        <w:footnoteRef/>
      </w:r>
      <w:r w:rsidRPr="00D03601">
        <w:t xml:space="preserve"> 47 CFR § 2.803(b).  “Marketing” includes the sale or lease, or offering for sale or lease (including advertising for sale or lease), or importing, shipping, or distribution for the purpose of selling or leasing or offering for sale or lease.  </w:t>
      </w:r>
      <w:r w:rsidRPr="00281D86" w:rsidR="00EB7883">
        <w:rPr>
          <w:i/>
        </w:rPr>
        <w:t>Id.</w:t>
      </w:r>
      <w:r w:rsidRPr="00D03601">
        <w:t xml:space="preserve"> § 2.803(a).</w:t>
      </w:r>
    </w:p>
  </w:footnote>
  <w:footnote w:id="23">
    <w:p w:rsidR="00640423" w:rsidRPr="00D03601" w:rsidP="00D01704">
      <w:pPr>
        <w:pStyle w:val="FootnoteText"/>
        <w:widowControl w:val="0"/>
      </w:pPr>
      <w:r w:rsidRPr="00D03601">
        <w:rPr>
          <w:rStyle w:val="FootnoteReference"/>
        </w:rPr>
        <w:footnoteRef/>
      </w:r>
      <w:r w:rsidRPr="00D03601">
        <w:t xml:space="preserve"> </w:t>
      </w:r>
      <w:r w:rsidRPr="00281D86" w:rsidR="00EB7883">
        <w:rPr>
          <w:i/>
        </w:rPr>
        <w:t>Id.</w:t>
      </w:r>
      <w:r w:rsidRPr="00D03601">
        <w:t xml:space="preserve"> </w:t>
      </w:r>
      <w:r w:rsidRPr="00D03601">
        <w:rPr>
          <w:rFonts w:cstheme="minorHAnsi"/>
        </w:rPr>
        <w:t>§ 2.</w:t>
      </w:r>
      <w:r w:rsidRPr="00D03601">
        <w:t>803(b).</w:t>
      </w:r>
    </w:p>
  </w:footnote>
  <w:footnote w:id="24">
    <w:p w:rsidR="009F4E08" w:rsidRPr="00D03601" w:rsidP="00D01704">
      <w:pPr>
        <w:pStyle w:val="FootnoteText"/>
        <w:widowControl w:val="0"/>
      </w:pPr>
      <w:r w:rsidRPr="00D03601">
        <w:rPr>
          <w:rStyle w:val="FootnoteReference"/>
        </w:rPr>
        <w:footnoteRef/>
      </w:r>
      <w:r w:rsidRPr="00D03601">
        <w:t xml:space="preserve"> </w:t>
      </w:r>
      <w:r w:rsidRPr="00D03601">
        <w:rPr>
          <w:i/>
        </w:rPr>
        <w:t>See generally</w:t>
      </w:r>
      <w:r w:rsidRPr="00D03601">
        <w:t xml:space="preserve"> 47 CFR </w:t>
      </w:r>
      <w:r w:rsidR="007C11B0">
        <w:t>Part</w:t>
      </w:r>
      <w:r w:rsidRPr="00D03601">
        <w:t xml:space="preserve"> 90.  For instance, Part 90 radios that permit an operator to use external controls to program and transmit on frequencies, other than those programmed by the manufacturer or service or maintenance personnel, are generally prohibited.</w:t>
      </w:r>
      <w:r w:rsidRPr="00D03601">
        <w:t xml:space="preserve"> </w:t>
      </w:r>
      <w:r w:rsidRPr="00D03601">
        <w:t xml:space="preserve"> 47 CFR § 90.203(e), (g) (delineating exceptions).</w:t>
      </w:r>
    </w:p>
  </w:footnote>
  <w:footnote w:id="25">
    <w:p w:rsidR="009F4E08" w:rsidRPr="00D03601" w:rsidP="00D01704">
      <w:pPr>
        <w:pStyle w:val="FootnoteText"/>
        <w:widowControl w:val="0"/>
      </w:pPr>
      <w:r w:rsidRPr="00D03601">
        <w:rPr>
          <w:rStyle w:val="FootnoteReference"/>
        </w:rPr>
        <w:footnoteRef/>
      </w:r>
      <w:r w:rsidRPr="00D03601">
        <w:t xml:space="preserve"> The </w:t>
      </w:r>
      <w:r w:rsidR="00943A89">
        <w:t>E</w:t>
      </w:r>
      <w:r w:rsidRPr="00D03601">
        <w:t xml:space="preserve">quipment </w:t>
      </w:r>
      <w:r w:rsidR="00943A89">
        <w:t>A</w:t>
      </w:r>
      <w:r w:rsidRPr="00D03601">
        <w:t xml:space="preserve">uthorization contains the designation of “extended frequencies” (EF), which represents the full operating capability of the radio.  </w:t>
      </w:r>
      <w:r w:rsidRPr="00281D86" w:rsidR="00943A89">
        <w:rPr>
          <w:i/>
        </w:rPr>
        <w:t>See supra</w:t>
      </w:r>
      <w:r w:rsidR="00943A89">
        <w:t xml:space="preserve"> note 8.  </w:t>
      </w:r>
      <w:r w:rsidRPr="00D03601">
        <w:t>The grantee may use an EF listing on the grant if a portion of the band falls within the operating range of the rule part listed.  The authorization for the UV-5R V2+ lists a frequency range of 136 MHz-174 MHz and 400 MHz-480 MHz, which represents the full operating capability of the radio.  However, only a portion of those frequencies are authorized for Part 90 and certain frequencies listed in the authorization are restricted to use b</w:t>
      </w:r>
      <w:r w:rsidR="007E1EED">
        <w:t>y certain entities such as the f</w:t>
      </w:r>
      <w:bookmarkStart w:id="4" w:name="_GoBack"/>
      <w:bookmarkEnd w:id="4"/>
      <w:r w:rsidRPr="00D03601">
        <w:t>ederal government.</w:t>
      </w:r>
    </w:p>
  </w:footnote>
  <w:footnote w:id="26">
    <w:p w:rsidR="009F4E08" w:rsidRPr="00D03601" w:rsidP="00D01704">
      <w:pPr>
        <w:pStyle w:val="FootnoteText"/>
        <w:widowControl w:val="0"/>
      </w:pPr>
      <w:r w:rsidRPr="00D03601">
        <w:rPr>
          <w:rStyle w:val="FootnoteReference"/>
        </w:rPr>
        <w:footnoteRef/>
      </w:r>
      <w:r w:rsidRPr="00D03601">
        <w:t xml:space="preserve"> </w:t>
      </w:r>
      <w:r w:rsidRPr="00415D0A">
        <w:rPr>
          <w:i/>
        </w:rPr>
        <w:t>See supra</w:t>
      </w:r>
      <w:r w:rsidRPr="00415D0A">
        <w:t xml:space="preserve"> note 1</w:t>
      </w:r>
      <w:r w:rsidRPr="00415D0A" w:rsidR="00415D0A">
        <w:t>5</w:t>
      </w:r>
      <w:r w:rsidRPr="00415D0A">
        <w:t>.</w:t>
      </w:r>
      <w:r w:rsidRPr="00D03601">
        <w:t xml:space="preserve"> </w:t>
      </w:r>
    </w:p>
  </w:footnote>
  <w:footnote w:id="27">
    <w:p w:rsidR="009F4E08" w:rsidRPr="00D03601" w:rsidP="00D01704">
      <w:pPr>
        <w:pStyle w:val="FootnoteText"/>
        <w:widowControl w:val="0"/>
      </w:pPr>
      <w:r w:rsidRPr="00D03601">
        <w:rPr>
          <w:rStyle w:val="FootnoteReference"/>
        </w:rPr>
        <w:footnoteRef/>
      </w:r>
      <w:r w:rsidRPr="00D03601">
        <w:t xml:space="preserve"> 47 U.S.C. § 302a(b); 47 CFR § 2.803(b).</w:t>
      </w:r>
    </w:p>
  </w:footnote>
  <w:footnote w:id="28">
    <w:p w:rsidR="00D45D89" w:rsidP="00D45D89">
      <w:pPr>
        <w:pStyle w:val="FootnoteText"/>
      </w:pPr>
      <w:r>
        <w:rPr>
          <w:rStyle w:val="FootnoteReference"/>
        </w:rPr>
        <w:footnoteRef/>
      </w:r>
      <w:r>
        <w:t xml:space="preserve"> For instance, Amcrest aver</w:t>
      </w:r>
      <w:r w:rsidR="00AC7D61">
        <w:t>s</w:t>
      </w:r>
      <w:r>
        <w:t xml:space="preserve"> that “the </w:t>
      </w:r>
      <w:r w:rsidRPr="00EC52D5">
        <w:rPr>
          <w:szCs w:val="22"/>
        </w:rPr>
        <w:t>inventory currently on order and in the future will operate only on 145-155 M[H]z and 400-520 M[H]z</w:t>
      </w:r>
      <w:r>
        <w:rPr>
          <w:szCs w:val="22"/>
        </w:rPr>
        <w:t xml:space="preserve">.”  </w:t>
      </w:r>
      <w:r w:rsidRPr="00D03601" w:rsidR="00AC7D61">
        <w:t xml:space="preserve">Second Supplemental LOI Response at </w:t>
      </w:r>
      <w:r w:rsidR="00AC7D61">
        <w:t>1</w:t>
      </w:r>
      <w:r w:rsidRPr="00D03601" w:rsidR="00AC7D61">
        <w:t xml:space="preserve">.  </w:t>
      </w:r>
      <w:r>
        <w:rPr>
          <w:szCs w:val="22"/>
        </w:rPr>
        <w:t xml:space="preserve">However, </w:t>
      </w:r>
      <w:r w:rsidR="00AC7D61">
        <w:rPr>
          <w:szCs w:val="22"/>
        </w:rPr>
        <w:t xml:space="preserve">the band </w:t>
      </w:r>
      <w:r>
        <w:rPr>
          <w:szCs w:val="22"/>
        </w:rPr>
        <w:t>406.0-406.1</w:t>
      </w:r>
      <w:r w:rsidR="00D4009F">
        <w:rPr>
          <w:szCs w:val="22"/>
        </w:rPr>
        <w:t xml:space="preserve"> MH</w:t>
      </w:r>
      <w:r w:rsidR="00AC7D61">
        <w:rPr>
          <w:szCs w:val="22"/>
        </w:rPr>
        <w:t xml:space="preserve">z </w:t>
      </w:r>
      <w:r>
        <w:rPr>
          <w:szCs w:val="22"/>
        </w:rPr>
        <w:t>fall</w:t>
      </w:r>
      <w:r w:rsidR="00AC7D61">
        <w:rPr>
          <w:szCs w:val="22"/>
        </w:rPr>
        <w:t>s</w:t>
      </w:r>
      <w:r>
        <w:rPr>
          <w:szCs w:val="22"/>
        </w:rPr>
        <w:t xml:space="preserve"> </w:t>
      </w:r>
      <w:r w:rsidR="00C945C3">
        <w:rPr>
          <w:szCs w:val="22"/>
        </w:rPr>
        <w:t xml:space="preserve"> </w:t>
      </w:r>
      <w:r>
        <w:rPr>
          <w:szCs w:val="22"/>
        </w:rPr>
        <w:t>under th</w:t>
      </w:r>
      <w:r w:rsidR="00D4009F">
        <w:rPr>
          <w:szCs w:val="22"/>
        </w:rPr>
        <w:t>e</w:t>
      </w:r>
      <w:r>
        <w:rPr>
          <w:szCs w:val="22"/>
        </w:rPr>
        <w:t xml:space="preserve"> latter frequency range</w:t>
      </w:r>
      <w:r w:rsidR="00AC7D61">
        <w:rPr>
          <w:szCs w:val="22"/>
        </w:rPr>
        <w:t xml:space="preserve"> </w:t>
      </w:r>
      <w:r w:rsidR="00651E61">
        <w:t xml:space="preserve">and is limited to certain uses, all of which are outside the scope of the Equipment Authorization.  </w:t>
      </w:r>
      <w:r w:rsidR="00651E61">
        <w:rPr>
          <w:i/>
          <w:iCs/>
        </w:rPr>
        <w:t xml:space="preserve">See </w:t>
      </w:r>
      <w:r w:rsidR="00651E61">
        <w:t xml:space="preserve">47 CFR §§ 80.1061 (emergency position indicating radiobeacon stations), 87.187(m) (distress and safety communications), 95.2963 (emergency and distress frequency band for personal locator beacons).  </w:t>
      </w:r>
      <w:r w:rsidR="00651E61">
        <w:rPr>
          <w:i/>
          <w:iCs/>
        </w:rPr>
        <w:t xml:space="preserve">Cf. </w:t>
      </w:r>
      <w:r w:rsidR="00651E61">
        <w:t>47 CFR § 2.106 n.5.267 (“Any emission capable of causing harmful interference to the authorized uses of the band</w:t>
      </w:r>
      <w:r w:rsidR="008347DB">
        <w:t xml:space="preserve"> 406-406.1 MHz is prohibited.”)</w:t>
      </w:r>
      <w:r w:rsidR="00E330EB">
        <w:t>.</w:t>
      </w:r>
      <w:r w:rsidR="00281D86">
        <w:t xml:space="preserve">  </w:t>
      </w:r>
    </w:p>
  </w:footnote>
  <w:footnote w:id="29">
    <w:p w:rsidR="009F4E08" w:rsidRPr="00D03601" w:rsidP="00D01704">
      <w:pPr>
        <w:pStyle w:val="FootnoteText"/>
        <w:widowControl w:val="0"/>
      </w:pPr>
      <w:r w:rsidRPr="00D03601">
        <w:rPr>
          <w:rStyle w:val="FootnoteReference"/>
        </w:rPr>
        <w:footnoteRef/>
      </w:r>
      <w:r w:rsidRPr="00D03601">
        <w:t xml:space="preserve"> 47 CFR § 2.803(b).</w:t>
      </w:r>
    </w:p>
  </w:footnote>
  <w:footnote w:id="30">
    <w:p w:rsidR="009F4E08" w:rsidRPr="00D03601" w:rsidP="00D01704">
      <w:pPr>
        <w:pStyle w:val="FootnoteText"/>
        <w:widowControl w:val="0"/>
      </w:pPr>
      <w:r w:rsidRPr="00D03601">
        <w:rPr>
          <w:rStyle w:val="FootnoteReference"/>
        </w:rPr>
        <w:footnoteRef/>
      </w:r>
      <w:r w:rsidRPr="00D03601">
        <w:t xml:space="preserve"> </w:t>
      </w:r>
      <w:r w:rsidRPr="00D03601">
        <w:rPr>
          <w:i/>
        </w:rPr>
        <w:t>See id.</w:t>
      </w:r>
    </w:p>
  </w:footnote>
  <w:footnote w:id="31">
    <w:p w:rsidR="009F4E08" w:rsidRPr="00D03601" w:rsidP="00D01704">
      <w:pPr>
        <w:pStyle w:val="FootnoteText"/>
        <w:widowControl w:val="0"/>
      </w:pPr>
      <w:r w:rsidRPr="00D03601">
        <w:rPr>
          <w:rStyle w:val="FootnoteReference"/>
        </w:rPr>
        <w:footnoteRef/>
      </w:r>
      <w:r w:rsidRPr="00D03601">
        <w:t xml:space="preserve"> 47 CFR § 1.17.</w:t>
      </w:r>
    </w:p>
  </w:footnote>
  <w:footnote w:id="32">
    <w:p w:rsidR="009F4E08" w:rsidRPr="00D03601" w:rsidP="00D01704">
      <w:pPr>
        <w:pStyle w:val="FootnoteText"/>
        <w:widowControl w:val="0"/>
      </w:pPr>
      <w:r w:rsidRPr="00D03601">
        <w:rPr>
          <w:rStyle w:val="FootnoteReference"/>
        </w:rPr>
        <w:footnoteRef/>
      </w:r>
      <w:r w:rsidRPr="00D03601">
        <w:t xml:space="preserve"> </w:t>
      </w:r>
      <w:r w:rsidRPr="00D03601">
        <w:rPr>
          <w:kern w:val="2"/>
        </w:rPr>
        <w:t>18 U.S.C. § 1001.</w:t>
      </w:r>
    </w:p>
  </w:footnote>
  <w:footnote w:id="33">
    <w:p w:rsidR="009F4E08" w:rsidRPr="00D03601" w:rsidP="00D01704">
      <w:pPr>
        <w:pStyle w:val="FootnoteText"/>
        <w:widowControl w:val="0"/>
      </w:pPr>
      <w:r w:rsidRPr="00D03601">
        <w:rPr>
          <w:rStyle w:val="FootnoteReference"/>
        </w:rPr>
        <w:footnoteRef/>
      </w:r>
      <w:r w:rsidRPr="00D03601">
        <w:t xml:space="preserve"> </w:t>
      </w:r>
      <w:r w:rsidRPr="00D03601">
        <w:rPr>
          <w:kern w:val="2"/>
        </w:rPr>
        <w:t>5 U.S.C. § 552a(e)(3).</w:t>
      </w:r>
    </w:p>
  </w:footnote>
  <w:footnote w:id="34">
    <w:p w:rsidR="009F4E08" w:rsidRPr="00D03601" w:rsidP="00D01704">
      <w:pPr>
        <w:pStyle w:val="FootnoteText"/>
        <w:widowControl w:val="0"/>
      </w:pPr>
      <w:r w:rsidRPr="00D03601">
        <w:rPr>
          <w:rStyle w:val="FootnoteReference"/>
        </w:rPr>
        <w:footnoteRef/>
      </w:r>
      <w:r w:rsidRPr="00D03601">
        <w:t xml:space="preserve"> </w:t>
      </w:r>
      <w:r w:rsidRPr="00BE01FB">
        <w:rPr>
          <w:i/>
        </w:rPr>
        <w:t xml:space="preserve">See supra </w:t>
      </w:r>
      <w:r w:rsidRPr="00BE01FB">
        <w:t>note 4.</w:t>
      </w:r>
    </w:p>
  </w:footnote>
  <w:footnote w:id="35">
    <w:p w:rsidR="009F4E08" w:rsidRPr="00D03601" w:rsidP="00D01704">
      <w:pPr>
        <w:pStyle w:val="FootnoteText"/>
        <w:widowControl w:val="0"/>
      </w:pPr>
      <w:r w:rsidRPr="00D03601">
        <w:rPr>
          <w:rStyle w:val="FootnoteReference"/>
        </w:rPr>
        <w:footnoteRef/>
      </w:r>
      <w:r w:rsidRPr="00D03601">
        <w:t xml:space="preserve"> 47 U.S.C. § 503(b)(2)(E); 47 CFR § 1.80(b)(8).</w:t>
      </w:r>
    </w:p>
  </w:footnote>
  <w:footnote w:id="36">
    <w:p w:rsidR="009F4E08" w:rsidRPr="00D03601" w:rsidP="00D01704">
      <w:pPr>
        <w:pStyle w:val="FootnoteText"/>
        <w:widowControl w:val="0"/>
      </w:pPr>
      <w:r w:rsidRPr="00D03601">
        <w:rPr>
          <w:rStyle w:val="FootnoteReference"/>
        </w:rPr>
        <w:footnoteRef/>
      </w:r>
      <w:r w:rsidRPr="00D03601">
        <w:t xml:space="preserve"> </w:t>
      </w:r>
      <w:r w:rsidRPr="002A3502">
        <w:rPr>
          <w:i/>
        </w:rPr>
        <w:t>See</w:t>
      </w:r>
      <w:r w:rsidRPr="002A3502">
        <w:t xml:space="preserve"> </w:t>
      </w:r>
      <w:r w:rsidRPr="002A3502">
        <w:rPr>
          <w:i/>
        </w:rPr>
        <w:t xml:space="preserve">supra </w:t>
      </w:r>
      <w:r w:rsidRPr="002A3502" w:rsidR="002A3502">
        <w:t>paras. 2-3</w:t>
      </w:r>
      <w:r w:rsidRPr="002A3502">
        <w:t>.</w:t>
      </w:r>
    </w:p>
  </w:footnote>
  <w:footnote w:id="37">
    <w:p w:rsidR="009F4E08" w:rsidRPr="00D03601" w:rsidP="00D01704">
      <w:pPr>
        <w:pStyle w:val="FootnoteText"/>
        <w:widowControl w:val="0"/>
      </w:pPr>
      <w:r w:rsidRPr="00D03601">
        <w:rPr>
          <w:rStyle w:val="FootnoteReference"/>
        </w:rPr>
        <w:footnoteRef/>
      </w:r>
      <w:r w:rsidRPr="00D03601">
        <w:t xml:space="preserve"> 47 U.S.C. §§ 154(i), 154(j).</w:t>
      </w:r>
    </w:p>
  </w:footnote>
  <w:footnote w:id="38">
    <w:p w:rsidR="009F4E08" w:rsidRPr="00D03601" w:rsidP="00D01704">
      <w:pPr>
        <w:pStyle w:val="FootnoteText"/>
        <w:widowControl w:val="0"/>
        <w:rPr>
          <w:i/>
        </w:rPr>
      </w:pPr>
      <w:r w:rsidRPr="00D03601">
        <w:rPr>
          <w:rStyle w:val="FootnoteReference"/>
        </w:rPr>
        <w:footnoteRef/>
      </w:r>
      <w:r w:rsidRPr="00D03601">
        <w:t xml:space="preserve"> 47 CFR § </w:t>
      </w:r>
      <w:r w:rsidRPr="00793603">
        <w:t>2.803(b)</w:t>
      </w:r>
      <w:r w:rsidRPr="00793603">
        <w:rPr>
          <w:rFonts w:eastAsia="ヒラギノ角ゴ Pro W3"/>
        </w:rPr>
        <w:t>.</w:t>
      </w:r>
    </w:p>
  </w:footnote>
  <w:footnote w:id="39">
    <w:p w:rsidR="009F4E08" w:rsidRPr="00D03601" w:rsidP="00D01704">
      <w:pPr>
        <w:pStyle w:val="FootnoteText"/>
        <w:widowControl w:val="0"/>
      </w:pPr>
      <w:r w:rsidRPr="00D03601">
        <w:rPr>
          <w:rStyle w:val="FootnoteReference"/>
        </w:rPr>
        <w:footnoteRef/>
      </w:r>
      <w:r w:rsidRPr="00D03601">
        <w:t xml:space="preserve"> 47 U.S.C. §§ 154(i), 154(j), 403.</w:t>
      </w:r>
    </w:p>
  </w:footnote>
  <w:footnote w:id="40">
    <w:p w:rsidR="009F4E08" w:rsidRPr="00D03601" w:rsidP="00D01704">
      <w:pPr>
        <w:pStyle w:val="FootnoteText"/>
        <w:widowControl w:val="0"/>
      </w:pPr>
      <w:r w:rsidRPr="00D03601">
        <w:rPr>
          <w:rStyle w:val="FootnoteReference"/>
        </w:rPr>
        <w:footnoteRef/>
      </w:r>
      <w:r w:rsidRPr="00D03601">
        <w:t xml:space="preserve"> 47 CFR §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4E08" w:rsidRPr="001B048F" w:rsidP="001B048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F50F55" w:rsidR="004A30A5">
      <w:rPr>
        <w:spacing w:val="-2"/>
      </w:rPr>
      <w:t xml:space="preserve">DA </w:t>
    </w:r>
    <w:r w:rsidRPr="004A30A5" w:rsidR="004A30A5">
      <w:rPr>
        <w:spacing w:val="-2"/>
      </w:rPr>
      <w:t>18-801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4E08" w:rsidRPr="001B048F" w:rsidP="001B048F">
    <w:pPr>
      <w:pStyle w:val="Header"/>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 xml:space="preserve">Federal </w:t>
    </w:r>
    <w:r w:rsidR="004A30A5">
      <w:t>Communications Commission</w:t>
    </w:r>
    <w:r w:rsidR="004A30A5">
      <w:tab/>
    </w:r>
    <w:r w:rsidRPr="00F50F55">
      <w:rPr>
        <w:spacing w:val="-2"/>
      </w:rPr>
      <w:t xml:space="preserve">DA </w:t>
    </w:r>
    <w:r w:rsidRPr="004A30A5" w:rsidR="004A30A5">
      <w:rPr>
        <w:spacing w:val="-2"/>
      </w:rPr>
      <w:t>18-801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3CF95280"/>
    <w:multiLevelType w:val="hybridMultilevel"/>
    <w:tmpl w:val="20EC5F5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4">
    <w:nsid w:val="6FB837BF"/>
    <w:multiLevelType w:val="hybridMultilevel"/>
    <w:tmpl w:val="DA7EC7B6"/>
    <w:lvl w:ilvl="0">
      <w:start w:val="1"/>
      <w:numFmt w:val="lowerLetter"/>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1"/>
  </w:num>
  <w:num w:numId="3">
    <w:abstractNumId w:val="0"/>
    <w:lvlOverride w:ilvl="0">
      <w:lvl w:ilvl="0">
        <w:start w:val="0"/>
        <w:numFmt w:val="bullet"/>
        <w:pStyle w:val="par1"/>
        <w:lvlText w:val=""/>
        <w:legacy w:legacy="1" w:legacySpace="0" w:legacyIndent="360"/>
        <w:lvlJc w:val="left"/>
        <w:rPr>
          <w:rFonts w:ascii="Symbol" w:hAnsi="Symbol" w:hint="default"/>
        </w:rPr>
      </w:lvl>
    </w:lvlOverride>
  </w:num>
  <w:num w:numId="4">
    <w:abstractNumId w:val="3"/>
  </w:num>
  <w:num w:numId="5">
    <w:abstractNumId w:val="4"/>
  </w:num>
  <w:num w:numId="6">
    <w:abstractNumId w:val="3"/>
    <w:lvlOverride w:ilvl="0">
      <w:startOverride w:val="1"/>
    </w:lvlOverride>
  </w:num>
  <w:num w:numId="7">
    <w:abstractNumId w:val="3"/>
    <w:lvlOverride w:ilvl="0">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2"/>
  </w:num>
  <w:num w:numId="16">
    <w:abstractNumId w:val="3"/>
  </w:num>
  <w:num w:numId="17">
    <w:abstractNumId w:val="3"/>
  </w:num>
  <w:num w:numId="18">
    <w:abstractNumId w:val="3"/>
  </w:num>
  <w:num w:numId="19">
    <w:abstractNumId w:val="1"/>
  </w:num>
  <w:num w:numId="20">
    <w:abstractNumId w:val="1"/>
  </w:num>
  <w:num w:numId="21">
    <w:abstractNumId w:val="1"/>
  </w:num>
  <w:num w:numId="22">
    <w:abstractNumId w:val="1"/>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uiPriority w:val="99"/>
    <w:rsid w:val="00CC6B2D"/>
    <w:pPr>
      <w:numPr>
        <w:numId w:val="4"/>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qFormat/>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rFonts w:cs="Times New Roman"/>
      <w:lang w:val="en-US" w:eastAsia="en-US"/>
    </w:rPr>
  </w:style>
  <w:style w:type="character" w:styleId="FootnoteReference">
    <w:name w:val="footnote reference"/>
    <w:aliases w:val="(NECG) Footnote Reference,Appel note de bas de p,FR,Footnote Reference/,Footnote Reference1,Style 12,Style 124,Style 13,Style 17,Style 3,Style 4,Style 6,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val="0"/>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paragraph" w:styleId="NoSpacing">
    <w:name w:val="No Spacing"/>
    <w:uiPriority w:val="1"/>
    <w:qFormat/>
    <w:rsid w:val="00C70F8D"/>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651D16"/>
    <w:rPr>
      <w:color w:val="808080"/>
      <w:shd w:val="clear" w:color="auto" w:fill="E6E6E6"/>
    </w:rPr>
  </w:style>
  <w:style w:type="paragraph" w:styleId="Revision">
    <w:name w:val="Revision"/>
    <w:hidden/>
    <w:uiPriority w:val="99"/>
    <w:semiHidden/>
    <w:rsid w:val="00FF5634"/>
    <w:rPr>
      <w:kern w:val="28"/>
      <w:szCs w:val="20"/>
    </w:rPr>
  </w:style>
  <w:style w:type="character" w:customStyle="1" w:styleId="UnresolvedMention2">
    <w:name w:val="Unresolved Mention2"/>
    <w:basedOn w:val="DefaultParagraphFont"/>
    <w:uiPriority w:val="99"/>
    <w:semiHidden/>
    <w:unhideWhenUsed/>
    <w:rsid w:val="00913E77"/>
    <w:rPr>
      <w:color w:val="605E5C"/>
      <w:shd w:val="clear" w:color="auto" w:fill="E1DFDD"/>
    </w:rPr>
  </w:style>
  <w:style w:type="character" w:styleId="Strong">
    <w:name w:val="Strong"/>
    <w:basedOn w:val="DefaultParagraphFont"/>
    <w:uiPriority w:val="22"/>
    <w:qFormat/>
    <w:locked/>
    <w:rsid w:val="00DA29A4"/>
    <w:rPr>
      <w:b/>
      <w:bCs/>
    </w:rPr>
  </w:style>
  <w:style w:type="character" w:customStyle="1" w:styleId="UnresolvedMention3">
    <w:name w:val="Unresolved Mention3"/>
    <w:basedOn w:val="DefaultParagraphFont"/>
    <w:uiPriority w:val="99"/>
    <w:semiHidden/>
    <w:unhideWhenUsed/>
    <w:rsid w:val="000F4277"/>
    <w:rPr>
      <w:color w:val="808080"/>
      <w:shd w:val="clear" w:color="auto" w:fill="E6E6E6"/>
    </w:rPr>
  </w:style>
  <w:style w:type="character" w:customStyle="1" w:styleId="cosearchterm">
    <w:name w:val="co_searchterm"/>
    <w:basedOn w:val="DefaultParagraphFont"/>
    <w:rsid w:val="0020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