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Ondas</w:t>
            </w:r>
            <w:r>
              <w:rPr>
                <w:spacing w:val="-2"/>
              </w:rPr>
              <w:t xml:space="preserve"> de Vida, Inc.,</w:t>
            </w:r>
          </w:p>
          <w:p w:rsidR="009C702E" w:rsidP="007115F7">
            <w:pPr>
              <w:tabs>
                <w:tab w:val="center" w:pos="4680"/>
              </w:tabs>
              <w:suppressAutoHyphens/>
              <w:rPr>
                <w:spacing w:val="-2"/>
              </w:rPr>
            </w:pPr>
            <w:r>
              <w:rPr>
                <w:spacing w:val="-2"/>
              </w:rPr>
              <w:t>Licensee of FM Translator Station K256BS,</w:t>
            </w:r>
          </w:p>
          <w:p w:rsidR="009C702E" w:rsidRPr="007115F7" w:rsidP="007115F7">
            <w:pPr>
              <w:tabs>
                <w:tab w:val="center" w:pos="4680"/>
              </w:tabs>
              <w:suppressAutoHyphens/>
              <w:rPr>
                <w:spacing w:val="-2"/>
              </w:rPr>
            </w:pPr>
            <w:r>
              <w:rPr>
                <w:spacing w:val="-2"/>
              </w:rPr>
              <w:t>Palmdale, California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3A6C03">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File No.: EB-FIELDWR-16-00020978</w:t>
            </w:r>
          </w:p>
          <w:p w:rsidR="009C702E">
            <w:pPr>
              <w:tabs>
                <w:tab w:val="center" w:pos="4680"/>
              </w:tabs>
              <w:suppressAutoHyphens/>
              <w:rPr>
                <w:spacing w:val="-2"/>
              </w:rPr>
            </w:pPr>
            <w:r>
              <w:rPr>
                <w:spacing w:val="-2"/>
              </w:rPr>
              <w:t>NAL/Acct. No.: 20173290</w:t>
            </w:r>
            <w:r w:rsidR="003A6C03">
              <w:rPr>
                <w:spacing w:val="-2"/>
              </w:rPr>
              <w:t>0003</w:t>
            </w:r>
          </w:p>
          <w:p w:rsidR="003A6C03">
            <w:pPr>
              <w:tabs>
                <w:tab w:val="center" w:pos="4680"/>
              </w:tabs>
              <w:suppressAutoHyphens/>
              <w:rPr>
                <w:spacing w:val="-2"/>
              </w:rPr>
            </w:pPr>
            <w:r>
              <w:rPr>
                <w:spacing w:val="-2"/>
              </w:rPr>
              <w:t>FRN: 0014400279</w:t>
            </w:r>
          </w:p>
          <w:p w:rsidR="003A6C03">
            <w:pPr>
              <w:tabs>
                <w:tab w:val="center" w:pos="4680"/>
              </w:tabs>
              <w:suppressAutoHyphens/>
              <w:rPr>
                <w:spacing w:val="-2"/>
              </w:rPr>
            </w:pPr>
            <w:r>
              <w:rPr>
                <w:spacing w:val="-2"/>
              </w:rPr>
              <w:t>Facility ID No. 133849</w:t>
            </w:r>
          </w:p>
        </w:tc>
      </w:tr>
    </w:tbl>
    <w:p w:rsidR="004C2EE3" w:rsidP="0070224F"/>
    <w:p w:rsidR="00841AB1" w:rsidP="00F021FA">
      <w:pPr>
        <w:pStyle w:val="StyleBoldCentered"/>
      </w:pPr>
      <w:r>
        <w:t>FORFEITURE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41299F">
        <w:rPr>
          <w:b/>
          <w:spacing w:val="-2"/>
        </w:rPr>
        <w:t>August 6,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1299F">
        <w:rPr>
          <w:b/>
          <w:spacing w:val="-2"/>
        </w:rPr>
        <w:t>August 7, 2018</w:t>
      </w:r>
      <w:bookmarkStart w:id="0" w:name="_GoBack"/>
      <w:bookmarkEnd w:id="0"/>
    </w:p>
    <w:p w:rsidR="00822CE0"/>
    <w:p w:rsidR="004C2EE3">
      <w:pPr>
        <w:rPr>
          <w:spacing w:val="-2"/>
        </w:rPr>
      </w:pPr>
      <w:r>
        <w:t xml:space="preserve">By </w:t>
      </w:r>
      <w:r w:rsidR="004E4A22">
        <w:t>the</w:t>
      </w:r>
      <w:r w:rsidR="002A2D2E">
        <w:t xml:space="preserve"> </w:t>
      </w:r>
      <w:r w:rsidR="003A6C03">
        <w:rPr>
          <w:spacing w:val="-2"/>
        </w:rPr>
        <w:t>Regional Director, Region Three</w:t>
      </w:r>
      <w:r w:rsidR="00191C9C">
        <w:rPr>
          <w:spacing w:val="-2"/>
        </w:rPr>
        <w:t>, Enforcement Bureau</w:t>
      </w:r>
      <w:r>
        <w:rPr>
          <w:spacing w:val="-2"/>
        </w:rPr>
        <w:t>:</w:t>
      </w:r>
    </w:p>
    <w:p w:rsidR="00822CE0">
      <w:pPr>
        <w:rPr>
          <w:spacing w:val="-2"/>
        </w:rPr>
      </w:pPr>
    </w:p>
    <w:p w:rsidR="002C00E8" w:rsidP="002C00E8">
      <w:pPr>
        <w:pStyle w:val="Heading1"/>
      </w:pPr>
      <w:r>
        <w:t>INTRODUCTION</w:t>
      </w:r>
    </w:p>
    <w:p w:rsidR="003A6C03" w:rsidRPr="003A6C03" w:rsidP="00D836CE">
      <w:pPr>
        <w:pStyle w:val="ParaNum"/>
      </w:pPr>
      <w:r>
        <w:t xml:space="preserve">We impose a penalty of $12,000 against </w:t>
      </w:r>
      <w:r>
        <w:t>Ondas</w:t>
      </w:r>
      <w:r>
        <w:t xml:space="preserve"> de Vida, Inc., (</w:t>
      </w:r>
      <w:r w:rsidR="00A15DD8">
        <w:t>OdV</w:t>
      </w:r>
      <w:r>
        <w:t>), the licensee of FM Translator Station K256BS, Palmdale, California (Station), for operating the Station at power levels that exceeded the values specified in the Station</w:t>
      </w:r>
      <w:r w:rsidR="00E924CF">
        <w:t>’</w:t>
      </w:r>
      <w:r>
        <w:t>s license and permitted under the Commission</w:t>
      </w:r>
      <w:r w:rsidR="00E924CF">
        <w:t>’</w:t>
      </w:r>
      <w:r>
        <w:t>s rules</w:t>
      </w:r>
      <w:r w:rsidR="00E376BC">
        <w:t>, in violation of the Communications Act of 1934, as amended (Act), and the Commission’s rules</w:t>
      </w:r>
      <w:r>
        <w:t xml:space="preserve">.  The Enforcement Bureau (Bureau) previously </w:t>
      </w:r>
      <w:r w:rsidRPr="003A6C03">
        <w:t>proposed a $</w:t>
      </w:r>
      <w:r>
        <w:t>1</w:t>
      </w:r>
      <w:r w:rsidRPr="003A6C03">
        <w:t xml:space="preserve">2,000 forfeiture against </w:t>
      </w:r>
      <w:r w:rsidR="00A15DD8">
        <w:t>OdV</w:t>
      </w:r>
      <w:r w:rsidR="003F4F31">
        <w:t xml:space="preserve"> on </w:t>
      </w:r>
      <w:r w:rsidR="00D41706">
        <w:t>April 27, 2017</w:t>
      </w:r>
      <w:r>
        <w:t>.</w:t>
      </w:r>
      <w:r>
        <w:rPr>
          <w:rStyle w:val="FootnoteReference"/>
        </w:rPr>
        <w:footnoteReference w:id="3"/>
      </w:r>
      <w:r>
        <w:t xml:space="preserve">  </w:t>
      </w:r>
      <w:r w:rsidRPr="003A6C03">
        <w:t>In response</w:t>
      </w:r>
      <w:r w:rsidR="00891DA5">
        <w:t xml:space="preserve">, </w:t>
      </w:r>
      <w:r w:rsidR="00A15DD8">
        <w:t>OdV</w:t>
      </w:r>
      <w:r>
        <w:t xml:space="preserve"> </w:t>
      </w:r>
      <w:r w:rsidR="00E924CF">
        <w:t xml:space="preserve">argues that the </w:t>
      </w:r>
      <w:r w:rsidR="00E924CF">
        <w:rPr>
          <w:i/>
        </w:rPr>
        <w:t xml:space="preserve">NAL </w:t>
      </w:r>
      <w:r w:rsidR="00E924CF">
        <w:t>is based on factual errors</w:t>
      </w:r>
      <w:r>
        <w:t>.</w:t>
      </w:r>
      <w:r>
        <w:rPr>
          <w:rStyle w:val="FootnoteReference"/>
        </w:rPr>
        <w:footnoteReference w:id="4"/>
      </w:r>
      <w:r w:rsidRPr="003A6C03">
        <w:t xml:space="preserve"> </w:t>
      </w:r>
      <w:r w:rsidR="00E924CF">
        <w:t xml:space="preserve"> </w:t>
      </w:r>
      <w:r w:rsidRPr="003A6C03">
        <w:rPr>
          <w:szCs w:val="22"/>
        </w:rPr>
        <w:t>After reviewing</w:t>
      </w:r>
      <w:r w:rsidR="008E095A">
        <w:rPr>
          <w:szCs w:val="22"/>
        </w:rPr>
        <w:t xml:space="preserve"> the </w:t>
      </w:r>
      <w:r w:rsidR="00891DA5">
        <w:rPr>
          <w:szCs w:val="22"/>
        </w:rPr>
        <w:t>NAL</w:t>
      </w:r>
      <w:r w:rsidR="00831B26">
        <w:t xml:space="preserve"> </w:t>
      </w:r>
      <w:r w:rsidR="008E095A">
        <w:rPr>
          <w:szCs w:val="22"/>
        </w:rPr>
        <w:t>Response</w:t>
      </w:r>
      <w:r w:rsidRPr="003A6C03">
        <w:rPr>
          <w:szCs w:val="22"/>
        </w:rPr>
        <w:t>, we find no reason to cancel, withdraw, or reduce the proposed penalty, and we therefore assess the $12,000 forfeiture the Bureau previously proposed.</w:t>
      </w:r>
    </w:p>
    <w:p w:rsidR="003A6C03" w:rsidRPr="003A6C03" w:rsidP="003A6C03">
      <w:pPr>
        <w:pStyle w:val="Heading1"/>
      </w:pPr>
      <w:r>
        <w:t>Back</w:t>
      </w:r>
      <w:r w:rsidR="00883427">
        <w:t>g</w:t>
      </w:r>
      <w:r>
        <w:t>round</w:t>
      </w:r>
    </w:p>
    <w:p w:rsidR="00E924CF" w:rsidP="00EE4FC1">
      <w:pPr>
        <w:pStyle w:val="ParaNum"/>
        <w:widowControl/>
      </w:pPr>
      <w:r>
        <w:t xml:space="preserve">On April 11, 2016, the Los Angeles Office issued a Notice of Violation advising </w:t>
      </w:r>
      <w:r w:rsidR="00A15DD8">
        <w:t>OdV</w:t>
      </w:r>
      <w:r>
        <w:t xml:space="preserve"> that its operation of the Station violated Section 1.903(a) of the Commission’s rules by operating with an </w:t>
      </w:r>
      <w:r w:rsidR="00D836CE">
        <w:t>effective radiated power (</w:t>
      </w:r>
      <w:r>
        <w:t>ERP</w:t>
      </w:r>
      <w:r w:rsidR="00D836CE">
        <w:t xml:space="preserve">) </w:t>
      </w:r>
      <w:r w:rsidR="00831B26">
        <w:t>exceeding</w:t>
      </w:r>
      <w:r>
        <w:t xml:space="preserve"> the value </w:t>
      </w:r>
      <w:r w:rsidR="00EE4FC1">
        <w:t>printed on</w:t>
      </w:r>
      <w:r>
        <w:t xml:space="preserve"> the Station’s license.</w:t>
      </w:r>
      <w:r>
        <w:rPr>
          <w:rStyle w:val="FootnoteReference"/>
        </w:rPr>
        <w:footnoteReference w:id="5"/>
      </w:r>
      <w:r>
        <w:t xml:space="preserve">  On April 29, 2016, </w:t>
      </w:r>
      <w:r w:rsidR="00A15DD8">
        <w:t>OdV</w:t>
      </w:r>
      <w:r>
        <w:t xml:space="preserve"> submitted a response to the NOV</w:t>
      </w:r>
      <w:r w:rsidR="00891DA5">
        <w:t>,</w:t>
      </w:r>
      <w:r>
        <w:t xml:space="preserve"> stat</w:t>
      </w:r>
      <w:r w:rsidR="00891DA5">
        <w:t>ing</w:t>
      </w:r>
      <w:r>
        <w:t xml:space="preserve"> that it had temporarily used a higher-power transmitter while </w:t>
      </w:r>
      <w:r w:rsidR="00831B26">
        <w:t>its</w:t>
      </w:r>
      <w:r>
        <w:t xml:space="preserve"> transmitter was out for repairs and further stat</w:t>
      </w:r>
      <w:r w:rsidR="00831B26">
        <w:t>ing</w:t>
      </w:r>
      <w:r>
        <w:t xml:space="preserve"> that “[w]e received the repaired transmitter in March and thanks to the help of the FCC inspector </w:t>
      </w:r>
      <w:r w:rsidRPr="00D836CE">
        <w:rPr>
          <w:i/>
        </w:rPr>
        <w:t>we are operating in full compliance with the FCC license</w:t>
      </w:r>
      <w:r>
        <w:t>.”</w:t>
      </w:r>
      <w:r>
        <w:rPr>
          <w:rStyle w:val="FootnoteReference"/>
        </w:rPr>
        <w:footnoteReference w:id="6"/>
      </w:r>
      <w:r>
        <w:t xml:space="preserve">  As stated in the </w:t>
      </w:r>
      <w:r w:rsidRPr="005274FB">
        <w:rPr>
          <w:i/>
        </w:rPr>
        <w:t>NAL</w:t>
      </w:r>
      <w:r>
        <w:t>, on May 10, 2016, the agent returned to the Station to verify the Station’s compliance with its licensed operating parameters.</w:t>
      </w:r>
      <w:r>
        <w:rPr>
          <w:rStyle w:val="FootnoteReference"/>
        </w:rPr>
        <w:footnoteReference w:id="7"/>
      </w:r>
      <w:r>
        <w:t xml:space="preserve"> </w:t>
      </w:r>
      <w:r w:rsidR="00D836CE">
        <w:t xml:space="preserve"> </w:t>
      </w:r>
      <w:r>
        <w:t xml:space="preserve">Upon </w:t>
      </w:r>
      <w:r w:rsidR="00676C00">
        <w:t>inspection</w:t>
      </w:r>
      <w:r>
        <w:t xml:space="preserve">, the agent determined that the Station’s transmitter continued to operate at a </w:t>
      </w:r>
      <w:r w:rsidR="00D836CE">
        <w:t>transmitter power output (</w:t>
      </w:r>
      <w:r>
        <w:t>TPO</w:t>
      </w:r>
      <w:r w:rsidR="00D836CE">
        <w:t>)</w:t>
      </w:r>
      <w:r>
        <w:t xml:space="preserve"> of 7.5 Watts, which, based </w:t>
      </w:r>
      <w:r>
        <w:t>on the agent’s calculations, yielded an ERP of 33.7 Watts</w:t>
      </w:r>
      <w:r w:rsidR="00A15DD8">
        <w:t xml:space="preserve">, both of which exceed the parameters </w:t>
      </w:r>
      <w:r w:rsidR="00EE4FC1">
        <w:t>printed on</w:t>
      </w:r>
      <w:r w:rsidR="00A15DD8">
        <w:t xml:space="preserve"> the Station’s license</w:t>
      </w:r>
      <w:r>
        <w:t>.</w:t>
      </w:r>
      <w:r>
        <w:rPr>
          <w:rStyle w:val="FootnoteReference"/>
        </w:rPr>
        <w:footnoteReference w:id="8"/>
      </w:r>
    </w:p>
    <w:p w:rsidR="00D836CE" w:rsidP="005274FB">
      <w:pPr>
        <w:pStyle w:val="ParaNum"/>
        <w:widowControl/>
      </w:pPr>
      <w:r>
        <w:t xml:space="preserve">On February 21 and 22, 2017, an agent returned to the Station and observed that </w:t>
      </w:r>
      <w:r w:rsidR="00C732D3">
        <w:t>it</w:t>
      </w:r>
      <w:r>
        <w:t xml:space="preserve"> was operating with a TPO that exceeded the value set forth in its license.</w:t>
      </w:r>
      <w:r>
        <w:rPr>
          <w:rStyle w:val="FootnoteReference"/>
        </w:rPr>
        <w:footnoteReference w:id="9"/>
      </w:r>
      <w:r>
        <w:t xml:space="preserve">  Accordingly, on April 27, 2017, the Bureau </w:t>
      </w:r>
      <w:r w:rsidR="00C732D3">
        <w:t xml:space="preserve">issued </w:t>
      </w:r>
      <w:r>
        <w:t xml:space="preserve">the </w:t>
      </w:r>
      <w:r w:rsidRPr="00DD534F">
        <w:rPr>
          <w:i/>
        </w:rPr>
        <w:t>NAL</w:t>
      </w:r>
      <w:r w:rsidR="00C732D3">
        <w:rPr>
          <w:i/>
        </w:rPr>
        <w:t>,</w:t>
      </w:r>
      <w:r>
        <w:t xml:space="preserve"> </w:t>
      </w:r>
      <w:r w:rsidR="00C732D3">
        <w:t>finding</w:t>
      </w:r>
      <w:r>
        <w:t xml:space="preserve"> that </w:t>
      </w:r>
      <w:r w:rsidR="00A15DD8">
        <w:t>OdV</w:t>
      </w:r>
      <w:r>
        <w:t xml:space="preserve"> had apparently violated </w:t>
      </w:r>
      <w:r w:rsidR="004C5175">
        <w:t xml:space="preserve">Section 301 of the Communications Act of 1934, as amended (Act) and </w:t>
      </w:r>
      <w:r>
        <w:t xml:space="preserve">Sections 1.903(a) and </w:t>
      </w:r>
      <w:r w:rsidR="00DD534F">
        <w:t>74.1235(e)</w:t>
      </w:r>
      <w:r>
        <w:t xml:space="preserve"> of the Commission’s rules and </w:t>
      </w:r>
      <w:r w:rsidR="00C732D3">
        <w:t xml:space="preserve">proposing </w:t>
      </w:r>
      <w:r>
        <w:t>a monetary forfeiture of $12,000.</w:t>
      </w:r>
      <w:r>
        <w:rPr>
          <w:rStyle w:val="FootnoteReference"/>
        </w:rPr>
        <w:footnoteReference w:id="10"/>
      </w:r>
      <w:r>
        <w:t xml:space="preserve"> </w:t>
      </w:r>
      <w:r>
        <w:t xml:space="preserve"> As described in the </w:t>
      </w:r>
      <w:r w:rsidRPr="002F097C">
        <w:rPr>
          <w:i/>
        </w:rPr>
        <w:t>NAL</w:t>
      </w:r>
      <w:r>
        <w:t xml:space="preserve">, an agent from the Los Angeles Office determined that the Station was operating with a TPO and an ERP exceeding the values specified in </w:t>
      </w:r>
      <w:r w:rsidR="00C732D3">
        <w:t>it</w:t>
      </w:r>
      <w:r>
        <w:t>s license (0.005 kW TPO and 0.010 kW ERP).</w:t>
      </w:r>
      <w:r>
        <w:rPr>
          <w:rStyle w:val="FootnoteReference"/>
        </w:rPr>
        <w:footnoteReference w:id="11"/>
      </w:r>
    </w:p>
    <w:p w:rsidR="003A6C03" w:rsidRPr="003A6C03" w:rsidP="00D836CE">
      <w:pPr>
        <w:pStyle w:val="ParaNum"/>
      </w:pPr>
      <w:r>
        <w:t xml:space="preserve">On May 25, 2017, </w:t>
      </w:r>
      <w:r w:rsidR="00A15DD8">
        <w:t>OdV</w:t>
      </w:r>
      <w:r>
        <w:t xml:space="preserve">, through counsel, filed a </w:t>
      </w:r>
      <w:r w:rsidR="00DD534F">
        <w:t>“</w:t>
      </w:r>
      <w:r>
        <w:t>Petition for Reconsideration</w:t>
      </w:r>
      <w:r w:rsidR="00DD534F">
        <w:t>”</w:t>
      </w:r>
      <w:r>
        <w:t xml:space="preserve"> of the </w:t>
      </w:r>
      <w:r w:rsidRPr="002F097C">
        <w:rPr>
          <w:i/>
        </w:rPr>
        <w:t>NAL</w:t>
      </w:r>
      <w:r w:rsidR="00C732D3">
        <w:t>,</w:t>
      </w:r>
      <w:r>
        <w:t xml:space="preserve"> in which it argued that the </w:t>
      </w:r>
      <w:r w:rsidR="00C732D3">
        <w:t xml:space="preserve">proposed </w:t>
      </w:r>
      <w:r>
        <w:t>forfeiture should be reduced or cancelled because</w:t>
      </w:r>
      <w:r w:rsidR="00141700">
        <w:t>:</w:t>
      </w:r>
      <w:r w:rsidR="009D548B">
        <w:t xml:space="preserve"> </w:t>
      </w:r>
      <w:r>
        <w:t>(</w:t>
      </w:r>
      <w:r w:rsidR="00141700">
        <w:t>a</w:t>
      </w:r>
      <w:r w:rsidR="002F097C">
        <w:t>) </w:t>
      </w:r>
      <w:r w:rsidR="00672152">
        <w:t>the Bureau should have provided notice of its May 10, 2016, measurements</w:t>
      </w:r>
      <w:r w:rsidRPr="00672152" w:rsidR="00C732D3">
        <w:t xml:space="preserve"> </w:t>
      </w:r>
      <w:r w:rsidR="00C732D3">
        <w:t>before issuing</w:t>
      </w:r>
      <w:r w:rsidR="00141700">
        <w:t xml:space="preserve"> </w:t>
      </w:r>
      <w:r w:rsidR="00141700">
        <w:t>OdV</w:t>
      </w:r>
      <w:r w:rsidR="00C732D3">
        <w:t xml:space="preserve"> the </w:t>
      </w:r>
      <w:r w:rsidR="00C732D3">
        <w:rPr>
          <w:i/>
        </w:rPr>
        <w:t>NAL</w:t>
      </w:r>
      <w:r w:rsidR="00672152">
        <w:t xml:space="preserve">; </w:t>
      </w:r>
      <w:r w:rsidR="009D548B">
        <w:t>(</w:t>
      </w:r>
      <w:r w:rsidR="00141700">
        <w:t>b</w:t>
      </w:r>
      <w:r w:rsidR="002F097C">
        <w:t>) </w:t>
      </w:r>
      <w:r w:rsidR="00144C1E">
        <w:t xml:space="preserve">the Station </w:t>
      </w:r>
      <w:r w:rsidR="00141700">
        <w:t xml:space="preserve">was entitled to operate </w:t>
      </w:r>
      <w:r w:rsidR="00144C1E">
        <w:t xml:space="preserve">at a higher TPO than specified on </w:t>
      </w:r>
      <w:r w:rsidR="00141700">
        <w:t>it</w:t>
      </w:r>
      <w:r w:rsidR="00144C1E">
        <w:t>s license to achieve its authorized ERP</w:t>
      </w:r>
      <w:r w:rsidR="00672152">
        <w:t>;</w:t>
      </w:r>
      <w:r w:rsidR="00144C1E">
        <w:t xml:space="preserve"> </w:t>
      </w:r>
      <w:r w:rsidR="009D548B">
        <w:t xml:space="preserve">and </w:t>
      </w:r>
      <w:r w:rsidR="00D836CE">
        <w:t>(</w:t>
      </w:r>
      <w:r w:rsidR="002F097C">
        <w:t>c) </w:t>
      </w:r>
      <w:r w:rsidR="00045D63">
        <w:t>OdV</w:t>
      </w:r>
      <w:r w:rsidR="00045D63">
        <w:t xml:space="preserve"> </w:t>
      </w:r>
      <w:r w:rsidR="00D836CE">
        <w:t>is a thinly-funded</w:t>
      </w:r>
      <w:r w:rsidR="00BE5DB6">
        <w:t>,</w:t>
      </w:r>
      <w:r w:rsidR="00D836CE">
        <w:t xml:space="preserve"> non-profit entity</w:t>
      </w:r>
      <w:r>
        <w:t>.</w:t>
      </w:r>
      <w:r>
        <w:rPr>
          <w:rStyle w:val="FootnoteReference"/>
        </w:rPr>
        <w:footnoteReference w:id="12"/>
      </w:r>
      <w:r>
        <w:t xml:space="preserve">  </w:t>
      </w:r>
    </w:p>
    <w:p w:rsidR="003A6C03" w:rsidRPr="003A6C03" w:rsidP="003A6C03">
      <w:pPr>
        <w:pStyle w:val="Heading1"/>
      </w:pPr>
      <w:r>
        <w:t>Discussion</w:t>
      </w:r>
    </w:p>
    <w:p w:rsidR="003A6C03" w:rsidRPr="00E924CF" w:rsidP="00E924CF">
      <w:pPr>
        <w:pStyle w:val="ParaNum"/>
      </w:pPr>
      <w:r w:rsidRPr="00344C0B">
        <w:t>The Bureau proposed a forfeiture in this case in accordance with Section 503(b) of the Communications Act of 1934, as amended (Act),</w:t>
      </w:r>
      <w:r>
        <w:rPr>
          <w:rStyle w:val="FootnoteReference"/>
        </w:rPr>
        <w:footnoteReference w:id="13"/>
      </w:r>
      <w:r w:rsidRPr="0007571D">
        <w:t xml:space="preserve"> Section 1.80 of the </w:t>
      </w:r>
      <w:r>
        <w:t>Commission’s r</w:t>
      </w:r>
      <w:r w:rsidRPr="0007571D">
        <w:t>ules,</w:t>
      </w:r>
      <w:r>
        <w:rPr>
          <w:vertAlign w:val="superscript"/>
        </w:rPr>
        <w:footnoteReference w:id="14"/>
      </w:r>
      <w:r w:rsidRPr="0007571D">
        <w:t xml:space="preserve"> and the Commissi</w:t>
      </w:r>
      <w:r w:rsidRPr="00344C0B">
        <w:t>on</w:t>
      </w:r>
      <w:r>
        <w:t>’</w:t>
      </w:r>
      <w:r w:rsidRPr="00344C0B">
        <w:t xml:space="preserve">s </w:t>
      </w:r>
      <w:r w:rsidRPr="00E924CF">
        <w:rPr>
          <w:i/>
        </w:rPr>
        <w:t xml:space="preserve">Forfeiture Policy </w:t>
      </w:r>
      <w:r w:rsidRPr="00E924CF">
        <w:rPr>
          <w:rFonts w:eastAsia="MS Mincho"/>
          <w:i/>
          <w:szCs w:val="22"/>
        </w:rPr>
        <w:t>Statement</w:t>
      </w:r>
      <w:r w:rsidRPr="00344C0B">
        <w:t>.</w:t>
      </w:r>
      <w:r>
        <w:rPr>
          <w:rStyle w:val="FootnoteReference"/>
          <w:szCs w:val="22"/>
        </w:rPr>
        <w:footnoteReference w:id="15"/>
      </w:r>
      <w:r w:rsidRPr="0007571D">
        <w:t xml:space="preserve">  </w:t>
      </w:r>
      <w:r w:rsidRPr="00344C0B">
        <w:t>When we assess forfeitures, Section 503(b)(2)(E)</w:t>
      </w:r>
      <w:r w:rsidR="00FE23A9">
        <w:t xml:space="preserve"> of the Act</w:t>
      </w:r>
      <w:r w:rsidRPr="00344C0B">
        <w:t xml:space="preserve">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6"/>
      </w:r>
      <w:r w:rsidRPr="0007571D">
        <w:t xml:space="preserve">  </w:t>
      </w:r>
      <w:r w:rsidRPr="00E924CF">
        <w:rPr>
          <w:szCs w:val="22"/>
        </w:rPr>
        <w:t xml:space="preserve">As discussed below, we have fully considered </w:t>
      </w:r>
      <w:r w:rsidR="00A15DD8">
        <w:rPr>
          <w:szCs w:val="22"/>
        </w:rPr>
        <w:t>OdV</w:t>
      </w:r>
      <w:r>
        <w:rPr>
          <w:szCs w:val="22"/>
        </w:rPr>
        <w:t>’s</w:t>
      </w:r>
      <w:r>
        <w:rPr>
          <w:szCs w:val="22"/>
        </w:rPr>
        <w:t xml:space="preserve"> </w:t>
      </w:r>
      <w:r w:rsidRPr="00E924CF">
        <w:rPr>
          <w:szCs w:val="22"/>
        </w:rPr>
        <w:t>response</w:t>
      </w:r>
      <w:r w:rsidR="00DD534F">
        <w:rPr>
          <w:szCs w:val="22"/>
        </w:rPr>
        <w:t>s</w:t>
      </w:r>
      <w:r w:rsidRPr="00E924CF">
        <w:rPr>
          <w:szCs w:val="22"/>
        </w:rPr>
        <w:t xml:space="preserve"> to the </w:t>
      </w:r>
      <w:r w:rsidRPr="00E924CF">
        <w:rPr>
          <w:i/>
          <w:szCs w:val="22"/>
        </w:rPr>
        <w:t>NAL</w:t>
      </w:r>
      <w:r w:rsidRPr="00E924CF">
        <w:rPr>
          <w:szCs w:val="22"/>
        </w:rPr>
        <w:t xml:space="preserve">, but find them </w:t>
      </w:r>
      <w:r w:rsidR="00045D63">
        <w:rPr>
          <w:szCs w:val="22"/>
        </w:rPr>
        <w:t>un</w:t>
      </w:r>
      <w:r w:rsidRPr="00E924CF">
        <w:rPr>
          <w:szCs w:val="22"/>
        </w:rPr>
        <w:t>persuasive.  We therefore affirm the $</w:t>
      </w:r>
      <w:r>
        <w:rPr>
          <w:szCs w:val="22"/>
        </w:rPr>
        <w:t>12,000</w:t>
      </w:r>
      <w:r w:rsidRPr="00E924CF">
        <w:rPr>
          <w:szCs w:val="22"/>
        </w:rPr>
        <w:t xml:space="preserve"> forfeiture proposed in the </w:t>
      </w:r>
      <w:r w:rsidRPr="00E924CF">
        <w:rPr>
          <w:i/>
          <w:szCs w:val="22"/>
        </w:rPr>
        <w:t>NAL.</w:t>
      </w:r>
    </w:p>
    <w:p w:rsidR="00E924CF" w:rsidP="00144C1E">
      <w:pPr>
        <w:pStyle w:val="Heading2"/>
      </w:pPr>
      <w:r>
        <w:t>OdV</w:t>
      </w:r>
      <w:r w:rsidR="00144C1E">
        <w:t xml:space="preserve"> Was Not Entitled to a Second NOV</w:t>
      </w:r>
    </w:p>
    <w:p w:rsidR="00144C1E" w:rsidP="00144C1E">
      <w:pPr>
        <w:pStyle w:val="ParaNum"/>
      </w:pPr>
      <w:r>
        <w:t>We reject</w:t>
      </w:r>
      <w:r>
        <w:t xml:space="preserve"> </w:t>
      </w:r>
      <w:r w:rsidR="00A15DD8">
        <w:t>OdV</w:t>
      </w:r>
      <w:r>
        <w:t>’s</w:t>
      </w:r>
      <w:r>
        <w:t xml:space="preserve"> assert</w:t>
      </w:r>
      <w:r>
        <w:t>ion</w:t>
      </w:r>
      <w:r>
        <w:t xml:space="preserve"> that the Bureau erred by issuing the </w:t>
      </w:r>
      <w:r w:rsidRPr="00144C1E">
        <w:rPr>
          <w:i/>
        </w:rPr>
        <w:t>NAL</w:t>
      </w:r>
      <w:r>
        <w:t xml:space="preserve"> without first issuing a second NOV to apprise </w:t>
      </w:r>
      <w:r w:rsidR="00A15DD8">
        <w:t>OdV</w:t>
      </w:r>
      <w:r>
        <w:t xml:space="preserve"> of the results of the agent’s May 1</w:t>
      </w:r>
      <w:r w:rsidR="00BE5DB6">
        <w:t>0</w:t>
      </w:r>
      <w:r>
        <w:t>, 2016</w:t>
      </w:r>
      <w:r w:rsidR="00045D63">
        <w:t>,</w:t>
      </w:r>
      <w:r>
        <w:t xml:space="preserve"> observation of the Station.</w:t>
      </w:r>
      <w:r>
        <w:rPr>
          <w:rStyle w:val="FootnoteReference"/>
        </w:rPr>
        <w:footnoteReference w:id="17"/>
      </w:r>
      <w:r>
        <w:t xml:space="preserve">  </w:t>
      </w:r>
      <w:r w:rsidR="00A15DD8">
        <w:t>OdV</w:t>
      </w:r>
      <w:r>
        <w:t xml:space="preserve"> states</w:t>
      </w:r>
      <w:r w:rsidR="00045D63">
        <w:t xml:space="preserve">: </w:t>
      </w:r>
      <w:r>
        <w:t>“[i]</w:t>
      </w:r>
      <w:r>
        <w:rPr>
          <w:snapToGrid/>
          <w:color w:val="020100"/>
          <w:kern w:val="0"/>
          <w:szCs w:val="22"/>
        </w:rPr>
        <w:t xml:space="preserve">t seems clear to </w:t>
      </w:r>
      <w:r w:rsidR="00A15DD8">
        <w:rPr>
          <w:snapToGrid/>
          <w:color w:val="020100"/>
          <w:kern w:val="0"/>
          <w:szCs w:val="22"/>
        </w:rPr>
        <w:t>[</w:t>
      </w:r>
      <w:r w:rsidR="00A15DD8">
        <w:rPr>
          <w:snapToGrid/>
          <w:color w:val="020100"/>
          <w:kern w:val="0"/>
          <w:szCs w:val="22"/>
        </w:rPr>
        <w:t>OdV</w:t>
      </w:r>
      <w:r w:rsidR="00A15DD8">
        <w:rPr>
          <w:snapToGrid/>
          <w:color w:val="020100"/>
          <w:kern w:val="0"/>
          <w:szCs w:val="22"/>
        </w:rPr>
        <w:t>]</w:t>
      </w:r>
      <w:r>
        <w:rPr>
          <w:snapToGrid/>
          <w:color w:val="020100"/>
          <w:kern w:val="0"/>
          <w:szCs w:val="22"/>
        </w:rPr>
        <w:t xml:space="preserve"> that the FCC agent had an obligation to notify it in the event he believed the </w:t>
      </w:r>
      <w:r w:rsidRPr="00144C1E">
        <w:rPr>
          <w:snapToGrid/>
          <w:color w:val="020100"/>
          <w:kern w:val="0"/>
          <w:szCs w:val="22"/>
        </w:rPr>
        <w:t xml:space="preserve">operation was non-compliant to allow </w:t>
      </w:r>
      <w:r w:rsidR="00A15DD8">
        <w:rPr>
          <w:snapToGrid/>
          <w:color w:val="020100"/>
          <w:kern w:val="0"/>
          <w:szCs w:val="22"/>
        </w:rPr>
        <w:t>[</w:t>
      </w:r>
      <w:r w:rsidR="00A15DD8">
        <w:rPr>
          <w:snapToGrid/>
          <w:color w:val="020100"/>
          <w:kern w:val="0"/>
          <w:szCs w:val="22"/>
        </w:rPr>
        <w:t>OdV</w:t>
      </w:r>
      <w:r w:rsidR="00A15DD8">
        <w:rPr>
          <w:snapToGrid/>
          <w:color w:val="020100"/>
          <w:kern w:val="0"/>
          <w:szCs w:val="22"/>
        </w:rPr>
        <w:t xml:space="preserve">] </w:t>
      </w:r>
      <w:r w:rsidRPr="00144C1E">
        <w:rPr>
          <w:snapToGrid/>
          <w:color w:val="020100"/>
          <w:kern w:val="0"/>
          <w:szCs w:val="22"/>
        </w:rPr>
        <w:t>to investigate and correct the situation.</w:t>
      </w:r>
      <w:r>
        <w:t>”</w:t>
      </w:r>
      <w:r>
        <w:rPr>
          <w:rStyle w:val="FootnoteReference"/>
        </w:rPr>
        <w:footnoteReference w:id="18"/>
      </w:r>
      <w:r>
        <w:t xml:space="preserve">  </w:t>
      </w:r>
      <w:r w:rsidR="00A15DD8">
        <w:t>OdV</w:t>
      </w:r>
      <w:r>
        <w:t xml:space="preserve"> cites no authority </w:t>
      </w:r>
      <w:r w:rsidR="00BE5DB6">
        <w:t>establishing such a</w:t>
      </w:r>
      <w:r>
        <w:t xml:space="preserve"> legal obligation.  </w:t>
      </w:r>
      <w:r w:rsidR="006B29F0">
        <w:t xml:space="preserve">Simply put, such obligation does not exist.  Rather, </w:t>
      </w:r>
      <w:r w:rsidR="00534B44">
        <w:t xml:space="preserve">issuance of the </w:t>
      </w:r>
      <w:r w:rsidRPr="00BE5DB6" w:rsidR="00534B44">
        <w:rPr>
          <w:i/>
        </w:rPr>
        <w:t>NAL</w:t>
      </w:r>
      <w:r w:rsidR="00534B44">
        <w:t xml:space="preserve"> </w:t>
      </w:r>
      <w:r w:rsidR="00BE5DB6">
        <w:t xml:space="preserve">in response to </w:t>
      </w:r>
      <w:r w:rsidR="00BE5DB6">
        <w:t>OdV’s</w:t>
      </w:r>
      <w:r w:rsidR="00BE5DB6">
        <w:t xml:space="preserve"> failure to correct the violations specified in the NOV </w:t>
      </w:r>
      <w:r w:rsidR="00534B44">
        <w:t>was consistent both with the Commission’s rules</w:t>
      </w:r>
      <w:r>
        <w:rPr>
          <w:rStyle w:val="FootnoteReference"/>
        </w:rPr>
        <w:footnoteReference w:id="19"/>
      </w:r>
      <w:r w:rsidR="00534B44">
        <w:t xml:space="preserve"> and Bureau precedent.</w:t>
      </w:r>
      <w:r>
        <w:rPr>
          <w:rStyle w:val="FootnoteReference"/>
        </w:rPr>
        <w:footnoteReference w:id="20"/>
      </w:r>
      <w:r w:rsidR="00534B44">
        <w:t xml:space="preserve">  </w:t>
      </w:r>
      <w:r w:rsidR="006B29F0">
        <w:t xml:space="preserve">Indeed, we were not required to issue an NOV at all, let alone a second NOV, prior to issuing the </w:t>
      </w:r>
      <w:r w:rsidRPr="008E4B70" w:rsidR="006B29F0">
        <w:rPr>
          <w:i/>
        </w:rPr>
        <w:t>NAL</w:t>
      </w:r>
      <w:r w:rsidR="006B29F0">
        <w:t>.</w:t>
      </w:r>
      <w:r>
        <w:rPr>
          <w:rStyle w:val="FootnoteReference"/>
        </w:rPr>
        <w:footnoteReference w:id="21"/>
      </w:r>
    </w:p>
    <w:p w:rsidR="002F097C" w:rsidP="00144C1E">
      <w:pPr>
        <w:pStyle w:val="ParaNum"/>
      </w:pPr>
      <w:r>
        <w:t xml:space="preserve">We likewise reject the argument that, because it lacked notice of the </w:t>
      </w:r>
      <w:r w:rsidR="004D37F1">
        <w:t>Bureau’s</w:t>
      </w:r>
      <w:r>
        <w:t xml:space="preserve"> February 21, 2017, measurement of TPO and calculation of ERP, </w:t>
      </w:r>
      <w:r>
        <w:t>OdV’s</w:t>
      </w:r>
      <w:r>
        <w:t xml:space="preserve"> conduct cannot be considered “willful” under Section 503(b)(3).</w:t>
      </w:r>
      <w:r>
        <w:rPr>
          <w:rStyle w:val="FootnoteReference"/>
        </w:rPr>
        <w:footnoteReference w:id="22"/>
      </w:r>
      <w:r>
        <w:t xml:space="preserve">  </w:t>
      </w:r>
      <w:r w:rsidR="008552AB">
        <w:t xml:space="preserve">This argument is inconsistent with both the </w:t>
      </w:r>
      <w:r w:rsidR="008552AB">
        <w:rPr>
          <w:i/>
        </w:rPr>
        <w:t>NAL</w:t>
      </w:r>
      <w:r w:rsidR="008552AB">
        <w:t xml:space="preserve"> and the statute.  In the </w:t>
      </w:r>
      <w:r w:rsidR="008552AB">
        <w:rPr>
          <w:i/>
        </w:rPr>
        <w:t>NAL</w:t>
      </w:r>
      <w:r w:rsidR="008552AB">
        <w:t xml:space="preserve">, </w:t>
      </w:r>
      <w:r>
        <w:t>the Bureau expressly states that, for purposes of the February 21, 2017, observations</w:t>
      </w:r>
      <w:r w:rsidR="008552AB">
        <w:t>,</w:t>
      </w:r>
      <w:r>
        <w:t xml:space="preserve"> we “rely on the evidence collected . . . . only for our conclusion that </w:t>
      </w:r>
      <w:r>
        <w:t>OdV</w:t>
      </w:r>
      <w:r>
        <w:t xml:space="preserve"> appears to have exceeded the applicable TPO limit.”</w:t>
      </w:r>
      <w:r>
        <w:rPr>
          <w:rStyle w:val="FootnoteReference"/>
        </w:rPr>
        <w:footnoteReference w:id="23"/>
      </w:r>
      <w:r>
        <w:t xml:space="preserve">  Moreover, the Bureau calculated the proposed forfeiture based on operating power levels that exceeded </w:t>
      </w:r>
      <w:r>
        <w:rPr>
          <w:i/>
        </w:rPr>
        <w:t>either</w:t>
      </w:r>
      <w:r>
        <w:t xml:space="preserve"> the TPO or the ERP specified in the Station’s license.</w:t>
      </w:r>
      <w:r>
        <w:rPr>
          <w:rStyle w:val="FootnoteReference"/>
        </w:rPr>
        <w:footnoteReference w:id="24"/>
      </w:r>
      <w:r>
        <w:t xml:space="preserve">  </w:t>
      </w:r>
      <w:r w:rsidR="004D37F1">
        <w:t xml:space="preserve">In this context, </w:t>
      </w:r>
      <w:r w:rsidR="008E4B70">
        <w:t xml:space="preserve">prior </w:t>
      </w:r>
      <w:r w:rsidR="004D37F1">
        <w:t xml:space="preserve">notice of the Bureau’s calculation of ERP </w:t>
      </w:r>
      <w:r w:rsidR="008552AB">
        <w:t xml:space="preserve">is not what made </w:t>
      </w:r>
      <w:r w:rsidR="008552AB">
        <w:t>OdV’s</w:t>
      </w:r>
      <w:r w:rsidR="008552AB">
        <w:t xml:space="preserve"> behavior willful.  Rather</w:t>
      </w:r>
      <w:r w:rsidR="004D37F1">
        <w:t xml:space="preserve">, </w:t>
      </w:r>
      <w:r w:rsidR="008552AB">
        <w:t>it was</w:t>
      </w:r>
      <w:r w:rsidR="004D37F1">
        <w:t xml:space="preserve"> </w:t>
      </w:r>
      <w:r w:rsidR="004D37F1">
        <w:t>OdV’s</w:t>
      </w:r>
      <w:r w:rsidR="004D37F1">
        <w:t xml:space="preserve"> decision to set its transmitter to operate with a TPO of 7.5 Watts</w:t>
      </w:r>
      <w:r w:rsidR="008552AB">
        <w:t xml:space="preserve"> that was “willful”</w:t>
      </w:r>
      <w:r w:rsidR="000E221D">
        <w:t>—</w:t>
      </w:r>
      <w:r w:rsidR="008552AB">
        <w:t xml:space="preserve">and, thus, </w:t>
      </w:r>
      <w:r w:rsidR="000E221D">
        <w:t>the basis for the forfeiture—</w:t>
      </w:r>
      <w:r w:rsidR="008552AB">
        <w:t xml:space="preserve">under </w:t>
      </w:r>
      <w:r w:rsidR="004D37F1">
        <w:t>Section 503(b)(3) of the Act.</w:t>
      </w:r>
      <w:r>
        <w:rPr>
          <w:rStyle w:val="FootnoteReference"/>
        </w:rPr>
        <w:footnoteReference w:id="25"/>
      </w:r>
      <w:r w:rsidR="004D37F1">
        <w:t xml:space="preserve">  </w:t>
      </w:r>
    </w:p>
    <w:p w:rsidR="00144C1E" w:rsidP="00144C1E">
      <w:pPr>
        <w:pStyle w:val="Heading2"/>
      </w:pPr>
      <w:r>
        <w:t>OdV</w:t>
      </w:r>
      <w:r>
        <w:t xml:space="preserve"> Was Required to </w:t>
      </w:r>
      <w:r w:rsidR="00EC27F2">
        <w:t xml:space="preserve">Obtain Authority </w:t>
      </w:r>
      <w:r>
        <w:t>to Operate at an Increased TPO.</w:t>
      </w:r>
      <w:r>
        <w:t xml:space="preserve"> </w:t>
      </w:r>
    </w:p>
    <w:p w:rsidR="00EC27F2" w:rsidP="00672152">
      <w:pPr>
        <w:pStyle w:val="ParaNum"/>
      </w:pPr>
      <w:r>
        <w:t xml:space="preserve">We reject </w:t>
      </w:r>
      <w:r w:rsidR="00A15DD8">
        <w:t>OdV</w:t>
      </w:r>
      <w:r>
        <w:t>’s</w:t>
      </w:r>
      <w:r w:rsidR="00534B44">
        <w:t xml:space="preserve"> assert</w:t>
      </w:r>
      <w:r>
        <w:t>ion</w:t>
      </w:r>
      <w:r w:rsidR="00534B44">
        <w:t xml:space="preserve"> that its operation at a TPO of 7.5 W</w:t>
      </w:r>
      <w:r w:rsidR="00234D53">
        <w:t>atts</w:t>
      </w:r>
      <w:r w:rsidR="00534B44">
        <w:t>, rather than its authorized TPO of 5.0 W</w:t>
      </w:r>
      <w:r w:rsidR="00234D53">
        <w:t>atts</w:t>
      </w:r>
      <w:r w:rsidR="00BE5DB6">
        <w:t>,</w:t>
      </w:r>
      <w:r w:rsidR="00534B44">
        <w:t xml:space="preserve"> was appropriate because “</w:t>
      </w:r>
      <w:r w:rsidR="00A15DD8">
        <w:t>[</w:t>
      </w:r>
      <w:r w:rsidR="00A15DD8">
        <w:t>OdV</w:t>
      </w:r>
      <w:r w:rsidR="00A15DD8">
        <w:t>]</w:t>
      </w:r>
      <w:r w:rsidR="00534B44">
        <w:rPr>
          <w:snapToGrid/>
        </w:rPr>
        <w:t xml:space="preserve"> believed in good faith that the TPO of 7.5 </w:t>
      </w:r>
      <w:r w:rsidR="00234D53">
        <w:rPr>
          <w:snapToGrid/>
        </w:rPr>
        <w:t>[W]</w:t>
      </w:r>
      <w:r w:rsidR="00534B44">
        <w:rPr>
          <w:snapToGrid/>
        </w:rPr>
        <w:t>atts</w:t>
      </w:r>
      <w:r w:rsidR="00534B44">
        <w:rPr>
          <w:snapToGrid/>
        </w:rPr>
        <w:t xml:space="preserve"> was necessary due to the damage to the antenna to achieve the authorized ERP of 10 </w:t>
      </w:r>
      <w:r w:rsidR="00234D53">
        <w:rPr>
          <w:snapToGrid/>
        </w:rPr>
        <w:t>[W]</w:t>
      </w:r>
      <w:r w:rsidR="00534B44">
        <w:rPr>
          <w:snapToGrid/>
        </w:rPr>
        <w:t>atts</w:t>
      </w:r>
      <w:r w:rsidR="00534B44">
        <w:rPr>
          <w:snapToGrid/>
        </w:rPr>
        <w:t xml:space="preserve"> and it had not been informed to the contrary by the FCC agent following his May 10, </w:t>
      </w:r>
      <w:r w:rsidRPr="00534B44" w:rsidR="00534B44">
        <w:rPr>
          <w:snapToGrid/>
        </w:rPr>
        <w:t>2016 visit.</w:t>
      </w:r>
      <w:r w:rsidR="00534B44">
        <w:t>”</w:t>
      </w:r>
      <w:r>
        <w:rPr>
          <w:rStyle w:val="FootnoteReference"/>
        </w:rPr>
        <w:footnoteReference w:id="26"/>
      </w:r>
      <w:r w:rsidR="00534B44">
        <w:t xml:space="preserve">  </w:t>
      </w:r>
      <w:r>
        <w:t>OdV’s</w:t>
      </w:r>
      <w:r>
        <w:t xml:space="preserve"> </w:t>
      </w:r>
      <w:r w:rsidR="00534B44">
        <w:t xml:space="preserve">assertion is flawed in two respects.  First, </w:t>
      </w:r>
      <w:r w:rsidR="00672152">
        <w:t>the “</w:t>
      </w:r>
      <w:r w:rsidRPr="00672152" w:rsidR="00672152">
        <w:t xml:space="preserve">responsibility for compliance with the terms of </w:t>
      </w:r>
      <w:r w:rsidR="00672152">
        <w:t xml:space="preserve">[a station’s] </w:t>
      </w:r>
      <w:r w:rsidRPr="00672152" w:rsidR="00672152">
        <w:t>license rests solely and exclusively with the licensee</w:t>
      </w:r>
      <w:r w:rsidR="00672152">
        <w:t>.”</w:t>
      </w:r>
      <w:r>
        <w:rPr>
          <w:rStyle w:val="FootnoteReference"/>
        </w:rPr>
        <w:footnoteReference w:id="27"/>
      </w:r>
      <w:r w:rsidR="00672152">
        <w:t xml:space="preserve">  Thus, </w:t>
      </w:r>
      <w:r w:rsidR="00A15DD8">
        <w:t>OdV</w:t>
      </w:r>
      <w:r>
        <w:t>’s</w:t>
      </w:r>
      <w:r>
        <w:t xml:space="preserve"> obligation to operate the Station at its authorized TPO is independent of any notice from the Commission.  Second, Section 74.1235(e) obligates </w:t>
      </w:r>
      <w:r w:rsidR="00A15DD8">
        <w:t>OdV</w:t>
      </w:r>
      <w:r>
        <w:t xml:space="preserve"> to operate the Station </w:t>
      </w:r>
      <w:r w:rsidR="00FB6405">
        <w:t xml:space="preserve">at </w:t>
      </w:r>
      <w:r>
        <w:t>a TPO that does not exceed 105% of the Station’s authorized TPO.</w:t>
      </w:r>
      <w:r>
        <w:rPr>
          <w:rStyle w:val="FootnoteReference"/>
        </w:rPr>
        <w:footnoteReference w:id="28"/>
      </w:r>
      <w:r>
        <w:t xml:space="preserve">  </w:t>
      </w:r>
      <w:r w:rsidR="00FB6405">
        <w:t>However, t</w:t>
      </w:r>
      <w:r w:rsidR="00234D53">
        <w:t xml:space="preserve">he agent observed </w:t>
      </w:r>
      <w:r w:rsidR="00234D53">
        <w:t>OdV</w:t>
      </w:r>
      <w:r w:rsidR="00234D53">
        <w:t xml:space="preserve"> operating the </w:t>
      </w:r>
      <w:r>
        <w:t xml:space="preserve">Station at 150% of its authorized TPO.  To the extent that </w:t>
      </w:r>
      <w:r w:rsidR="00A15DD8">
        <w:t>OdV</w:t>
      </w:r>
      <w:r>
        <w:t xml:space="preserve"> believed that it needed to operate the Station with a TPO of 7.5 W</w:t>
      </w:r>
      <w:r w:rsidR="00234D53">
        <w:t>atts</w:t>
      </w:r>
      <w:r>
        <w:t xml:space="preserve"> to achieve its authorized ERP,</w:t>
      </w:r>
      <w:r>
        <w:rPr>
          <w:rStyle w:val="FootnoteReference"/>
        </w:rPr>
        <w:footnoteReference w:id="29"/>
      </w:r>
      <w:r>
        <w:t xml:space="preserve"> </w:t>
      </w:r>
      <w:r w:rsidR="00FB6405">
        <w:t>OdV</w:t>
      </w:r>
      <w:r w:rsidR="00FB6405">
        <w:t xml:space="preserve"> </w:t>
      </w:r>
      <w:r>
        <w:t>should have either sought a modification of the Station’s license or</w:t>
      </w:r>
      <w:r w:rsidR="005A496A">
        <w:t xml:space="preserve"> requested</w:t>
      </w:r>
      <w:r>
        <w:t xml:space="preserve"> special temporary authority to operate at an increased TPO.  </w:t>
      </w:r>
      <w:r w:rsidR="005A496A">
        <w:t>I</w:t>
      </w:r>
      <w:r>
        <w:t xml:space="preserve">t did </w:t>
      </w:r>
      <w:r>
        <w:t>neither</w:t>
      </w:r>
      <w:r>
        <w:t xml:space="preserve">.  </w:t>
      </w:r>
      <w:r w:rsidR="00004BFA">
        <w:t xml:space="preserve">We therefore reject </w:t>
      </w:r>
      <w:r w:rsidR="00A15DD8">
        <w:t>OdV</w:t>
      </w:r>
      <w:r w:rsidR="00004BFA">
        <w:t>’s</w:t>
      </w:r>
      <w:r w:rsidR="00004BFA">
        <w:t xml:space="preserve"> assertion that, </w:t>
      </w:r>
      <w:r w:rsidR="005A496A">
        <w:t>absent</w:t>
      </w:r>
      <w:r w:rsidR="00004BFA">
        <w:t xml:space="preserve"> authorization from the Commission, it is entitled to operate the Station with a TPO that exceeds 105% of its authorized TPO.</w:t>
      </w:r>
    </w:p>
    <w:p w:rsidR="00144C1E" w:rsidP="00144C1E">
      <w:pPr>
        <w:pStyle w:val="Heading2"/>
      </w:pPr>
      <w:r>
        <w:t>OdV</w:t>
      </w:r>
      <w:r>
        <w:t xml:space="preserve"> Provides No Basis to Reduce the Forfeiture </w:t>
      </w:r>
      <w:r>
        <w:t>on the Basis of</w:t>
      </w:r>
      <w:r>
        <w:t xml:space="preserve"> its Inability to Pay.</w:t>
      </w:r>
    </w:p>
    <w:p w:rsidR="00144C1E" w:rsidRPr="00144C1E" w:rsidP="007B75A8">
      <w:pPr>
        <w:pStyle w:val="ParaNum"/>
        <w:widowControl/>
      </w:pPr>
      <w:r>
        <w:t xml:space="preserve">In the NAL Response, </w:t>
      </w:r>
      <w:r w:rsidR="00A15DD8">
        <w:t>OdV</w:t>
      </w:r>
      <w:r>
        <w:t xml:space="preserve"> states that it “relies entirely upon public support” to operate the Station</w:t>
      </w:r>
      <w:r w:rsidR="00327E9F">
        <w:t>,</w:t>
      </w:r>
      <w:r>
        <w:t xml:space="preserve"> and that “it has been a financial struggle for </w:t>
      </w:r>
      <w:r w:rsidR="00BE5DB6">
        <w:t>[</w:t>
      </w:r>
      <w:r w:rsidR="00BE5DB6">
        <w:t>OdV</w:t>
      </w:r>
      <w:r w:rsidR="00BE5DB6">
        <w:t>]</w:t>
      </w:r>
      <w:r>
        <w:t xml:space="preserve"> to operate” the Station.</w:t>
      </w:r>
      <w:r>
        <w:rPr>
          <w:rStyle w:val="FootnoteReference"/>
        </w:rPr>
        <w:footnoteReference w:id="30"/>
      </w:r>
      <w:r>
        <w:t xml:space="preserve">  The </w:t>
      </w:r>
      <w:r w:rsidRPr="002F097C">
        <w:rPr>
          <w:i/>
        </w:rPr>
        <w:t>NAL</w:t>
      </w:r>
      <w:r>
        <w:t xml:space="preserve"> states that, in order for the Commission to consider a request to reduce or cancel a </w:t>
      </w:r>
      <w:r w:rsidR="00BE5DB6">
        <w:t>proposed</w:t>
      </w:r>
      <w:r>
        <w:t xml:space="preserve"> forfeiture, </w:t>
      </w:r>
      <w:r>
        <w:t>OdV</w:t>
      </w:r>
      <w:r>
        <w:t xml:space="preserve"> must submit certain </w:t>
      </w:r>
      <w:r w:rsidR="00BE5DB6">
        <w:t>financial</w:t>
      </w:r>
      <w:r>
        <w:t xml:space="preserve"> documentation to demonstrate its inability to pay.  </w:t>
      </w:r>
      <w:r w:rsidR="006B29F0">
        <w:t xml:space="preserve">Here, </w:t>
      </w:r>
      <w:r w:rsidR="007B75A8">
        <w:t>OdV</w:t>
      </w:r>
      <w:r w:rsidR="007B75A8">
        <w:t xml:space="preserve"> provided no financial documentation to support its statements about its financial condition.  Accordingly, we find no basis to reduce the forfeiture.</w:t>
      </w:r>
    </w:p>
    <w:p w:rsidR="003A6C03" w:rsidRPr="003A6C03" w:rsidP="003A6C03">
      <w:pPr>
        <w:pStyle w:val="Heading1"/>
      </w:pPr>
      <w:r>
        <w:t>Conclusion</w:t>
      </w:r>
      <w:r>
        <w:t xml:space="preserve"> </w:t>
      </w:r>
    </w:p>
    <w:p w:rsidR="003A6C03" w:rsidRPr="003A6C03" w:rsidP="00D836CE">
      <w:pPr>
        <w:pStyle w:val="ParaNum"/>
      </w:pPr>
      <w:r w:rsidRPr="00344C0B">
        <w:t xml:space="preserve">Based on the record before us and </w:t>
      </w:r>
      <w:r w:rsidRPr="00344C0B">
        <w:t>in light of</w:t>
      </w:r>
      <w:r w:rsidRPr="00344C0B">
        <w:t xml:space="preserve"> the applicable statutory factors, we </w:t>
      </w:r>
      <w:r>
        <w:t>conclude</w:t>
      </w:r>
      <w:r w:rsidRPr="00344C0B">
        <w:t xml:space="preserve"> that </w:t>
      </w:r>
      <w:r w:rsidR="007B75A8">
        <w:t>OdV</w:t>
      </w:r>
      <w:r w:rsidRPr="0007571D">
        <w:t xml:space="preserve"> willfully and repeatedly violated </w:t>
      </w:r>
      <w:r w:rsidR="004C5175">
        <w:t xml:space="preserve">Section 301 of the Act and </w:t>
      </w:r>
      <w:r w:rsidR="007B75A8">
        <w:t xml:space="preserve">Sections 1.903(a) and 74.1235(e) of the </w:t>
      </w:r>
      <w:r w:rsidR="004C5175">
        <w:t xml:space="preserve">Commission’s rules </w:t>
      </w:r>
      <w:r w:rsidRPr="0007571D">
        <w:t xml:space="preserve">by </w:t>
      </w:r>
      <w:r w:rsidR="007B75A8">
        <w:t xml:space="preserve">operating the Station at power levels in excess of its authorization.  </w:t>
      </w:r>
      <w:r w:rsidRPr="0007571D">
        <w:t>We decline to cancel or reduce the</w:t>
      </w:r>
      <w:r>
        <w:t xml:space="preserve"> </w:t>
      </w:r>
      <w:r w:rsidRPr="0007571D">
        <w:t>$</w:t>
      </w:r>
      <w:r w:rsidR="007B75A8">
        <w:t>12,000</w:t>
      </w:r>
      <w:r w:rsidRPr="00A020A9">
        <w:t xml:space="preserve"> </w:t>
      </w:r>
      <w:r>
        <w:t xml:space="preserve">forfeiture </w:t>
      </w:r>
      <w:r w:rsidRPr="00A020A9">
        <w:t xml:space="preserve">proposed in the </w:t>
      </w:r>
      <w:r w:rsidRPr="00C138D9">
        <w:rPr>
          <w:i/>
        </w:rPr>
        <w:t>NAL</w:t>
      </w:r>
      <w:r w:rsidRPr="00A020A9">
        <w:t xml:space="preserve">.   </w:t>
      </w:r>
    </w:p>
    <w:p w:rsidR="003A6C03" w:rsidRPr="003A6C03" w:rsidP="003A6C03">
      <w:pPr>
        <w:pStyle w:val="Heading1"/>
      </w:pPr>
      <w:r>
        <w:t>Ordering Clauses</w:t>
      </w:r>
    </w:p>
    <w:p w:rsidR="003A6C03" w:rsidRPr="009A2403" w:rsidP="00D836CE">
      <w:pPr>
        <w:pStyle w:val="ParaNum"/>
      </w:pPr>
      <w:r w:rsidRPr="00344C0B">
        <w:t xml:space="preserve">Accordingly, </w:t>
      </w:r>
      <w:r w:rsidRPr="00344C0B">
        <w:rPr>
          <w:b/>
        </w:rPr>
        <w:t>IT IS ORDERED</w:t>
      </w:r>
      <w:r>
        <w:rPr>
          <w:b/>
        </w:rPr>
        <w:t xml:space="preserve"> </w:t>
      </w:r>
      <w:r>
        <w:t>that</w:t>
      </w:r>
      <w:r w:rsidRPr="00344C0B">
        <w:t>, pursuant to Section 503(b) of the</w:t>
      </w:r>
      <w:r>
        <w:t xml:space="preserve"> Act</w:t>
      </w:r>
      <w:r w:rsidRPr="00344C0B">
        <w:t>,</w:t>
      </w:r>
      <w:r>
        <w:rPr>
          <w:rStyle w:val="FootnoteReference"/>
        </w:rPr>
        <w:footnoteReference w:id="31"/>
      </w:r>
      <w:r w:rsidRPr="0007571D">
        <w:t xml:space="preserve"> and Section 1.80 of the </w:t>
      </w:r>
      <w:r w:rsidR="004C5175">
        <w:t>Commission’s r</w:t>
      </w:r>
      <w:r w:rsidRPr="0007571D">
        <w:t>ules,</w:t>
      </w:r>
      <w:r>
        <w:rPr>
          <w:rStyle w:val="FootnoteReference"/>
        </w:rPr>
        <w:footnoteReference w:id="32"/>
      </w:r>
      <w:r w:rsidRPr="0007571D">
        <w:t xml:space="preserve"> </w:t>
      </w:r>
      <w:r>
        <w:t>Ondas</w:t>
      </w:r>
      <w:r>
        <w:t xml:space="preserve"> de Vida, Inc., </w:t>
      </w:r>
      <w:r w:rsidRPr="0007571D">
        <w:rPr>
          <w:b/>
        </w:rPr>
        <w:t>IS LIABLE FOR A MONETARY FORFEITURE</w:t>
      </w:r>
      <w:r w:rsidRPr="009A2403">
        <w:t xml:space="preserve"> in the amount of </w:t>
      </w:r>
      <w:r>
        <w:t>Twelve Thousand Dollars ($12,000)</w:t>
      </w:r>
      <w:r w:rsidRPr="0007571D">
        <w:t xml:space="preserve"> for willfully </w:t>
      </w:r>
      <w:r>
        <w:t xml:space="preserve">and repeatedly </w:t>
      </w:r>
      <w:r w:rsidRPr="0007571D">
        <w:t xml:space="preserve">violating </w:t>
      </w:r>
      <w:r w:rsidR="004C5175">
        <w:t xml:space="preserve">Section 301 of the Act and </w:t>
      </w:r>
      <w:r w:rsidR="007B75A8">
        <w:t>Sections 1.903(a) and 74.1235(e) of the Commission’s rules.</w:t>
      </w:r>
      <w:r>
        <w:rPr>
          <w:rStyle w:val="FootnoteReference"/>
        </w:rPr>
        <w:footnoteReference w:id="33"/>
      </w:r>
    </w:p>
    <w:p w:rsidR="003A6C03" w:rsidRPr="00344C0B" w:rsidP="00D836CE">
      <w:pPr>
        <w:pStyle w:val="ParaNum"/>
      </w:pPr>
      <w:r w:rsidRPr="00344C0B">
        <w:t xml:space="preserve">Payment of the forfeiture shall be made in the manner provided for in Section 1.80 of the </w:t>
      </w:r>
      <w:r w:rsidR="007B75A8">
        <w:t>Commission’s r</w:t>
      </w:r>
      <w:r w:rsidRPr="00344C0B">
        <w:t xml:space="preserve">ules within </w:t>
      </w:r>
      <w:r>
        <w:t>thirty (30</w:t>
      </w:r>
      <w:r w:rsidRPr="00344C0B">
        <w:t>) calendar days after the release of this Forfeiture Order.</w:t>
      </w:r>
      <w:r>
        <w:rPr>
          <w:rStyle w:val="FootnoteReference"/>
        </w:rPr>
        <w:footnoteReference w:id="34"/>
      </w:r>
      <w:r w:rsidRPr="0007571D">
        <w:t xml:space="preserve">  If the forfeiture is not paid within the period specified, the case may be referred to the U.S. Department of Justice for enforcement of the forfeiture pursuant to Section 504(a) of the Act.</w:t>
      </w:r>
      <w:r>
        <w:rPr>
          <w:rStyle w:val="FootnoteReference"/>
        </w:rPr>
        <w:footnoteReference w:id="35"/>
      </w:r>
      <w:r w:rsidRPr="0007571D">
        <w:t xml:space="preserve">  </w:t>
      </w:r>
    </w:p>
    <w:p w:rsidR="003A6C03" w:rsidRPr="00344C0B" w:rsidP="00D836CE">
      <w:pPr>
        <w:pStyle w:val="ParaNum"/>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Pr>
          <w:szCs w:val="22"/>
        </w:rPr>
        <w:t>Ondas</w:t>
      </w:r>
      <w:r>
        <w:rPr>
          <w:szCs w:val="22"/>
        </w:rPr>
        <w:t xml:space="preserve"> de Vida, Inc., </w:t>
      </w:r>
      <w:r w:rsidRPr="006D73F2">
        <w:rPr>
          <w:szCs w:val="22"/>
        </w:rPr>
        <w:t xml:space="preserve">shall send electronic notification </w:t>
      </w:r>
      <w:r>
        <w:rPr>
          <w:szCs w:val="22"/>
        </w:rPr>
        <w:t xml:space="preserve">of </w:t>
      </w:r>
      <w:r w:rsidRPr="006D73F2">
        <w:rPr>
          <w:szCs w:val="22"/>
        </w:rPr>
        <w:t xml:space="preserve">payment to </w:t>
      </w:r>
      <w:r>
        <w:rPr>
          <w:szCs w:val="22"/>
        </w:rPr>
        <w:t xml:space="preserve">Matthew L. Gibson </w:t>
      </w:r>
      <w:r w:rsidRPr="006D73F2">
        <w:rPr>
          <w:szCs w:val="22"/>
        </w:rPr>
        <w:t xml:space="preserve">at </w:t>
      </w:r>
      <w:r>
        <w:fldChar w:fldCharType="begin"/>
      </w:r>
      <w:r>
        <w:instrText xml:space="preserve"> HYPERLINK "mailto:matthew.gibson@fcc.gov" </w:instrText>
      </w:r>
      <w:r>
        <w:fldChar w:fldCharType="separate"/>
      </w:r>
      <w:r w:rsidRPr="00641FD7">
        <w:rPr>
          <w:rStyle w:val="Hyperlink"/>
          <w:szCs w:val="22"/>
        </w:rPr>
        <w:t>matthew.gibson@fcc.gov</w:t>
      </w:r>
      <w:r>
        <w:fldChar w:fldCharType="end"/>
      </w:r>
      <w:r>
        <w:rPr>
          <w:szCs w:val="22"/>
        </w:rPr>
        <w:t xml:space="preserve">, with a copy to </w:t>
      </w:r>
      <w:r>
        <w:fldChar w:fldCharType="begin"/>
      </w:r>
      <w:r>
        <w:instrText xml:space="preserve"> HYPERLINK "mailto:field@fcc.gov" </w:instrText>
      </w:r>
      <w:r>
        <w:fldChar w:fldCharType="separate"/>
      </w:r>
      <w:r w:rsidRPr="00641FD7">
        <w:rPr>
          <w:rStyle w:val="Hyperlink"/>
          <w:szCs w:val="22"/>
        </w:rPr>
        <w:t>field@fcc.gov</w:t>
      </w:r>
      <w:r>
        <w:fldChar w:fldCharType="end"/>
      </w:r>
      <w:r>
        <w:rPr>
          <w:szCs w:val="22"/>
        </w:rPr>
        <w:t xml:space="preserve">, </w:t>
      </w:r>
      <w:r w:rsidRPr="006D73F2">
        <w:rPr>
          <w:szCs w:val="22"/>
        </w:rPr>
        <w:t>on the date said payment is made.</w:t>
      </w:r>
      <w:r>
        <w:rPr>
          <w:szCs w:val="22"/>
        </w:rPr>
        <w:t xml:space="preserve">  </w:t>
      </w:r>
      <w:r w:rsidRPr="00344C0B">
        <w:t>Regardless of the form of payment, a completed FCC Form 159 (Remittance Advice) must be submitted.</w:t>
      </w:r>
      <w:r>
        <w:rPr>
          <w:rStyle w:val="FootnoteReference"/>
        </w:rPr>
        <w:footnoteReference w:id="36"/>
      </w:r>
      <w:r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rsidR="003A6C03" w:rsidRPr="00344C0B" w:rsidP="003714C3">
      <w:pPr>
        <w:widowControl/>
        <w:numPr>
          <w:ilvl w:val="0"/>
          <w:numId w:val="21"/>
        </w:numPr>
        <w:spacing w:after="120"/>
      </w:pPr>
      <w:r w:rsidRPr="00344C0B">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noBreakHyphen/>
        <w:t>MO-C2-GL, 1005 Convention Plaza, St. Louis, MO 63101.</w:t>
      </w:r>
    </w:p>
    <w:p w:rsidR="003A6C03" w:rsidRPr="00344C0B" w:rsidP="00D836CE">
      <w:pPr>
        <w:numPr>
          <w:ilvl w:val="0"/>
          <w:numId w:val="21"/>
        </w:numPr>
        <w:spacing w:after="120"/>
      </w:pPr>
      <w:r w:rsidRPr="00344C0B">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3A6C03" w:rsidRPr="00344C0B" w:rsidP="00D836CE">
      <w:pPr>
        <w:numPr>
          <w:ilvl w:val="0"/>
          <w:numId w:val="21"/>
        </w:numPr>
        <w:spacing w:after="120"/>
      </w:pPr>
      <w:r w:rsidRPr="00344C0B">
        <w:t>Payment by credit card must be made by providing the required credit card information on FCC Fo</w:t>
      </w:r>
      <w:r>
        <w:t>r</w:t>
      </w:r>
      <w:r w:rsidRPr="00344C0B">
        <w:t>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3A6C03" w:rsidRPr="00816F70" w:rsidP="00EE4FC1">
      <w:pPr>
        <w:pStyle w:val="ParaNum"/>
        <w:widowControl/>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Pr>
          <w:rStyle w:val="FootnoteReference"/>
          <w:szCs w:val="22"/>
        </w:rPr>
        <w:footnoteReference w:id="37"/>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rsidR="003A6C03" w:rsidP="007B75A8">
      <w:pPr>
        <w:pStyle w:val="ParaNum"/>
      </w:pPr>
      <w:r w:rsidRPr="007B75A8">
        <w:rPr>
          <w:b/>
        </w:rPr>
        <w:t>IT IS FURTHER ORDERED</w:t>
      </w:r>
      <w:r w:rsidRPr="00344C0B">
        <w:t xml:space="preserve"> that a copy of this Forfeiture Order </w:t>
      </w:r>
      <w:r w:rsidRPr="004749BE">
        <w:t xml:space="preserve">shall be sent by first class mail and certified mail, return receipt requested, to </w:t>
      </w:r>
      <w:r w:rsidR="007B75A8">
        <w:t xml:space="preserve">Hector Manzo, President, </w:t>
      </w:r>
      <w:r w:rsidR="007B75A8">
        <w:t>Ondas</w:t>
      </w:r>
      <w:r w:rsidR="007B75A8">
        <w:t xml:space="preserve"> de Vida, Inc., P.O. Box 94, Victorville, California, 92393, and to Jeffrey D. </w:t>
      </w:r>
      <w:r w:rsidR="007B75A8">
        <w:t>Southmayd</w:t>
      </w:r>
      <w:r w:rsidR="007B75A8">
        <w:t xml:space="preserve">, Esq., </w:t>
      </w:r>
      <w:r w:rsidR="007B75A8">
        <w:t>Southmayd</w:t>
      </w:r>
      <w:r w:rsidR="007B75A8">
        <w:t xml:space="preserve"> &amp; Miller, 4 Ocean Ridge Boulevard South, Palm Coast, Florida, 32137.</w:t>
      </w:r>
      <w:r w:rsidRPr="004749BE" w:rsidR="007B75A8">
        <w:t xml:space="preserve"> </w:t>
      </w:r>
    </w:p>
    <w:p w:rsidR="00272265" w:rsidP="00272265">
      <w:pPr>
        <w:pStyle w:val="ParaNum"/>
        <w:numPr>
          <w:ilvl w:val="0"/>
          <w:numId w:val="0"/>
        </w:numPr>
        <w:ind w:firstLine="720"/>
      </w:pPr>
    </w:p>
    <w:p w:rsidR="003A6C03" w:rsidP="003A6C03">
      <w:pPr>
        <w:keepNext/>
      </w:pPr>
      <w:r>
        <w:tab/>
      </w:r>
      <w:r>
        <w:tab/>
      </w:r>
      <w:r>
        <w:tab/>
      </w:r>
      <w:r>
        <w:tab/>
      </w:r>
      <w:r>
        <w:tab/>
      </w:r>
      <w:r>
        <w:tab/>
        <w:t>FEDERAL COMMUNICATIONS COMMISSION</w:t>
      </w:r>
    </w:p>
    <w:p w:rsidR="003A6C03" w:rsidP="003A6C03">
      <w:pPr>
        <w:keepNext/>
      </w:pPr>
    </w:p>
    <w:p w:rsidR="003A6C03" w:rsidP="003A6C03">
      <w:pPr>
        <w:keepNext/>
      </w:pPr>
    </w:p>
    <w:p w:rsidR="003A6C03" w:rsidP="003A6C03">
      <w:pPr>
        <w:keepNext/>
      </w:pPr>
    </w:p>
    <w:p w:rsidR="003A6C03" w:rsidP="003A6C03">
      <w:pPr>
        <w:keepNext/>
      </w:pPr>
    </w:p>
    <w:p w:rsidR="003A6C03" w:rsidP="003A6C03">
      <w:pPr>
        <w:keepNext/>
      </w:pPr>
      <w:r>
        <w:tab/>
      </w:r>
      <w:r>
        <w:tab/>
      </w:r>
      <w:r>
        <w:tab/>
      </w:r>
      <w:r>
        <w:tab/>
      </w:r>
      <w:r>
        <w:tab/>
      </w:r>
      <w:r>
        <w:tab/>
        <w:t>Lark Hadley</w:t>
      </w:r>
    </w:p>
    <w:p w:rsidR="003A6C03" w:rsidP="003A6C03">
      <w:pPr>
        <w:keepNext/>
      </w:pPr>
      <w:r>
        <w:tab/>
      </w:r>
      <w:r>
        <w:tab/>
      </w:r>
      <w:r>
        <w:tab/>
      </w:r>
      <w:r>
        <w:tab/>
      </w:r>
      <w:r>
        <w:tab/>
      </w:r>
      <w:r>
        <w:tab/>
        <w:t>Regional Director, Region Three</w:t>
      </w:r>
    </w:p>
    <w:p w:rsidR="003A6C03" w:rsidRPr="003A6C03" w:rsidP="003A6C03">
      <w:pPr>
        <w:keepNext/>
      </w:pPr>
      <w:r>
        <w:tab/>
      </w:r>
      <w:r>
        <w:tab/>
      </w:r>
      <w:r>
        <w:tab/>
      </w:r>
      <w:r>
        <w:tab/>
      </w:r>
      <w:r>
        <w:tab/>
      </w:r>
      <w:r>
        <w:tab/>
        <w:t>Enforcement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5</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436B">
      <w:r>
        <w:separator/>
      </w:r>
    </w:p>
  </w:footnote>
  <w:footnote w:type="continuationSeparator" w:id="1">
    <w:p w:rsidR="0050436B" w:rsidP="00C721AC">
      <w:pPr>
        <w:spacing w:before="120"/>
        <w:rPr>
          <w:sz w:val="20"/>
        </w:rPr>
      </w:pPr>
      <w:r>
        <w:continuationSeparator/>
      </w:r>
    </w:p>
  </w:footnote>
  <w:footnote w:type="continuationNotice" w:id="2">
    <w:p w:rsidR="0050436B" w:rsidP="00C721AC">
      <w:pPr>
        <w:jc w:val="right"/>
        <w:rPr>
          <w:sz w:val="20"/>
        </w:rPr>
      </w:pPr>
    </w:p>
  </w:footnote>
  <w:footnote w:id="3">
    <w:p w:rsidR="003A6C03" w:rsidRPr="0088285C">
      <w:pPr>
        <w:pStyle w:val="FootnoteText"/>
      </w:pPr>
      <w:r>
        <w:rPr>
          <w:rStyle w:val="FootnoteReference"/>
        </w:rPr>
        <w:footnoteRef/>
      </w:r>
      <w:r>
        <w:t xml:space="preserve"> </w:t>
      </w:r>
      <w:r w:rsidR="0088285C">
        <w:rPr>
          <w:i/>
        </w:rPr>
        <w:t>Ondas</w:t>
      </w:r>
      <w:r w:rsidR="0088285C">
        <w:rPr>
          <w:i/>
        </w:rPr>
        <w:t xml:space="preserve"> de Vida, Inc., Licensee of FM Translator K256BS, Palmdale, California, </w:t>
      </w:r>
      <w:r w:rsidR="0088285C">
        <w:t>Notice of Apparent Liability for Forfeiture, 32 FCC Rcd 3192 (EB 2017) (</w:t>
      </w:r>
      <w:r w:rsidR="0088285C">
        <w:rPr>
          <w:i/>
        </w:rPr>
        <w:t>NAL</w:t>
      </w:r>
      <w:r w:rsidR="0088285C">
        <w:t>).</w:t>
      </w:r>
    </w:p>
  </w:footnote>
  <w:footnote w:id="4">
    <w:p w:rsidR="004C66DA" w:rsidP="004C66DA">
      <w:pPr>
        <w:pStyle w:val="FootnoteText"/>
      </w:pPr>
      <w:r>
        <w:rPr>
          <w:rStyle w:val="FootnoteReference"/>
        </w:rPr>
        <w:footnoteRef/>
      </w:r>
      <w:r w:rsidR="00D41706">
        <w:t xml:space="preserve"> </w:t>
      </w:r>
      <w:r w:rsidR="00D41706">
        <w:t>Ondas</w:t>
      </w:r>
      <w:r w:rsidR="00D41706">
        <w:t xml:space="preserve"> de Vida, Inc, Petition for Reconsideration, May 25, 2017 (NAL Response) (on file in EB-FIELDWR-16-00020978).</w:t>
      </w:r>
    </w:p>
  </w:footnote>
  <w:footnote w:id="5">
    <w:p w:rsidR="00E924CF" w:rsidRPr="007B75A8">
      <w:pPr>
        <w:pStyle w:val="FootnoteText"/>
      </w:pPr>
      <w:r>
        <w:rPr>
          <w:rStyle w:val="FootnoteReference"/>
        </w:rPr>
        <w:footnoteRef/>
      </w:r>
      <w:r>
        <w:t xml:space="preserve"> </w:t>
      </w:r>
      <w:r w:rsidR="007B75A8">
        <w:rPr>
          <w:i/>
        </w:rPr>
        <w:t>Ondas</w:t>
      </w:r>
      <w:r w:rsidR="007B75A8">
        <w:rPr>
          <w:i/>
        </w:rPr>
        <w:t xml:space="preserve"> de Vida, Inc.,</w:t>
      </w:r>
      <w:r w:rsidR="007B75A8">
        <w:t xml:space="preserve"> Notice of Violation (EB 2017) (</w:t>
      </w:r>
      <w:r w:rsidRPr="008E4B70" w:rsidR="007B75A8">
        <w:rPr>
          <w:i/>
        </w:rPr>
        <w:t>NOV</w:t>
      </w:r>
      <w:r w:rsidR="007B75A8">
        <w:t>) (on file in EB-FIELDWR-16-00020978).</w:t>
      </w:r>
    </w:p>
  </w:footnote>
  <w:footnote w:id="6">
    <w:p w:rsidR="00E924CF">
      <w:pPr>
        <w:pStyle w:val="FootnoteText"/>
      </w:pPr>
      <w:r>
        <w:rPr>
          <w:rStyle w:val="FootnoteReference"/>
        </w:rPr>
        <w:footnoteRef/>
      </w:r>
      <w:r>
        <w:t xml:space="preserve"> </w:t>
      </w:r>
      <w:r w:rsidR="007B75A8">
        <w:t xml:space="preserve">Letter from </w:t>
      </w:r>
      <w:r w:rsidR="005274FB">
        <w:t xml:space="preserve">Hector Manzo, President, </w:t>
      </w:r>
      <w:r w:rsidR="005274FB">
        <w:t>Ondas</w:t>
      </w:r>
      <w:r w:rsidR="005274FB">
        <w:t xml:space="preserve"> de Vida, Inc. (Apr. 29, 2016) </w:t>
      </w:r>
      <w:r w:rsidR="00D41706">
        <w:t xml:space="preserve">(NOV Response) </w:t>
      </w:r>
      <w:r w:rsidR="00D836CE">
        <w:t>(emphasis added)</w:t>
      </w:r>
      <w:r w:rsidR="005274FB">
        <w:t xml:space="preserve"> (on file in EB-FIELDWR-16-00020978)</w:t>
      </w:r>
      <w:r w:rsidR="00D836CE">
        <w:t>.</w:t>
      </w:r>
    </w:p>
  </w:footnote>
  <w:footnote w:id="7">
    <w:p w:rsidR="00E924CF" w:rsidRPr="005274FB">
      <w:pPr>
        <w:pStyle w:val="FootnoteText"/>
      </w:pPr>
      <w:r>
        <w:rPr>
          <w:rStyle w:val="FootnoteReference"/>
        </w:rPr>
        <w:footnoteRef/>
      </w:r>
      <w:r>
        <w:t xml:space="preserve"> </w:t>
      </w:r>
      <w:r w:rsidR="005274FB">
        <w:rPr>
          <w:i/>
        </w:rPr>
        <w:t>NAL</w:t>
      </w:r>
      <w:r w:rsidR="005274FB">
        <w:t xml:space="preserve">, 32 FCC Rcd at 3193, para. 5. </w:t>
      </w:r>
    </w:p>
  </w:footnote>
  <w:footnote w:id="8">
    <w:p w:rsidR="00E924CF" w:rsidRPr="005274FB">
      <w:pPr>
        <w:pStyle w:val="FootnoteText"/>
      </w:pPr>
      <w:r>
        <w:rPr>
          <w:rStyle w:val="FootnoteReference"/>
        </w:rPr>
        <w:footnoteRef/>
      </w:r>
      <w:r>
        <w:t xml:space="preserve"> </w:t>
      </w:r>
      <w:r w:rsidR="005274FB">
        <w:rPr>
          <w:i/>
        </w:rPr>
        <w:t>Id.</w:t>
      </w:r>
    </w:p>
  </w:footnote>
  <w:footnote w:id="9">
    <w:p w:rsidR="00E924CF" w:rsidRPr="005274FB">
      <w:pPr>
        <w:pStyle w:val="FootnoteText"/>
      </w:pPr>
      <w:r>
        <w:rPr>
          <w:rStyle w:val="FootnoteReference"/>
        </w:rPr>
        <w:footnoteRef/>
      </w:r>
      <w:r>
        <w:t xml:space="preserve"> </w:t>
      </w:r>
      <w:r w:rsidR="005274FB">
        <w:rPr>
          <w:i/>
        </w:rPr>
        <w:t>NAL</w:t>
      </w:r>
      <w:r w:rsidR="005274FB">
        <w:t>, 32 FCC Rcd at 3193, para. 6.</w:t>
      </w:r>
    </w:p>
  </w:footnote>
  <w:footnote w:id="10">
    <w:p w:rsidR="00E924CF" w:rsidRPr="005274FB">
      <w:pPr>
        <w:pStyle w:val="FootnoteText"/>
      </w:pPr>
      <w:r>
        <w:rPr>
          <w:rStyle w:val="FootnoteReference"/>
        </w:rPr>
        <w:footnoteRef/>
      </w:r>
      <w:r>
        <w:t xml:space="preserve"> </w:t>
      </w:r>
      <w:r w:rsidR="004E27D3">
        <w:rPr>
          <w:i/>
        </w:rPr>
        <w:t xml:space="preserve">Id. </w:t>
      </w:r>
      <w:r w:rsidR="005274FB">
        <w:t>at 3194-95, paras. 10-11.</w:t>
      </w:r>
    </w:p>
  </w:footnote>
  <w:footnote w:id="11">
    <w:p w:rsidR="00D836CE" w:rsidRPr="00672152" w:rsidP="00D836CE">
      <w:pPr>
        <w:pStyle w:val="FootnoteText"/>
      </w:pPr>
      <w:r>
        <w:rPr>
          <w:rStyle w:val="FootnoteReference"/>
        </w:rPr>
        <w:footnoteRef/>
      </w:r>
      <w:r>
        <w:t xml:space="preserve"> </w:t>
      </w:r>
      <w:r w:rsidR="005274FB">
        <w:rPr>
          <w:i/>
        </w:rPr>
        <w:t>Id.</w:t>
      </w:r>
      <w:r w:rsidR="00672152">
        <w:rPr>
          <w:i/>
        </w:rPr>
        <w:t xml:space="preserve">  </w:t>
      </w:r>
      <w:r w:rsidR="00672152">
        <w:t>These values are equivalent to 5</w:t>
      </w:r>
      <w:r w:rsidR="00234D53">
        <w:t>.0</w:t>
      </w:r>
      <w:r w:rsidR="00672152">
        <w:t xml:space="preserve"> W</w:t>
      </w:r>
      <w:r w:rsidR="00234D53">
        <w:t>atts</w:t>
      </w:r>
      <w:r w:rsidR="00672152">
        <w:t xml:space="preserve"> TPO and 10</w:t>
      </w:r>
      <w:r w:rsidR="00234D53">
        <w:t>.0</w:t>
      </w:r>
      <w:r w:rsidR="00672152">
        <w:t xml:space="preserve"> W</w:t>
      </w:r>
      <w:r w:rsidR="00234D53">
        <w:t>atts</w:t>
      </w:r>
      <w:r w:rsidR="00672152">
        <w:t xml:space="preserve"> ERP. </w:t>
      </w:r>
    </w:p>
  </w:footnote>
  <w:footnote w:id="12">
    <w:p w:rsidR="00E924CF" w:rsidRPr="00EF720F">
      <w:pPr>
        <w:pStyle w:val="FootnoteText"/>
      </w:pPr>
      <w:r>
        <w:rPr>
          <w:rStyle w:val="FootnoteReference"/>
        </w:rPr>
        <w:footnoteRef/>
      </w:r>
      <w:r>
        <w:t xml:space="preserve"> </w:t>
      </w:r>
      <w:r w:rsidR="00D41706">
        <w:rPr>
          <w:i/>
        </w:rPr>
        <w:t>See</w:t>
      </w:r>
      <w:r w:rsidR="00D41706">
        <w:t xml:space="preserve"> NAL Response</w:t>
      </w:r>
      <w:r w:rsidR="005274FB">
        <w:t xml:space="preserve">.  </w:t>
      </w:r>
      <w:r w:rsidRPr="00EF720F" w:rsidR="00EF720F">
        <w:t xml:space="preserve">Consistent with Section 1.80(f)(3) of the </w:t>
      </w:r>
      <w:r w:rsidR="004D37F1">
        <w:t>Commission’s r</w:t>
      </w:r>
      <w:r w:rsidRPr="00EF720F" w:rsidR="00EF720F">
        <w:t xml:space="preserve">ules, we will </w:t>
      </w:r>
      <w:r w:rsidR="00EF720F">
        <w:t xml:space="preserve">treat </w:t>
      </w:r>
      <w:r w:rsidR="00EF720F">
        <w:t>OdV’s</w:t>
      </w:r>
      <w:r w:rsidR="00EF720F">
        <w:t xml:space="preserve"> “Petition for Reconsideration” </w:t>
      </w:r>
      <w:r w:rsidRPr="00EF720F" w:rsidR="00EF720F">
        <w:t>as a response to the NAL</w:t>
      </w:r>
      <w:r w:rsidR="00EF720F">
        <w:t xml:space="preserve">.  </w:t>
      </w:r>
      <w:r w:rsidR="00EF720F">
        <w:rPr>
          <w:i/>
        </w:rPr>
        <w:t>See</w:t>
      </w:r>
      <w:r w:rsidR="00EF720F">
        <w:t xml:space="preserve"> 47 CFR § 1.80(f)(3); </w:t>
      </w:r>
      <w:r w:rsidR="00EF720F">
        <w:rPr>
          <w:i/>
        </w:rPr>
        <w:t>see also</w:t>
      </w:r>
      <w:r w:rsidR="00EF720F">
        <w:t xml:space="preserve"> </w:t>
      </w:r>
      <w:r w:rsidRPr="00EF720F" w:rsidR="00EF720F">
        <w:rPr>
          <w:i/>
        </w:rPr>
        <w:t>Life on the Way Communications, Inc.</w:t>
      </w:r>
      <w:r w:rsidR="00EF720F">
        <w:t xml:space="preserve">, Forfeiture Order, 30 FCC Rcd 2603, 2604, para. 3, n. 8 (EB 2015).  </w:t>
      </w:r>
    </w:p>
  </w:footnote>
  <w:footnote w:id="13">
    <w:p w:rsidR="00E924CF" w:rsidRPr="00344C0B" w:rsidP="00E924CF">
      <w:pPr>
        <w:pStyle w:val="FootnoteText"/>
      </w:pPr>
      <w:r w:rsidRPr="00344C0B">
        <w:rPr>
          <w:rStyle w:val="FootnoteReference"/>
        </w:rPr>
        <w:footnoteRef/>
      </w:r>
      <w:r w:rsidRPr="00344C0B">
        <w:t xml:space="preserve"> </w:t>
      </w:r>
      <w:r w:rsidRPr="00344C0B">
        <w:rPr>
          <w:color w:val="000000"/>
        </w:rPr>
        <w:t>47 U.S.C. § 503(b).</w:t>
      </w:r>
    </w:p>
  </w:footnote>
  <w:footnote w:id="14">
    <w:p w:rsidR="00E924CF" w:rsidRPr="00344C0B" w:rsidP="00E924CF">
      <w:pPr>
        <w:pStyle w:val="FootnoteText"/>
      </w:pPr>
      <w:r w:rsidRPr="00344C0B">
        <w:rPr>
          <w:rStyle w:val="FootnoteReference"/>
        </w:rPr>
        <w:footnoteRef/>
      </w:r>
      <w:r w:rsidRPr="00344C0B">
        <w:t xml:space="preserve"> 47 C</w:t>
      </w:r>
      <w:r w:rsidR="003714C3">
        <w:t>FR</w:t>
      </w:r>
      <w:r w:rsidRPr="00344C0B">
        <w:t xml:space="preserve"> § 1.80.</w:t>
      </w:r>
    </w:p>
  </w:footnote>
  <w:footnote w:id="15">
    <w:p w:rsidR="00E924CF" w:rsidRPr="00344C0B" w:rsidP="00E924CF">
      <w:pPr>
        <w:pStyle w:val="FootnoteText"/>
      </w:pPr>
      <w:r w:rsidRPr="00344C0B">
        <w:rPr>
          <w:rStyle w:val="FootnoteReference"/>
        </w:rPr>
        <w:footnoteRef/>
      </w:r>
      <w:r w:rsidRPr="00344C0B">
        <w:rPr>
          <w:i/>
        </w:rPr>
        <w:t xml:space="preserve"> The Commission</w:t>
      </w:r>
      <w:r w:rsidR="00DD534F">
        <w:rPr>
          <w:i/>
        </w:rPr>
        <w:t>’</w:t>
      </w:r>
      <w:r w:rsidRPr="00344C0B">
        <w:rPr>
          <w:i/>
        </w:rPr>
        <w:t>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6">
    <w:p w:rsidR="00E924CF" w:rsidRPr="00344C0B" w:rsidP="00E924CF">
      <w:pPr>
        <w:pStyle w:val="FootnoteText"/>
      </w:pPr>
      <w:r w:rsidRPr="00344C0B">
        <w:rPr>
          <w:rStyle w:val="FootnoteReference"/>
        </w:rPr>
        <w:footnoteRef/>
      </w:r>
      <w:r w:rsidRPr="00344C0B">
        <w:t xml:space="preserve"> 47 U.S.C. § 503(b)(2)(E).</w:t>
      </w:r>
    </w:p>
  </w:footnote>
  <w:footnote w:id="17">
    <w:p w:rsidR="00144C1E">
      <w:pPr>
        <w:pStyle w:val="FootnoteText"/>
      </w:pPr>
      <w:r>
        <w:rPr>
          <w:rStyle w:val="FootnoteReference"/>
        </w:rPr>
        <w:footnoteRef/>
      </w:r>
      <w:r>
        <w:t xml:space="preserve"> NAL Response at 3 - 4, para. 5.</w:t>
      </w:r>
    </w:p>
  </w:footnote>
  <w:footnote w:id="18">
    <w:p w:rsidR="00144C1E" w:rsidRPr="00144C1E">
      <w:pPr>
        <w:pStyle w:val="FootnoteText"/>
      </w:pPr>
      <w:r>
        <w:rPr>
          <w:rStyle w:val="FootnoteReference"/>
        </w:rPr>
        <w:footnoteRef/>
      </w:r>
      <w:r>
        <w:t xml:space="preserve"> </w:t>
      </w:r>
      <w:r>
        <w:rPr>
          <w:i/>
        </w:rPr>
        <w:t>Id.</w:t>
      </w:r>
    </w:p>
  </w:footnote>
  <w:footnote w:id="19">
    <w:p w:rsidR="00534B44" w:rsidRPr="00534B44">
      <w:pPr>
        <w:pStyle w:val="FootnoteText"/>
      </w:pPr>
      <w:r>
        <w:rPr>
          <w:rStyle w:val="FootnoteReference"/>
        </w:rPr>
        <w:footnoteRef/>
      </w:r>
      <w:r>
        <w:t xml:space="preserve"> </w:t>
      </w:r>
      <w:r>
        <w:rPr>
          <w:i/>
        </w:rPr>
        <w:t>See</w:t>
      </w:r>
      <w:r>
        <w:t xml:space="preserve"> 47 CFR § 1.89(a) (stating that, while an NOV is needed in the context of a license revocation, suspension, or cease and desist proceeding, an NOV “may be combined with </w:t>
      </w:r>
      <w:r w:rsidR="006B29F0">
        <w:t>[an NAL]</w:t>
      </w:r>
      <w:r>
        <w:t>”).</w:t>
      </w:r>
    </w:p>
  </w:footnote>
  <w:footnote w:id="20">
    <w:p w:rsidR="00534B44">
      <w:pPr>
        <w:pStyle w:val="FootnoteText"/>
      </w:pPr>
      <w:r>
        <w:rPr>
          <w:rStyle w:val="FootnoteReference"/>
        </w:rPr>
        <w:footnoteRef/>
      </w:r>
      <w:r>
        <w:t xml:space="preserve"> </w:t>
      </w:r>
      <w:r w:rsidRPr="00534B44">
        <w:rPr>
          <w:i/>
        </w:rPr>
        <w:t>See</w:t>
      </w:r>
      <w:r>
        <w:t xml:space="preserve">, </w:t>
      </w:r>
      <w:r w:rsidRPr="00534B44">
        <w:rPr>
          <w:i/>
        </w:rPr>
        <w:t>e.g.</w:t>
      </w:r>
      <w:r>
        <w:t xml:space="preserve">, </w:t>
      </w:r>
      <w:r w:rsidRPr="00534B44">
        <w:rPr>
          <w:i/>
        </w:rPr>
        <w:t>Bay Broadcasting Corp.</w:t>
      </w:r>
      <w:r>
        <w:t xml:space="preserve">, Forfeiture Order, 15 FCC Rcd 13613, 13614-15, para. 5 (EB 2000) (involving an NAL that addressed violations occurring </w:t>
      </w:r>
      <w:r>
        <w:t>subsequent to</w:t>
      </w:r>
      <w:r>
        <w:t xml:space="preserve"> the issuance of an NOV).</w:t>
      </w:r>
    </w:p>
  </w:footnote>
  <w:footnote w:id="21">
    <w:p w:rsidR="004C5175">
      <w:pPr>
        <w:pStyle w:val="FootnoteText"/>
      </w:pPr>
      <w:r>
        <w:rPr>
          <w:rStyle w:val="FootnoteReference"/>
        </w:rPr>
        <w:footnoteRef/>
      </w:r>
      <w:r>
        <w:t xml:space="preserve"> </w:t>
      </w:r>
      <w:r w:rsidRPr="00EE4FC1" w:rsidR="0077642D">
        <w:rPr>
          <w:i/>
        </w:rPr>
        <w:t xml:space="preserve">Fabrice </w:t>
      </w:r>
      <w:r w:rsidRPr="00EE4FC1" w:rsidR="0077642D">
        <w:rPr>
          <w:i/>
        </w:rPr>
        <w:t>Polynice</w:t>
      </w:r>
      <w:r w:rsidRPr="00EE4FC1" w:rsidR="0077642D">
        <w:rPr>
          <w:i/>
        </w:rPr>
        <w:t xml:space="preserve"> North Miami, FL, Harold </w:t>
      </w:r>
      <w:r w:rsidRPr="00EE4FC1" w:rsidR="0077642D">
        <w:rPr>
          <w:i/>
        </w:rPr>
        <w:t>Sido</w:t>
      </w:r>
      <w:r w:rsidRPr="00EE4FC1" w:rsidR="0077642D">
        <w:rPr>
          <w:i/>
        </w:rPr>
        <w:t xml:space="preserve"> and </w:t>
      </w:r>
      <w:r w:rsidRPr="00EE4FC1" w:rsidR="0077642D">
        <w:rPr>
          <w:i/>
        </w:rPr>
        <w:t>Veronise</w:t>
      </w:r>
      <w:r w:rsidRPr="00EE4FC1" w:rsidR="0077642D">
        <w:rPr>
          <w:i/>
        </w:rPr>
        <w:t xml:space="preserve"> </w:t>
      </w:r>
      <w:r w:rsidRPr="00EE4FC1" w:rsidR="0077642D">
        <w:rPr>
          <w:i/>
        </w:rPr>
        <w:t>Sido</w:t>
      </w:r>
      <w:r w:rsidRPr="00EE4FC1" w:rsidR="0077642D">
        <w:rPr>
          <w:i/>
        </w:rPr>
        <w:t xml:space="preserve"> North Miami, FL</w:t>
      </w:r>
      <w:r w:rsidR="0077642D">
        <w:t xml:space="preserve">, Forfeiture Order, FCC </w:t>
      </w:r>
      <w:r w:rsidR="00783AA1">
        <w:t>18-101, paras. 16-17 (Jul. 19, 2018).</w:t>
      </w:r>
    </w:p>
  </w:footnote>
  <w:footnote w:id="22">
    <w:p w:rsidR="0006692E">
      <w:pPr>
        <w:pStyle w:val="FootnoteText"/>
      </w:pPr>
      <w:r>
        <w:rPr>
          <w:rStyle w:val="FootnoteReference"/>
        </w:rPr>
        <w:footnoteRef/>
      </w:r>
      <w:r>
        <w:t xml:space="preserve"> NAL Response at 4-5, para. 7.</w:t>
      </w:r>
    </w:p>
  </w:footnote>
  <w:footnote w:id="23">
    <w:p w:rsidR="0006692E" w:rsidRPr="000738FE" w:rsidP="0006692E">
      <w:pPr>
        <w:pStyle w:val="FootnoteText"/>
      </w:pPr>
      <w:r>
        <w:rPr>
          <w:rStyle w:val="FootnoteReference"/>
        </w:rPr>
        <w:footnoteRef/>
      </w:r>
      <w:r>
        <w:t xml:space="preserve"> </w:t>
      </w:r>
      <w:r>
        <w:rPr>
          <w:i/>
        </w:rPr>
        <w:t>NAL</w:t>
      </w:r>
      <w:r>
        <w:t>, 31 FCC Rcd at 3193, para. 6, n. 6.</w:t>
      </w:r>
    </w:p>
  </w:footnote>
  <w:footnote w:id="24">
    <w:p w:rsidR="0006692E" w:rsidRPr="009C525B" w:rsidP="0006692E">
      <w:pPr>
        <w:pStyle w:val="FootnoteText"/>
      </w:pPr>
      <w:r>
        <w:rPr>
          <w:rStyle w:val="FootnoteReference"/>
        </w:rPr>
        <w:footnoteRef/>
      </w:r>
      <w:r>
        <w:t xml:space="preserve"> </w:t>
      </w:r>
      <w:r>
        <w:rPr>
          <w:i/>
        </w:rPr>
        <w:t>Id.</w:t>
      </w:r>
      <w:r>
        <w:t xml:space="preserve"> at 3195, para. 11 (providing, “</w:t>
      </w:r>
      <w:r>
        <w:t>OdV</w:t>
      </w:r>
      <w:r>
        <w:t xml:space="preserve"> operated the Station in excess of one or both of the power limits [(</w:t>
      </w:r>
      <w:r w:rsidRPr="00B50FCA">
        <w:rPr>
          <w:i/>
        </w:rPr>
        <w:t>i.e.</w:t>
      </w:r>
      <w:r>
        <w:t xml:space="preserve">, ERP or TPO)] specified on its license, in apparent violation of Section 301 of the Act and Sections 1.903(a) and 74.1235(e)” of the Commission’s rules). </w:t>
      </w:r>
    </w:p>
  </w:footnote>
  <w:footnote w:id="25">
    <w:p w:rsidR="004D37F1">
      <w:pPr>
        <w:pStyle w:val="FootnoteText"/>
      </w:pPr>
      <w:r>
        <w:rPr>
          <w:rStyle w:val="FootnoteReference"/>
        </w:rPr>
        <w:footnoteRef/>
      </w:r>
      <w:r>
        <w:t xml:space="preserve"> </w:t>
      </w:r>
      <w:r w:rsidRPr="004D37F1">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t xml:space="preserve">.  47 U.S.C. § 503(b).  Section 312(f)(1) of the Act defines “willful” as the “conscious and deliberate commission or omission of [any] act, irrespective of any intent to violate” the law.  </w:t>
      </w:r>
      <w:r w:rsidRPr="00981F23">
        <w:rPr>
          <w:color w:val="000000" w:themeColor="text1"/>
        </w:rPr>
        <w:t xml:space="preserve">47 U.S.C. § 312(f)(1).  </w:t>
      </w:r>
      <w:r w:rsidRPr="00981F23">
        <w:rPr>
          <w:color w:val="000000" w:themeColor="text1"/>
          <w:spacing w:val="-3"/>
          <w:szCs w:val="22"/>
        </w:rPr>
        <w:t xml:space="preserve">The legislative history to Section 312(f)(1) of the Act clarifies that this definition of willful applies to both Sections 312 and 503(b) of the Act, and the Commission has so interpreted the term in the Section 503(b) context.  </w:t>
      </w:r>
      <w:r w:rsidRPr="00981F23">
        <w:rPr>
          <w:color w:val="000000" w:themeColor="text1"/>
        </w:rPr>
        <w:t>H.R. Rep. No. 97-765, 97</w:t>
      </w:r>
      <w:r w:rsidRPr="00981F23">
        <w:rPr>
          <w:color w:val="000000" w:themeColor="text1"/>
          <w:vertAlign w:val="superscript"/>
        </w:rPr>
        <w:t>th</w:t>
      </w:r>
      <w:r w:rsidRPr="00981F23">
        <w:rPr>
          <w:color w:val="000000" w:themeColor="text1"/>
        </w:rPr>
        <w:t xml:space="preserve"> Cong. 2d Sess. 51 (1982) (“</w:t>
      </w:r>
      <w:r w:rsidRPr="00981F23">
        <w:rPr>
          <w:rStyle w:val="documentbody"/>
          <w:color w:val="000000" w:themeColor="text1"/>
        </w:rPr>
        <w:t xml:space="preserve">This provision [inserted in Section 312] defines the terms ‘willful’ and ‘repeated’ for purposes of section </w:t>
      </w:r>
      <w:r w:rsidRPr="00981F23">
        <w:rPr>
          <w:rStyle w:val="searchterm"/>
          <w:color w:val="000000" w:themeColor="text1"/>
        </w:rPr>
        <w:t>312</w:t>
      </w:r>
      <w:r w:rsidRPr="00981F23">
        <w:rPr>
          <w:rStyle w:val="documentbody"/>
          <w:color w:val="000000" w:themeColor="text1"/>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w:t>
      </w:r>
      <w:r w:rsidRPr="00981F23">
        <w:rPr>
          <w:rStyle w:val="documentbody"/>
          <w:color w:val="000000" w:themeColor="text1"/>
        </w:rPr>
        <w:t>is considered to be</w:t>
      </w:r>
      <w:r w:rsidRPr="00981F23">
        <w:rPr>
          <w:rStyle w:val="documentbody"/>
          <w:color w:val="000000" w:themeColor="text1"/>
        </w:rPr>
        <w:t xml:space="preserve"> ‘continuous’ would depend upon the circumstances in each case.  The definitions are intended primarily to clarify the language in Sections </w:t>
      </w:r>
      <w:r w:rsidRPr="00981F23">
        <w:rPr>
          <w:rStyle w:val="searchterm"/>
          <w:color w:val="000000" w:themeColor="text1"/>
        </w:rPr>
        <w:t>312</w:t>
      </w:r>
      <w:r w:rsidRPr="00981F23">
        <w:rPr>
          <w:rStyle w:val="documentbody"/>
          <w:color w:val="000000" w:themeColor="text1"/>
        </w:rPr>
        <w:t xml:space="preserve"> and </w:t>
      </w:r>
      <w:r w:rsidRPr="00981F23">
        <w:rPr>
          <w:rStyle w:val="documentbody"/>
          <w:color w:val="000000" w:themeColor="text1"/>
        </w:rPr>
        <w:t>503, and</w:t>
      </w:r>
      <w:r w:rsidRPr="00981F23">
        <w:rPr>
          <w:rStyle w:val="documentbody"/>
          <w:color w:val="000000" w:themeColor="text1"/>
        </w:rPr>
        <w:t xml:space="preserve"> are consistent with the Commission’s application of those terms . . . .”); </w:t>
      </w:r>
      <w:r w:rsidRPr="00981F23">
        <w:rPr>
          <w:i/>
          <w:color w:val="000000" w:themeColor="text1"/>
        </w:rPr>
        <w:t>see, e.g.</w:t>
      </w:r>
      <w:r w:rsidRPr="00981F23">
        <w:rPr>
          <w:color w:val="000000" w:themeColor="text1"/>
        </w:rPr>
        <w:t>,</w:t>
      </w:r>
      <w:r w:rsidRPr="00981F23">
        <w:rPr>
          <w:i/>
          <w:color w:val="000000" w:themeColor="text1"/>
        </w:rPr>
        <w:t xml:space="preserve"> S. Cal. Broad. Co.</w:t>
      </w:r>
      <w:r w:rsidRPr="00981F23">
        <w:rPr>
          <w:color w:val="000000" w:themeColor="text1"/>
        </w:rPr>
        <w:t xml:space="preserve">, Memorandum Opinion and Order, 6 FCC Rcd 4387, 4388, para. 5 (1991), </w:t>
      </w:r>
      <w:r w:rsidRPr="00981F23">
        <w:rPr>
          <w:i/>
          <w:color w:val="000000" w:themeColor="text1"/>
        </w:rPr>
        <w:t>recons. denied</w:t>
      </w:r>
      <w:r w:rsidRPr="00981F23">
        <w:rPr>
          <w:color w:val="000000" w:themeColor="text1"/>
        </w:rPr>
        <w:t>,</w:t>
      </w:r>
      <w:r w:rsidRPr="00981F23">
        <w:rPr>
          <w:i/>
          <w:color w:val="000000" w:themeColor="text1"/>
        </w:rPr>
        <w:t xml:space="preserve"> </w:t>
      </w:r>
      <w:r w:rsidRPr="00981F23">
        <w:rPr>
          <w:color w:val="000000" w:themeColor="text1"/>
        </w:rPr>
        <w:t>7 FCC Rcd 3454 (1992).</w:t>
      </w:r>
      <w:r w:rsidRPr="00981F23">
        <w:rPr>
          <w:color w:val="000000" w:themeColor="text1"/>
          <w:spacing w:val="-3"/>
          <w:szCs w:val="22"/>
        </w:rPr>
        <w:t xml:space="preserve">  </w:t>
      </w:r>
    </w:p>
  </w:footnote>
  <w:footnote w:id="26">
    <w:p w:rsidR="00534B44">
      <w:pPr>
        <w:pStyle w:val="FootnoteText"/>
      </w:pPr>
      <w:r>
        <w:rPr>
          <w:rStyle w:val="FootnoteReference"/>
        </w:rPr>
        <w:footnoteRef/>
      </w:r>
      <w:r>
        <w:t xml:space="preserve"> NAL Response at 4, para. 6.</w:t>
      </w:r>
    </w:p>
  </w:footnote>
  <w:footnote w:id="27">
    <w:p w:rsidR="00672152" w:rsidRPr="00672152">
      <w:pPr>
        <w:pStyle w:val="FootnoteText"/>
      </w:pPr>
      <w:r>
        <w:rPr>
          <w:rStyle w:val="FootnoteReference"/>
        </w:rPr>
        <w:footnoteRef/>
      </w:r>
      <w:r>
        <w:t xml:space="preserve"> </w:t>
      </w:r>
      <w:r>
        <w:rPr>
          <w:i/>
        </w:rPr>
        <w:t>See</w:t>
      </w:r>
      <w:r>
        <w:t xml:space="preserve">, </w:t>
      </w:r>
      <w:r>
        <w:rPr>
          <w:i/>
        </w:rPr>
        <w:t>e.g.</w:t>
      </w:r>
      <w:r>
        <w:t xml:space="preserve">, </w:t>
      </w:r>
      <w:r w:rsidRPr="00F705DD">
        <w:rPr>
          <w:i/>
        </w:rPr>
        <w:t>Hemmingford</w:t>
      </w:r>
      <w:r w:rsidRPr="00F705DD">
        <w:rPr>
          <w:i/>
        </w:rPr>
        <w:t xml:space="preserve"> Media, Inc.</w:t>
      </w:r>
      <w:r>
        <w:t xml:space="preserve">, Forfeiture Order, 14 FCC Rcd 2940, 2941-2 (CIB 1999) (citing </w:t>
      </w:r>
      <w:r w:rsidRPr="00F705DD">
        <w:rPr>
          <w:i/>
        </w:rPr>
        <w:t>Empire Broadcasting Corp.</w:t>
      </w:r>
      <w:r>
        <w:t xml:space="preserve">, Memorandum Opinion and Order, 25 FCC 2d 68 (1970)); </w:t>
      </w:r>
      <w:r>
        <w:rPr>
          <w:i/>
        </w:rPr>
        <w:t>see also</w:t>
      </w:r>
      <w:r>
        <w:t xml:space="preserve"> </w:t>
      </w:r>
      <w:r>
        <w:rPr>
          <w:i/>
        </w:rPr>
        <w:t>Vearl</w:t>
      </w:r>
      <w:r>
        <w:rPr>
          <w:i/>
        </w:rPr>
        <w:t xml:space="preserve"> Pennington and Michael Williamson, Morehead, Kentucky, </w:t>
      </w:r>
      <w:r>
        <w:t xml:space="preserve">Notice of Apparent Liability for Forfeiture, 32 FCC Rcd 4206, 4210, para 12 (2017) (citing </w:t>
      </w:r>
      <w:r>
        <w:rPr>
          <w:i/>
        </w:rPr>
        <w:t>Hemmingford</w:t>
      </w:r>
      <w:r>
        <w:rPr>
          <w:i/>
        </w:rPr>
        <w:t xml:space="preserve"> Media, Inc.</w:t>
      </w:r>
      <w:r>
        <w:t xml:space="preserve">). </w:t>
      </w:r>
    </w:p>
  </w:footnote>
  <w:footnote w:id="28">
    <w:p w:rsidR="00BE5DB6">
      <w:pPr>
        <w:pStyle w:val="FootnoteText"/>
      </w:pPr>
      <w:r>
        <w:rPr>
          <w:rStyle w:val="FootnoteReference"/>
        </w:rPr>
        <w:footnoteRef/>
      </w:r>
      <w:r>
        <w:t xml:space="preserve"> </w:t>
      </w:r>
      <w:r w:rsidR="000738FE">
        <w:t>47 CFR § 74.1235(e).</w:t>
      </w:r>
    </w:p>
  </w:footnote>
  <w:footnote w:id="29">
    <w:p w:rsidR="00FB6405" w:rsidP="00FB6405">
      <w:pPr>
        <w:pStyle w:val="FootnoteText"/>
      </w:pPr>
      <w:r>
        <w:rPr>
          <w:rStyle w:val="FootnoteReference"/>
        </w:rPr>
        <w:footnoteRef/>
      </w:r>
      <w:r>
        <w:t xml:space="preserve"> NAL Response at 3, para. 4.</w:t>
      </w:r>
    </w:p>
  </w:footnote>
  <w:footnote w:id="30">
    <w:p w:rsidR="00C22961">
      <w:pPr>
        <w:pStyle w:val="FootnoteText"/>
      </w:pPr>
      <w:r>
        <w:rPr>
          <w:rStyle w:val="FootnoteReference"/>
        </w:rPr>
        <w:footnoteRef/>
      </w:r>
      <w:r>
        <w:t xml:space="preserve"> NAL Response at 2, para. 2.</w:t>
      </w:r>
    </w:p>
  </w:footnote>
  <w:footnote w:id="31">
    <w:p w:rsidR="003A6C03" w:rsidRPr="00344C0B" w:rsidP="003A6C03">
      <w:pPr>
        <w:pStyle w:val="FootnoteText"/>
      </w:pPr>
      <w:r w:rsidRPr="00344C0B">
        <w:rPr>
          <w:rStyle w:val="FootnoteReference"/>
        </w:rPr>
        <w:footnoteRef/>
      </w:r>
      <w:r w:rsidRPr="00344C0B">
        <w:t xml:space="preserve"> 47 U.S.C. § 503(b).</w:t>
      </w:r>
    </w:p>
  </w:footnote>
  <w:footnote w:id="32">
    <w:p w:rsidR="003A6C03" w:rsidRPr="004D37F1" w:rsidP="003A6C03">
      <w:pPr>
        <w:pStyle w:val="FootnoteText"/>
      </w:pPr>
      <w:r w:rsidRPr="00344C0B">
        <w:rPr>
          <w:rStyle w:val="FootnoteReference"/>
        </w:rPr>
        <w:footnoteRef/>
      </w:r>
      <w:r w:rsidRPr="004D37F1">
        <w:t xml:space="preserve"> 47 CFR § 1.80.</w:t>
      </w:r>
    </w:p>
  </w:footnote>
  <w:footnote w:id="33">
    <w:p w:rsidR="007B75A8" w:rsidRPr="004D37F1">
      <w:pPr>
        <w:pStyle w:val="FootnoteText"/>
      </w:pPr>
      <w:r>
        <w:rPr>
          <w:rStyle w:val="FootnoteReference"/>
        </w:rPr>
        <w:footnoteRef/>
      </w:r>
      <w:r w:rsidRPr="004D37F1">
        <w:t xml:space="preserve"> </w:t>
      </w:r>
      <w:r w:rsidR="004C5175">
        <w:t xml:space="preserve">47 U.S.C. § 301; </w:t>
      </w:r>
      <w:r w:rsidRPr="004D37F1">
        <w:t>47 CFR §§ 1.903(a), 74.1235(e).</w:t>
      </w:r>
    </w:p>
  </w:footnote>
  <w:footnote w:id="34">
    <w:p w:rsidR="003A6C03" w:rsidRPr="004D37F1" w:rsidP="003A6C03">
      <w:pPr>
        <w:pStyle w:val="FootnoteText"/>
      </w:pPr>
      <w:r w:rsidRPr="00344C0B">
        <w:rPr>
          <w:rStyle w:val="FootnoteReference"/>
        </w:rPr>
        <w:footnoteRef/>
      </w:r>
      <w:r w:rsidRPr="004D37F1">
        <w:t xml:space="preserve"> </w:t>
      </w:r>
      <w:r w:rsidRPr="004D37F1">
        <w:rPr>
          <w:i/>
        </w:rPr>
        <w:t>Id.</w:t>
      </w:r>
    </w:p>
  </w:footnote>
  <w:footnote w:id="35">
    <w:p w:rsidR="003A6C03" w:rsidRPr="00344C0B" w:rsidP="003A6C03">
      <w:pPr>
        <w:pStyle w:val="FootnoteText"/>
      </w:pPr>
      <w:r w:rsidRPr="00344C0B">
        <w:rPr>
          <w:rStyle w:val="FootnoteReference"/>
        </w:rPr>
        <w:footnoteRef/>
      </w:r>
      <w:r w:rsidRPr="00344C0B">
        <w:t xml:space="preserve"> 47 U.S.C. § 504(a).</w:t>
      </w:r>
    </w:p>
  </w:footnote>
  <w:footnote w:id="36">
    <w:p w:rsidR="003A6C03" w:rsidRPr="00344C0B" w:rsidP="003A6C03">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37">
    <w:p w:rsidR="003A6C03" w:rsidRPr="0030738C" w:rsidP="003A6C03">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4251E">
      <w:t>DA 18-</w:t>
    </w:r>
    <w:r w:rsidR="00F40812">
      <w:t>805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4251E">
      <w:rPr>
        <w:spacing w:val="-2"/>
      </w:rPr>
      <w:t>DA 18-</w:t>
    </w:r>
    <w:r w:rsidR="00F40812">
      <w:rPr>
        <w:spacing w:val="-2"/>
      </w:rPr>
      <w:t>805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88C585C"/>
    <w:multiLevelType w:val="hybridMultilevel"/>
    <w:tmpl w:val="1B46AD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7"/>
  </w:num>
  <w:num w:numId="9">
    <w:abstractNumId w:val="8"/>
    <w:lvlOverride w:ilvl="0">
      <w:startOverride w:val="1"/>
    </w:lvlOverride>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5"/>
  </w:num>
  <w:num w:numId="22">
    <w:abstractNumId w:val="8"/>
  </w:num>
  <w:num w:numId="23">
    <w:abstractNumId w:val="8"/>
  </w:num>
  <w:num w:numId="24">
    <w:abstractNumId w:val="8"/>
    <w:lvlOverride w:ilvl="0">
      <w:startOverride w:val="1"/>
    </w:lvlOverride>
  </w:num>
  <w:num w:numId="25">
    <w:abstractNumId w:val="8"/>
  </w:num>
  <w:num w:numId="26">
    <w:abstractNumId w:val="8"/>
    <w:lvlOverride w:ilvl="0">
      <w:startOverride w:val="1"/>
    </w:lvlOverride>
  </w:num>
  <w:num w:numId="27">
    <w:abstractNumId w:va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99F"/>
    <w:pPr>
      <w:widowControl w:val="0"/>
    </w:pPr>
    <w:rPr>
      <w:snapToGrid w:val="0"/>
      <w:kern w:val="28"/>
      <w:sz w:val="22"/>
    </w:rPr>
  </w:style>
  <w:style w:type="paragraph" w:styleId="Heading1">
    <w:name w:val="heading 1"/>
    <w:basedOn w:val="Normal"/>
    <w:next w:val="ParaNum"/>
    <w:link w:val="Heading1Char"/>
    <w:qFormat/>
    <w:rsid w:val="004129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1299F"/>
    <w:pPr>
      <w:keepNext/>
      <w:numPr>
        <w:ilvl w:val="1"/>
        <w:numId w:val="3"/>
      </w:numPr>
      <w:spacing w:after="120"/>
      <w:outlineLvl w:val="1"/>
    </w:pPr>
    <w:rPr>
      <w:b/>
    </w:rPr>
  </w:style>
  <w:style w:type="paragraph" w:styleId="Heading3">
    <w:name w:val="heading 3"/>
    <w:basedOn w:val="Normal"/>
    <w:next w:val="ParaNum"/>
    <w:qFormat/>
    <w:rsid w:val="0041299F"/>
    <w:pPr>
      <w:keepNext/>
      <w:numPr>
        <w:ilvl w:val="2"/>
        <w:numId w:val="3"/>
      </w:numPr>
      <w:tabs>
        <w:tab w:val="left" w:pos="2160"/>
      </w:tabs>
      <w:spacing w:after="120"/>
      <w:outlineLvl w:val="2"/>
    </w:pPr>
    <w:rPr>
      <w:b/>
    </w:rPr>
  </w:style>
  <w:style w:type="paragraph" w:styleId="Heading4">
    <w:name w:val="heading 4"/>
    <w:basedOn w:val="Normal"/>
    <w:next w:val="ParaNum"/>
    <w:qFormat/>
    <w:rsid w:val="0041299F"/>
    <w:pPr>
      <w:keepNext/>
      <w:numPr>
        <w:ilvl w:val="3"/>
        <w:numId w:val="3"/>
      </w:numPr>
      <w:tabs>
        <w:tab w:val="left" w:pos="2880"/>
      </w:tabs>
      <w:spacing w:after="120"/>
      <w:outlineLvl w:val="3"/>
    </w:pPr>
    <w:rPr>
      <w:b/>
    </w:rPr>
  </w:style>
  <w:style w:type="paragraph" w:styleId="Heading5">
    <w:name w:val="heading 5"/>
    <w:basedOn w:val="Normal"/>
    <w:next w:val="ParaNum"/>
    <w:qFormat/>
    <w:rsid w:val="0041299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1299F"/>
    <w:pPr>
      <w:numPr>
        <w:ilvl w:val="5"/>
        <w:numId w:val="3"/>
      </w:numPr>
      <w:tabs>
        <w:tab w:val="left" w:pos="4320"/>
      </w:tabs>
      <w:spacing w:after="120"/>
      <w:outlineLvl w:val="5"/>
    </w:pPr>
    <w:rPr>
      <w:b/>
    </w:rPr>
  </w:style>
  <w:style w:type="paragraph" w:styleId="Heading7">
    <w:name w:val="heading 7"/>
    <w:basedOn w:val="Normal"/>
    <w:next w:val="ParaNum"/>
    <w:qFormat/>
    <w:rsid w:val="004129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1299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129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29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299F"/>
  </w:style>
  <w:style w:type="paragraph" w:customStyle="1" w:styleId="ParaNum">
    <w:name w:val="ParaNum"/>
    <w:basedOn w:val="Normal"/>
    <w:link w:val="ParaNumChar"/>
    <w:rsid w:val="0041299F"/>
    <w:pPr>
      <w:numPr>
        <w:numId w:val="2"/>
      </w:numPr>
      <w:tabs>
        <w:tab w:val="clear" w:pos="1080"/>
        <w:tab w:val="num" w:pos="1440"/>
      </w:tabs>
      <w:spacing w:after="120"/>
    </w:pPr>
  </w:style>
  <w:style w:type="paragraph" w:styleId="EndnoteText">
    <w:name w:val="endnote text"/>
    <w:basedOn w:val="Normal"/>
    <w:semiHidden/>
    <w:rsid w:val="0041299F"/>
    <w:rPr>
      <w:sz w:val="20"/>
    </w:rPr>
  </w:style>
  <w:style w:type="character" w:styleId="EndnoteReference">
    <w:name w:val="endnote reference"/>
    <w:semiHidden/>
    <w:rsid w:val="0041299F"/>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41299F"/>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41299F"/>
    <w:rPr>
      <w:rFonts w:ascii="Times New Roman" w:hAnsi="Times New Roman"/>
      <w:dstrike w:val="0"/>
      <w:color w:val="auto"/>
      <w:sz w:val="20"/>
      <w:vertAlign w:val="superscript"/>
    </w:rPr>
  </w:style>
  <w:style w:type="paragraph" w:styleId="TOC1">
    <w:name w:val="toc 1"/>
    <w:basedOn w:val="Normal"/>
    <w:next w:val="Normal"/>
    <w:semiHidden/>
    <w:rsid w:val="004129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1299F"/>
    <w:pPr>
      <w:tabs>
        <w:tab w:val="left" w:pos="720"/>
        <w:tab w:val="right" w:leader="dot" w:pos="9360"/>
      </w:tabs>
      <w:suppressAutoHyphens/>
      <w:ind w:left="720" w:right="720" w:hanging="360"/>
    </w:pPr>
    <w:rPr>
      <w:noProof/>
    </w:rPr>
  </w:style>
  <w:style w:type="paragraph" w:styleId="TOC3">
    <w:name w:val="toc 3"/>
    <w:basedOn w:val="Normal"/>
    <w:next w:val="Normal"/>
    <w:semiHidden/>
    <w:rsid w:val="004129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29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29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29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29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29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29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299F"/>
    <w:pPr>
      <w:tabs>
        <w:tab w:val="right" w:pos="9360"/>
      </w:tabs>
      <w:suppressAutoHyphens/>
    </w:pPr>
  </w:style>
  <w:style w:type="character" w:customStyle="1" w:styleId="EquationCaption">
    <w:name w:val="_Equation Caption"/>
    <w:rsid w:val="0041299F"/>
  </w:style>
  <w:style w:type="paragraph" w:styleId="Header">
    <w:name w:val="header"/>
    <w:basedOn w:val="Normal"/>
    <w:autoRedefine/>
    <w:rsid w:val="0041299F"/>
    <w:pPr>
      <w:tabs>
        <w:tab w:val="center" w:pos="4680"/>
        <w:tab w:val="right" w:pos="9360"/>
      </w:tabs>
    </w:pPr>
    <w:rPr>
      <w:b/>
    </w:rPr>
  </w:style>
  <w:style w:type="paragraph" w:styleId="Footer">
    <w:name w:val="footer"/>
    <w:basedOn w:val="Normal"/>
    <w:link w:val="FooterChar"/>
    <w:uiPriority w:val="99"/>
    <w:rsid w:val="0041299F"/>
    <w:pPr>
      <w:tabs>
        <w:tab w:val="center" w:pos="4320"/>
        <w:tab w:val="right" w:pos="8640"/>
      </w:tabs>
    </w:pPr>
  </w:style>
  <w:style w:type="character" w:styleId="PageNumber">
    <w:name w:val="page number"/>
    <w:basedOn w:val="DefaultParagraphFont"/>
    <w:rsid w:val="0041299F"/>
  </w:style>
  <w:style w:type="paragraph" w:styleId="BlockText">
    <w:name w:val="Block Text"/>
    <w:basedOn w:val="Normal"/>
    <w:rsid w:val="0041299F"/>
    <w:pPr>
      <w:spacing w:after="240"/>
      <w:ind w:left="1440" w:right="1440"/>
    </w:pPr>
  </w:style>
  <w:style w:type="paragraph" w:customStyle="1" w:styleId="Paratitle">
    <w:name w:val="Para title"/>
    <w:basedOn w:val="Normal"/>
    <w:rsid w:val="0041299F"/>
    <w:pPr>
      <w:tabs>
        <w:tab w:val="center" w:pos="9270"/>
      </w:tabs>
      <w:spacing w:after="240"/>
    </w:pPr>
    <w:rPr>
      <w:spacing w:val="-2"/>
    </w:rPr>
  </w:style>
  <w:style w:type="paragraph" w:customStyle="1" w:styleId="Bullet">
    <w:name w:val="Bullet"/>
    <w:basedOn w:val="Normal"/>
    <w:rsid w:val="0041299F"/>
    <w:pPr>
      <w:tabs>
        <w:tab w:val="left" w:pos="2160"/>
      </w:tabs>
      <w:spacing w:after="220"/>
      <w:ind w:left="2160" w:hanging="720"/>
    </w:pPr>
  </w:style>
  <w:style w:type="paragraph" w:customStyle="1" w:styleId="TableFormat">
    <w:name w:val="TableFormat"/>
    <w:basedOn w:val="Bullet"/>
    <w:rsid w:val="0041299F"/>
    <w:pPr>
      <w:tabs>
        <w:tab w:val="clear" w:pos="2160"/>
        <w:tab w:val="left" w:pos="5040"/>
      </w:tabs>
      <w:ind w:left="5040" w:hanging="3600"/>
    </w:pPr>
  </w:style>
  <w:style w:type="paragraph" w:customStyle="1" w:styleId="TOCTitle">
    <w:name w:val="TOC Title"/>
    <w:basedOn w:val="Normal"/>
    <w:rsid w:val="004129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299F"/>
    <w:pPr>
      <w:jc w:val="center"/>
    </w:pPr>
    <w:rPr>
      <w:rFonts w:ascii="Times New Roman Bold" w:hAnsi="Times New Roman Bold"/>
      <w:b/>
      <w:bCs/>
      <w:caps/>
      <w:szCs w:val="22"/>
    </w:rPr>
  </w:style>
  <w:style w:type="character" w:styleId="Hyperlink">
    <w:name w:val="Hyperlink"/>
    <w:rsid w:val="0041299F"/>
    <w:rPr>
      <w:color w:val="0000FF"/>
      <w:u w:val="single"/>
    </w:rPr>
  </w:style>
  <w:style w:type="character" w:customStyle="1" w:styleId="Heading1Char">
    <w:name w:val="Heading 1 Char"/>
    <w:link w:val="Heading1"/>
    <w:locked/>
    <w:rsid w:val="003A6C03"/>
    <w:rPr>
      <w:rFonts w:ascii="Times New Roman Bold" w:hAnsi="Times New Roman Bold"/>
      <w:b/>
      <w:caps/>
      <w:snapToGrid w:val="0"/>
      <w:kern w:val="28"/>
      <w:sz w:val="22"/>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3A6C03"/>
  </w:style>
  <w:style w:type="character" w:customStyle="1" w:styleId="ParaNumChar">
    <w:name w:val="ParaNum Char"/>
    <w:link w:val="ParaNum"/>
    <w:locked/>
    <w:rsid w:val="003A6C03"/>
    <w:rPr>
      <w:snapToGrid w:val="0"/>
      <w:kern w:val="28"/>
      <w:sz w:val="22"/>
    </w:rPr>
  </w:style>
  <w:style w:type="paragraph" w:customStyle="1" w:styleId="par1">
    <w:name w:val="par1"/>
    <w:basedOn w:val="Normal"/>
    <w:link w:val="par1Char"/>
    <w:uiPriority w:val="99"/>
    <w:rsid w:val="003A6C03"/>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A6C03"/>
    <w:rPr>
      <w:kern w:val="28"/>
    </w:rPr>
  </w:style>
  <w:style w:type="character" w:customStyle="1" w:styleId="UnresolvedMention">
    <w:name w:val="Unresolved Mention"/>
    <w:uiPriority w:val="99"/>
    <w:semiHidden/>
    <w:unhideWhenUsed/>
    <w:rsid w:val="003A6C03"/>
    <w:rPr>
      <w:color w:val="808080"/>
      <w:shd w:val="clear" w:color="auto" w:fill="E6E6E6"/>
    </w:rPr>
  </w:style>
  <w:style w:type="paragraph" w:styleId="BalloonText">
    <w:name w:val="Balloon Text"/>
    <w:basedOn w:val="Normal"/>
    <w:link w:val="BalloonTextChar"/>
    <w:rsid w:val="00A15DD8"/>
    <w:rPr>
      <w:rFonts w:ascii="Segoe UI" w:hAnsi="Segoe UI" w:cs="Segoe UI"/>
      <w:sz w:val="18"/>
      <w:szCs w:val="18"/>
    </w:rPr>
  </w:style>
  <w:style w:type="character" w:customStyle="1" w:styleId="BalloonTextChar">
    <w:name w:val="Balloon Text Char"/>
    <w:basedOn w:val="DefaultParagraphFont"/>
    <w:link w:val="BalloonText"/>
    <w:rsid w:val="00A15DD8"/>
    <w:rPr>
      <w:rFonts w:ascii="Segoe UI" w:hAnsi="Segoe UI" w:cs="Segoe UI"/>
      <w:snapToGrid w:val="0"/>
      <w:kern w:val="28"/>
      <w:sz w:val="18"/>
      <w:szCs w:val="18"/>
    </w:rPr>
  </w:style>
  <w:style w:type="character" w:styleId="CommentReference">
    <w:name w:val="annotation reference"/>
    <w:basedOn w:val="DefaultParagraphFont"/>
    <w:rsid w:val="005A496A"/>
    <w:rPr>
      <w:sz w:val="16"/>
      <w:szCs w:val="16"/>
    </w:rPr>
  </w:style>
  <w:style w:type="paragraph" w:styleId="CommentText">
    <w:name w:val="annotation text"/>
    <w:basedOn w:val="Normal"/>
    <w:link w:val="CommentTextChar"/>
    <w:rsid w:val="005A496A"/>
    <w:rPr>
      <w:sz w:val="20"/>
    </w:rPr>
  </w:style>
  <w:style w:type="character" w:customStyle="1" w:styleId="CommentTextChar">
    <w:name w:val="Comment Text Char"/>
    <w:basedOn w:val="DefaultParagraphFont"/>
    <w:link w:val="CommentText"/>
    <w:rsid w:val="005A496A"/>
    <w:rPr>
      <w:snapToGrid w:val="0"/>
      <w:kern w:val="28"/>
    </w:rPr>
  </w:style>
  <w:style w:type="paragraph" w:styleId="CommentSubject">
    <w:name w:val="annotation subject"/>
    <w:basedOn w:val="CommentText"/>
    <w:next w:val="CommentText"/>
    <w:link w:val="CommentSubjectChar"/>
    <w:rsid w:val="005A496A"/>
    <w:rPr>
      <w:b/>
      <w:bCs/>
    </w:rPr>
  </w:style>
  <w:style w:type="character" w:customStyle="1" w:styleId="CommentSubjectChar">
    <w:name w:val="Comment Subject Char"/>
    <w:basedOn w:val="CommentTextChar"/>
    <w:link w:val="CommentSubject"/>
    <w:rsid w:val="005A496A"/>
    <w:rPr>
      <w:b/>
      <w:bCs/>
      <w:snapToGrid w:val="0"/>
      <w:kern w:val="28"/>
    </w:rPr>
  </w:style>
  <w:style w:type="paragraph" w:styleId="Revision">
    <w:name w:val="Revision"/>
    <w:hidden/>
    <w:uiPriority w:val="99"/>
    <w:semiHidden/>
    <w:rsid w:val="005A496A"/>
    <w:rPr>
      <w:snapToGrid w:val="0"/>
      <w:kern w:val="28"/>
      <w:sz w:val="22"/>
    </w:rPr>
  </w:style>
  <w:style w:type="character" w:customStyle="1" w:styleId="FooterChar">
    <w:name w:val="Footer Char"/>
    <w:link w:val="Footer"/>
    <w:uiPriority w:val="99"/>
    <w:rsid w:val="0041299F"/>
    <w:rPr>
      <w:snapToGrid w:val="0"/>
      <w:kern w:val="28"/>
      <w:sz w:val="22"/>
    </w:rPr>
  </w:style>
  <w:style w:type="character" w:customStyle="1" w:styleId="documentbody">
    <w:name w:val="documentbody"/>
    <w:uiPriority w:val="99"/>
    <w:rsid w:val="0006692E"/>
  </w:style>
  <w:style w:type="character" w:customStyle="1" w:styleId="searchterm">
    <w:name w:val="searchterm"/>
    <w:uiPriority w:val="99"/>
    <w:rsid w:val="0006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