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RPr="008624B6" w:rsidP="00487EEE">
      <w:pPr>
        <w:spacing w:after="120"/>
        <w:jc w:val="right"/>
        <w:rPr>
          <w:b/>
          <w:sz w:val="24"/>
        </w:rPr>
      </w:pPr>
      <w:r w:rsidRPr="008624B6">
        <w:rPr>
          <w:b/>
          <w:sz w:val="24"/>
        </w:rPr>
        <w:t>DA 18-</w:t>
      </w:r>
      <w:r w:rsidR="00C52AEF">
        <w:rPr>
          <w:b/>
          <w:sz w:val="24"/>
        </w:rPr>
        <w:t>817</w:t>
      </w:r>
    </w:p>
    <w:p w:rsidR="008624B6" w:rsidRPr="008624B6" w:rsidP="00C82B6B">
      <w:pPr>
        <w:jc w:val="right"/>
        <w:rPr>
          <w:b/>
          <w:sz w:val="24"/>
        </w:rPr>
      </w:pPr>
      <w:r w:rsidRPr="008624B6">
        <w:rPr>
          <w:b/>
          <w:sz w:val="24"/>
        </w:rPr>
        <w:t>Aug</w:t>
      </w:r>
      <w:r>
        <w:rPr>
          <w:b/>
          <w:sz w:val="24"/>
        </w:rPr>
        <w:t>ust</w:t>
      </w:r>
      <w:r w:rsidRPr="008624B6">
        <w:rPr>
          <w:b/>
          <w:sz w:val="24"/>
        </w:rPr>
        <w:t xml:space="preserve"> </w:t>
      </w:r>
      <w:r w:rsidR="00B263FC">
        <w:rPr>
          <w:b/>
          <w:sz w:val="24"/>
        </w:rPr>
        <w:t>6</w:t>
      </w:r>
      <w:bookmarkStart w:id="0" w:name="_GoBack"/>
      <w:bookmarkEnd w:id="0"/>
      <w:r w:rsidRPr="008624B6">
        <w:rPr>
          <w:b/>
          <w:sz w:val="24"/>
        </w:rPr>
        <w:t>, 2018</w:t>
      </w:r>
    </w:p>
    <w:p w:rsidR="008624B6" w:rsidP="00C82B6B">
      <w:pPr>
        <w:jc w:val="right"/>
        <w:rPr>
          <w:sz w:val="24"/>
        </w:rPr>
      </w:pPr>
    </w:p>
    <w:p w:rsidR="008F109E">
      <w:pPr>
        <w:jc w:val="center"/>
        <w:rPr>
          <w:b/>
          <w:caps/>
          <w:szCs w:val="22"/>
        </w:rPr>
      </w:pPr>
      <w:r>
        <w:rPr>
          <w:b/>
          <w:caps/>
          <w:szCs w:val="22"/>
        </w:rPr>
        <w:t xml:space="preserve">WIRELESS TELECOMMUNICATIONS BUREAU ANNOUNCES AVAILABILITY OF </w:t>
      </w:r>
    </w:p>
    <w:p w:rsidR="008F109E">
      <w:pPr>
        <w:jc w:val="center"/>
        <w:rPr>
          <w:b/>
          <w:szCs w:val="22"/>
        </w:rPr>
      </w:pPr>
      <w:r w:rsidRPr="0099013F">
        <w:rPr>
          <w:b/>
          <w:szCs w:val="22"/>
        </w:rPr>
        <w:t>FCC FORM 17</w:t>
      </w:r>
      <w:r>
        <w:rPr>
          <w:b/>
          <w:szCs w:val="22"/>
        </w:rPr>
        <w:t>5</w:t>
      </w:r>
      <w:r w:rsidRPr="0099013F">
        <w:rPr>
          <w:b/>
          <w:szCs w:val="22"/>
        </w:rPr>
        <w:t xml:space="preserve"> </w:t>
      </w:r>
      <w:r w:rsidRPr="0099013F" w:rsidR="00C134D5">
        <w:rPr>
          <w:b/>
          <w:caps/>
          <w:szCs w:val="22"/>
        </w:rPr>
        <w:t>Application INSTRUCTIONS for</w:t>
      </w:r>
      <w:r w:rsidRPr="007B0F4A" w:rsidR="00C134D5">
        <w:rPr>
          <w:b/>
          <w:szCs w:val="22"/>
        </w:rPr>
        <w:t xml:space="preserve"> AUCTION</w:t>
      </w:r>
      <w:r w:rsidR="00C134D5">
        <w:rPr>
          <w:b/>
          <w:szCs w:val="22"/>
        </w:rPr>
        <w:t>S</w:t>
      </w:r>
      <w:r w:rsidRPr="007B0F4A" w:rsidR="00C134D5">
        <w:rPr>
          <w:b/>
          <w:szCs w:val="22"/>
        </w:rPr>
        <w:t xml:space="preserve"> </w:t>
      </w:r>
      <w:r>
        <w:rPr>
          <w:b/>
          <w:szCs w:val="22"/>
        </w:rPr>
        <w:t xml:space="preserve">101 AND </w:t>
      </w:r>
      <w:r w:rsidR="00E21842">
        <w:rPr>
          <w:b/>
          <w:szCs w:val="22"/>
        </w:rPr>
        <w:t>102</w:t>
      </w:r>
      <w:r>
        <w:rPr>
          <w:b/>
          <w:szCs w:val="22"/>
        </w:rPr>
        <w:t>;</w:t>
      </w:r>
      <w:r w:rsidR="00E21842">
        <w:rPr>
          <w:b/>
          <w:szCs w:val="22"/>
        </w:rPr>
        <w:t xml:space="preserve"> </w:t>
      </w:r>
    </w:p>
    <w:p w:rsidR="00C134D5">
      <w:pPr>
        <w:jc w:val="center"/>
        <w:rPr>
          <w:b/>
          <w:szCs w:val="22"/>
        </w:rPr>
      </w:pPr>
      <w:r>
        <w:rPr>
          <w:b/>
          <w:szCs w:val="22"/>
        </w:rPr>
        <w:t xml:space="preserve">FCC FORM 159 </w:t>
      </w:r>
      <w:r w:rsidR="00E21842">
        <w:rPr>
          <w:b/>
          <w:szCs w:val="22"/>
        </w:rPr>
        <w:t>INSTRUCTIONS FOR</w:t>
      </w:r>
      <w:r>
        <w:rPr>
          <w:b/>
          <w:szCs w:val="22"/>
        </w:rPr>
        <w:t xml:space="preserve"> </w:t>
      </w:r>
      <w:r w:rsidR="00E21842">
        <w:rPr>
          <w:b/>
          <w:szCs w:val="22"/>
        </w:rPr>
        <w:t xml:space="preserve">AUCTION 101 </w:t>
      </w:r>
      <w:r>
        <w:rPr>
          <w:b/>
          <w:szCs w:val="22"/>
        </w:rPr>
        <w:t xml:space="preserve">UPFRONT PAYMENTS; </w:t>
      </w:r>
      <w:r w:rsidR="00907195">
        <w:rPr>
          <w:b/>
          <w:szCs w:val="22"/>
        </w:rPr>
        <w:t xml:space="preserve">AND </w:t>
      </w:r>
      <w:r>
        <w:rPr>
          <w:b/>
          <w:szCs w:val="22"/>
        </w:rPr>
        <w:t xml:space="preserve">TECHNICAL GUIDES </w:t>
      </w:r>
      <w:r w:rsidR="00E21842">
        <w:rPr>
          <w:b/>
          <w:szCs w:val="22"/>
        </w:rPr>
        <w:t>FOR AUCTION 102</w:t>
      </w:r>
      <w:r w:rsidR="00987683">
        <w:rPr>
          <w:b/>
          <w:szCs w:val="22"/>
        </w:rPr>
        <w:t xml:space="preserve"> BIDDING</w:t>
      </w:r>
    </w:p>
    <w:p w:rsidR="00C134D5" w:rsidP="008624B6">
      <w:pPr>
        <w:widowControl/>
        <w:jc w:val="center"/>
        <w:rPr>
          <w:b/>
          <w:szCs w:val="22"/>
        </w:rPr>
      </w:pPr>
    </w:p>
    <w:p w:rsidR="008624B6" w:rsidRPr="0099013F" w:rsidP="008624B6">
      <w:pPr>
        <w:widowControl/>
        <w:jc w:val="center"/>
        <w:rPr>
          <w:b/>
          <w:szCs w:val="22"/>
        </w:rPr>
      </w:pPr>
      <w:r w:rsidRPr="0099013F">
        <w:rPr>
          <w:b/>
          <w:szCs w:val="22"/>
        </w:rPr>
        <w:t>AU Docket No. 1</w:t>
      </w:r>
      <w:r w:rsidR="00C134D5">
        <w:rPr>
          <w:b/>
          <w:szCs w:val="22"/>
        </w:rPr>
        <w:t>8-85</w:t>
      </w:r>
    </w:p>
    <w:p w:rsidR="008624B6" w:rsidRPr="00464FD4" w:rsidP="008624B6">
      <w:pPr>
        <w:widowControl/>
      </w:pPr>
      <w:bookmarkStart w:id="1" w:name="_Toc431569565"/>
      <w:bookmarkStart w:id="2" w:name="_Toc433271945"/>
      <w:bookmarkStart w:id="3" w:name="_Toc433643983"/>
    </w:p>
    <w:p w:rsidR="00E25E08" w:rsidP="008D560E">
      <w:pPr>
        <w:pStyle w:val="ParaNum"/>
      </w:pPr>
      <w:bookmarkEnd w:id="1"/>
      <w:bookmarkEnd w:id="2"/>
      <w:bookmarkEnd w:id="3"/>
      <w:r w:rsidRPr="00753BBC">
        <w:t xml:space="preserve">The Wireless Telecommunications Bureau </w:t>
      </w:r>
      <w:r w:rsidR="00041F05">
        <w:t xml:space="preserve">(Bureau) </w:t>
      </w:r>
      <w:r w:rsidRPr="00753BBC">
        <w:t xml:space="preserve">today </w:t>
      </w:r>
      <w:r w:rsidR="00E21842">
        <w:t xml:space="preserve">announces the availability of </w:t>
      </w:r>
      <w:r w:rsidR="00FD762B">
        <w:t xml:space="preserve">certain </w:t>
      </w:r>
      <w:r w:rsidRPr="00753BBC">
        <w:t xml:space="preserve">instructions </w:t>
      </w:r>
      <w:r w:rsidR="00CD7D8D">
        <w:t xml:space="preserve">and technical guides for potential participants </w:t>
      </w:r>
      <w:r w:rsidRPr="00D66839" w:rsidR="003E4328">
        <w:t xml:space="preserve">in the </w:t>
      </w:r>
      <w:r w:rsidR="00CD7D8D">
        <w:t xml:space="preserve">upcoming </w:t>
      </w:r>
      <w:r w:rsidR="003E4328">
        <w:t xml:space="preserve">auctions of Upper Microwave Flexible Use Service </w:t>
      </w:r>
      <w:r w:rsidRPr="0064234E" w:rsidR="003E4328">
        <w:t xml:space="preserve">licenses in the </w:t>
      </w:r>
      <w:r w:rsidR="003E4328">
        <w:t>28 GHz band (Auction 101) and 24 GHz band (Auction 102)</w:t>
      </w:r>
      <w:r w:rsidR="00CD7D8D">
        <w:t>.</w:t>
      </w:r>
      <w:r>
        <w:rPr>
          <w:rStyle w:val="FootnoteReference"/>
          <w:szCs w:val="22"/>
        </w:rPr>
        <w:footnoteReference w:id="3"/>
      </w:r>
      <w:r w:rsidRPr="00753BBC">
        <w:t xml:space="preserve"> </w:t>
      </w:r>
      <w:r w:rsidR="00CD7D8D">
        <w:t xml:space="preserve"> Specifically, the Bureau has posted on the relevant websites for Auctions 101 and 102 the following:</w:t>
      </w:r>
    </w:p>
    <w:p w:rsidR="003E03C7" w:rsidP="003E03C7">
      <w:pPr>
        <w:pStyle w:val="ParaNum"/>
        <w:numPr>
          <w:ilvl w:val="0"/>
          <w:numId w:val="137"/>
        </w:numPr>
      </w:pPr>
      <w:r>
        <w:t xml:space="preserve">instructions </w:t>
      </w:r>
      <w:r w:rsidRPr="00753BBC">
        <w:t xml:space="preserve">for completing </w:t>
      </w:r>
      <w:r w:rsidRPr="00805BF4">
        <w:t>FCC Form 175</w:t>
      </w:r>
      <w:r>
        <w:t xml:space="preserve"> short-form applications for Auctions 101 and 102</w:t>
      </w:r>
      <w:r w:rsidR="004D49AE">
        <w:t>,</w:t>
      </w:r>
      <w:r>
        <w:rPr>
          <w:rStyle w:val="FootnoteReference"/>
        </w:rPr>
        <w:footnoteReference w:id="4"/>
      </w:r>
    </w:p>
    <w:p w:rsidR="003E03C7" w:rsidP="003E03C7">
      <w:pPr>
        <w:pStyle w:val="ParaNum"/>
        <w:numPr>
          <w:ilvl w:val="0"/>
          <w:numId w:val="137"/>
        </w:numPr>
      </w:pPr>
      <w:r>
        <w:t xml:space="preserve">instructions for completing </w:t>
      </w:r>
      <w:r w:rsidR="00041F05">
        <w:t xml:space="preserve">FCC </w:t>
      </w:r>
      <w:r>
        <w:t>Form 159 (Remittance Advice) whi</w:t>
      </w:r>
      <w:r w:rsidR="001E4B38">
        <w:t xml:space="preserve">ch each applicant must submit </w:t>
      </w:r>
      <w:r w:rsidR="00B07797">
        <w:t xml:space="preserve">for </w:t>
      </w:r>
      <w:r w:rsidR="001E4B38">
        <w:t>its upfront payment</w:t>
      </w:r>
      <w:r w:rsidR="00041F05">
        <w:t xml:space="preserve"> in Auction 101</w:t>
      </w:r>
      <w:r w:rsidR="004D49AE">
        <w:t>,</w:t>
      </w:r>
      <w:r>
        <w:rPr>
          <w:rStyle w:val="FootnoteReference"/>
        </w:rPr>
        <w:footnoteReference w:id="5"/>
      </w:r>
      <w:r w:rsidR="00987683">
        <w:t xml:space="preserve">  </w:t>
      </w:r>
    </w:p>
    <w:p w:rsidR="001E4B38" w:rsidRPr="00AA6C3F" w:rsidP="003E03C7">
      <w:pPr>
        <w:pStyle w:val="ParaNum"/>
        <w:numPr>
          <w:ilvl w:val="0"/>
          <w:numId w:val="137"/>
        </w:numPr>
      </w:pPr>
      <w:r>
        <w:t xml:space="preserve">technical </w:t>
      </w:r>
      <w:r w:rsidRPr="003E03C7" w:rsidR="00987683">
        <w:rPr>
          <w:szCs w:val="22"/>
        </w:rPr>
        <w:t xml:space="preserve">guides regarding the </w:t>
      </w:r>
      <w:r w:rsidRPr="003E03C7">
        <w:rPr>
          <w:szCs w:val="22"/>
        </w:rPr>
        <w:t>clock and assignment phases of</w:t>
      </w:r>
      <w:r w:rsidRPr="003E03C7" w:rsidR="00131384">
        <w:rPr>
          <w:szCs w:val="22"/>
        </w:rPr>
        <w:t xml:space="preserve"> the </w:t>
      </w:r>
      <w:r w:rsidRPr="00AB294C" w:rsidR="00131384">
        <w:t xml:space="preserve">ascending clock auction </w:t>
      </w:r>
      <w:r w:rsidRPr="003E03C7" w:rsidR="00987683">
        <w:rPr>
          <w:szCs w:val="22"/>
        </w:rPr>
        <w:t xml:space="preserve">bidding </w:t>
      </w:r>
      <w:r w:rsidRPr="003E03C7" w:rsidR="00131384">
        <w:rPr>
          <w:szCs w:val="22"/>
        </w:rPr>
        <w:t xml:space="preserve">to be used in </w:t>
      </w:r>
      <w:r w:rsidRPr="003E03C7" w:rsidR="00987683">
        <w:rPr>
          <w:szCs w:val="22"/>
        </w:rPr>
        <w:t>Auction 102.</w:t>
      </w:r>
      <w:r>
        <w:rPr>
          <w:rStyle w:val="FootnoteReference"/>
          <w:szCs w:val="22"/>
        </w:rPr>
        <w:footnoteReference w:id="6"/>
      </w:r>
      <w:r w:rsidRPr="003E03C7" w:rsidR="00987683">
        <w:rPr>
          <w:szCs w:val="22"/>
        </w:rPr>
        <w:t xml:space="preserve">  </w:t>
      </w:r>
    </w:p>
    <w:p w:rsidR="00907195" w:rsidP="006A61FA">
      <w:pPr>
        <w:pStyle w:val="ParaNum"/>
        <w:widowControl/>
      </w:pPr>
      <w:r w:rsidRPr="005D6EAC">
        <w:rPr>
          <w:i/>
        </w:rPr>
        <w:t xml:space="preserve">FCC Form 175 </w:t>
      </w:r>
      <w:r w:rsidRPr="00131384">
        <w:rPr>
          <w:i/>
        </w:rPr>
        <w:t>I</w:t>
      </w:r>
      <w:r w:rsidRPr="005D6EAC">
        <w:rPr>
          <w:i/>
        </w:rPr>
        <w:t>nstructions.</w:t>
      </w:r>
      <w:r w:rsidRPr="00753BBC">
        <w:t xml:space="preserve"> </w:t>
      </w:r>
      <w:r>
        <w:t xml:space="preserve"> </w:t>
      </w:r>
      <w:r w:rsidRPr="00753BBC" w:rsidR="0087288C">
        <w:t xml:space="preserve">The </w:t>
      </w:r>
      <w:r w:rsidR="003B32A5">
        <w:t>FCC Form</w:t>
      </w:r>
      <w:r w:rsidR="00987683">
        <w:t xml:space="preserve"> 175 </w:t>
      </w:r>
      <w:r w:rsidRPr="00753BBC" w:rsidR="0087288C">
        <w:t xml:space="preserve">instructions are available on </w:t>
      </w:r>
      <w:r w:rsidR="003E4328">
        <w:t xml:space="preserve">both </w:t>
      </w:r>
      <w:r w:rsidRPr="00753BBC" w:rsidR="0087288C">
        <w:t xml:space="preserve">the </w:t>
      </w:r>
      <w:r w:rsidR="003E4328">
        <w:t xml:space="preserve">Auction 101 website </w:t>
      </w:r>
      <w:r w:rsidRPr="00805BF4" w:rsidR="003E4328">
        <w:t>(</w:t>
      </w:r>
      <w:r>
        <w:fldChar w:fldCharType="begin"/>
      </w:r>
      <w:r>
        <w:instrText xml:space="preserve"> HYPERLINK "https://www.fcc.gov/auction/101" </w:instrText>
      </w:r>
      <w:r>
        <w:fldChar w:fldCharType="separate"/>
      </w:r>
      <w:r w:rsidR="008014C0">
        <w:rPr>
          <w:rStyle w:val="Hyperlink"/>
          <w:szCs w:val="22"/>
        </w:rPr>
        <w:t>www.fcc.gov/auction/101</w:t>
      </w:r>
      <w:r>
        <w:fldChar w:fldCharType="end"/>
      </w:r>
      <w:r w:rsidRPr="00805BF4" w:rsidR="003E4328">
        <w:t>)</w:t>
      </w:r>
      <w:r w:rsidR="003E4328">
        <w:t xml:space="preserve"> and the Auction 102 website (</w:t>
      </w:r>
      <w:r>
        <w:fldChar w:fldCharType="begin"/>
      </w:r>
      <w:r>
        <w:instrText xml:space="preserve"> HYPERLINK "https://www.fcc.gov/auction/102" </w:instrText>
      </w:r>
      <w:r>
        <w:fldChar w:fldCharType="separate"/>
      </w:r>
      <w:r w:rsidR="008014C0">
        <w:rPr>
          <w:rStyle w:val="Hyperlink"/>
          <w:szCs w:val="22"/>
        </w:rPr>
        <w:t>www.fcc.gov/auction/102</w:t>
      </w:r>
      <w:r>
        <w:fldChar w:fldCharType="end"/>
      </w:r>
      <w:r w:rsidR="003E4328">
        <w:t>)</w:t>
      </w:r>
      <w:r w:rsidRPr="00753BBC" w:rsidR="003E4328">
        <w:t xml:space="preserve"> </w:t>
      </w:r>
      <w:r w:rsidRPr="00753BBC" w:rsidR="0087288C">
        <w:t>under the “Education” tab</w:t>
      </w:r>
      <w:r w:rsidR="001E4B38">
        <w:t>.</w:t>
      </w:r>
      <w:r w:rsidRPr="00753BBC" w:rsidR="0087288C">
        <w:t xml:space="preserve"> </w:t>
      </w:r>
      <w:r w:rsidR="001E4B38">
        <w:t xml:space="preserve"> </w:t>
      </w:r>
      <w:r w:rsidRPr="00805BF4" w:rsidR="0092218C">
        <w:t xml:space="preserve">When filling out an FCC Form 175, </w:t>
      </w:r>
      <w:r w:rsidR="0092218C">
        <w:t>you</w:t>
      </w:r>
      <w:r w:rsidRPr="00805BF4" w:rsidR="0092218C">
        <w:t xml:space="preserve"> should follow the </w:t>
      </w:r>
      <w:r w:rsidR="0092218C">
        <w:t xml:space="preserve">FCC Form 175 </w:t>
      </w:r>
      <w:r w:rsidRPr="00805BF4" w:rsidR="0092218C">
        <w:t xml:space="preserve">instructions, along with the guidance provided in the </w:t>
      </w:r>
      <w:r w:rsidR="0092218C">
        <w:rPr>
          <w:i/>
        </w:rPr>
        <w:t>Auctions 101 and 102</w:t>
      </w:r>
      <w:r w:rsidRPr="00805BF4" w:rsidR="0092218C">
        <w:rPr>
          <w:i/>
        </w:rPr>
        <w:t xml:space="preserve"> Procedures </w:t>
      </w:r>
      <w:r w:rsidRPr="00805BF4" w:rsidR="0092218C">
        <w:rPr>
          <w:i/>
        </w:rPr>
        <w:t>P</w:t>
      </w:r>
      <w:r w:rsidR="0092218C">
        <w:rPr>
          <w:i/>
        </w:rPr>
        <w:t xml:space="preserve">ublic </w:t>
      </w:r>
      <w:r w:rsidRPr="00805BF4" w:rsidR="0092218C">
        <w:rPr>
          <w:i/>
        </w:rPr>
        <w:t>N</w:t>
      </w:r>
      <w:r w:rsidR="0092218C">
        <w:rPr>
          <w:i/>
        </w:rPr>
        <w:t>otice</w:t>
      </w:r>
      <w:r w:rsidRPr="00805BF4" w:rsidR="0092218C">
        <w:t xml:space="preserve">.  </w:t>
      </w:r>
      <w:r w:rsidR="0092218C">
        <w:t>You</w:t>
      </w:r>
      <w:r w:rsidRPr="00805BF4" w:rsidR="0092218C">
        <w:t xml:space="preserve"> should also reference </w:t>
      </w:r>
      <w:r w:rsidRPr="00D66839" w:rsidR="0092218C">
        <w:t xml:space="preserve">other public notices and/or decisions that have been issued in this proceeding, any future public notices and/or decisions that may be issued in this proceeding, </w:t>
      </w:r>
      <w:r w:rsidRPr="00D66839" w:rsidR="0092218C">
        <w:t xml:space="preserve">and any other relevant public notices and/or decisions issued by the Commission in other proceedings that may relate to </w:t>
      </w:r>
      <w:r w:rsidR="0092218C">
        <w:t>Auctions 101 and 102</w:t>
      </w:r>
      <w:r w:rsidRPr="00805BF4" w:rsidR="0092218C">
        <w:t xml:space="preserve">.  </w:t>
      </w:r>
    </w:p>
    <w:p w:rsidR="00131384" w:rsidP="008D560E">
      <w:pPr>
        <w:pStyle w:val="ParaNum"/>
      </w:pPr>
      <w:r>
        <w:t>An online</w:t>
      </w:r>
      <w:r w:rsidRPr="00805BF4">
        <w:t xml:space="preserve"> </w:t>
      </w:r>
      <w:r w:rsidR="00B07797">
        <w:t>auction application</w:t>
      </w:r>
      <w:r w:rsidRPr="00805BF4">
        <w:t xml:space="preserve"> tutorial for </w:t>
      </w:r>
      <w:r>
        <w:t xml:space="preserve">Auctions 101 and 102 will </w:t>
      </w:r>
      <w:r w:rsidRPr="00753BBC">
        <w:t xml:space="preserve">be available </w:t>
      </w:r>
      <w:r>
        <w:t>by August 28, 2018,</w:t>
      </w:r>
      <w:r w:rsidRPr="00753BBC">
        <w:t xml:space="preserve"> to provide additional assistance to applicants in completing their short-form applications.  This tutorial will be accessible on </w:t>
      </w:r>
      <w:r>
        <w:t xml:space="preserve">both </w:t>
      </w:r>
      <w:r w:rsidRPr="00753BBC">
        <w:t xml:space="preserve">the </w:t>
      </w:r>
      <w:r w:rsidRPr="00805BF4">
        <w:t>Auction 10</w:t>
      </w:r>
      <w:r>
        <w:t>1</w:t>
      </w:r>
      <w:r w:rsidRPr="00805BF4">
        <w:t xml:space="preserve"> website (</w:t>
      </w:r>
      <w:r>
        <w:fldChar w:fldCharType="begin"/>
      </w:r>
      <w:r>
        <w:instrText xml:space="preserve"> HYPERLINK "https://www.fcc.gov/auction/101" </w:instrText>
      </w:r>
      <w:r>
        <w:fldChar w:fldCharType="separate"/>
      </w:r>
      <w:r w:rsidR="008014C0">
        <w:rPr>
          <w:rStyle w:val="Hyperlink"/>
          <w:szCs w:val="22"/>
        </w:rPr>
        <w:t>www.fcc.gov/auction/101</w:t>
      </w:r>
      <w:r>
        <w:fldChar w:fldCharType="end"/>
      </w:r>
      <w:r w:rsidRPr="00805BF4">
        <w:t>)</w:t>
      </w:r>
      <w:r>
        <w:t xml:space="preserve"> and the Auction 102 website (</w:t>
      </w:r>
      <w:r>
        <w:fldChar w:fldCharType="begin"/>
      </w:r>
      <w:r>
        <w:instrText xml:space="preserve"> HYPERLINK "https://www.fcc.gov/auction/102" </w:instrText>
      </w:r>
      <w:r>
        <w:fldChar w:fldCharType="separate"/>
      </w:r>
      <w:r w:rsidR="008014C0">
        <w:rPr>
          <w:rStyle w:val="Hyperlink"/>
          <w:szCs w:val="22"/>
        </w:rPr>
        <w:t>www.fcc.gov/auction/102</w:t>
      </w:r>
      <w:r>
        <w:fldChar w:fldCharType="end"/>
      </w:r>
      <w:r>
        <w:t>)</w:t>
      </w:r>
      <w:r w:rsidRPr="00753BBC">
        <w:t xml:space="preserve"> through a link under the “Education” tab.</w:t>
      </w:r>
      <w:r>
        <w:rPr>
          <w:rStyle w:val="CommentReference"/>
        </w:rPr>
        <w:t xml:space="preserve"> </w:t>
      </w:r>
    </w:p>
    <w:p w:rsidR="00E25E08" w:rsidP="008D560E">
      <w:pPr>
        <w:pStyle w:val="ParaNum"/>
      </w:pPr>
      <w:r w:rsidRPr="005D6EAC">
        <w:rPr>
          <w:i/>
        </w:rPr>
        <w:t>FCC Form 15</w:t>
      </w:r>
      <w:r>
        <w:rPr>
          <w:i/>
        </w:rPr>
        <w:t>9</w:t>
      </w:r>
      <w:r w:rsidRPr="005D6EAC">
        <w:rPr>
          <w:i/>
        </w:rPr>
        <w:t xml:space="preserve"> </w:t>
      </w:r>
      <w:r w:rsidRPr="00131384">
        <w:rPr>
          <w:i/>
        </w:rPr>
        <w:t>I</w:t>
      </w:r>
      <w:r w:rsidRPr="005D6EAC">
        <w:rPr>
          <w:i/>
        </w:rPr>
        <w:t>nstructions</w:t>
      </w:r>
      <w:r>
        <w:t xml:space="preserve">. </w:t>
      </w:r>
      <w:r w:rsidRPr="00753BBC">
        <w:t xml:space="preserve"> </w:t>
      </w:r>
      <w:r w:rsidRPr="00753BBC" w:rsidR="00AE492A">
        <w:t xml:space="preserve">The </w:t>
      </w:r>
      <w:r w:rsidR="00AE492A">
        <w:t>FCC Form</w:t>
      </w:r>
      <w:r w:rsidR="006172EC">
        <w:t xml:space="preserve"> 159</w:t>
      </w:r>
      <w:r w:rsidR="00AE492A">
        <w:t xml:space="preserve"> </w:t>
      </w:r>
      <w:r w:rsidRPr="00753BBC" w:rsidR="00AE492A">
        <w:t xml:space="preserve">instructions </w:t>
      </w:r>
      <w:r w:rsidR="00B07797">
        <w:t xml:space="preserve">for Auction 101 </w:t>
      </w:r>
      <w:r w:rsidRPr="00753BBC" w:rsidR="00AE492A">
        <w:t xml:space="preserve">are available on the </w:t>
      </w:r>
      <w:r w:rsidR="00AE492A">
        <w:t xml:space="preserve">Auction 101 website </w:t>
      </w:r>
      <w:r w:rsidRPr="00805BF4" w:rsidR="00AE492A">
        <w:t>(</w:t>
      </w:r>
      <w:r>
        <w:fldChar w:fldCharType="begin"/>
      </w:r>
      <w:r>
        <w:instrText xml:space="preserve"> HYPERLINK "https://www.fcc.gov/auction/101" </w:instrText>
      </w:r>
      <w:r>
        <w:fldChar w:fldCharType="separate"/>
      </w:r>
      <w:r w:rsidR="008014C0">
        <w:rPr>
          <w:rStyle w:val="Hyperlink"/>
          <w:szCs w:val="22"/>
        </w:rPr>
        <w:t>www.fcc.gov/auction/101</w:t>
      </w:r>
      <w:r>
        <w:fldChar w:fldCharType="end"/>
      </w:r>
      <w:r w:rsidRPr="00805BF4" w:rsidR="00AE492A">
        <w:t>)</w:t>
      </w:r>
      <w:r w:rsidR="00AE492A">
        <w:t xml:space="preserve"> </w:t>
      </w:r>
      <w:r w:rsidRPr="00753BBC" w:rsidR="00AE492A">
        <w:t>under the “Education” tab.</w:t>
      </w:r>
      <w:r w:rsidR="001E4B38">
        <w:t xml:space="preserve"> </w:t>
      </w:r>
    </w:p>
    <w:p w:rsidR="00E25E08" w:rsidP="008D560E">
      <w:pPr>
        <w:pStyle w:val="ParaNum"/>
        <w:rPr>
          <w:szCs w:val="22"/>
        </w:rPr>
      </w:pPr>
      <w:r w:rsidRPr="00875BE2">
        <w:rPr>
          <w:i/>
        </w:rPr>
        <w:t>Technical Guides</w:t>
      </w:r>
      <w:r w:rsidR="00A41CA2">
        <w:rPr>
          <w:i/>
        </w:rPr>
        <w:t xml:space="preserve">.  </w:t>
      </w:r>
      <w:r w:rsidR="00151636">
        <w:rPr>
          <w:szCs w:val="22"/>
        </w:rPr>
        <w:t>The technical guides, which are entitled</w:t>
      </w:r>
      <w:r w:rsidR="00151636">
        <w:rPr>
          <w:i/>
          <w:szCs w:val="22"/>
        </w:rPr>
        <w:t xml:space="preserve"> Auction 102 Clock Phase Technical Guide </w:t>
      </w:r>
      <w:r w:rsidR="00151636">
        <w:rPr>
          <w:szCs w:val="22"/>
        </w:rPr>
        <w:t xml:space="preserve">and </w:t>
      </w:r>
      <w:r w:rsidRPr="006F0217" w:rsidR="00151636">
        <w:rPr>
          <w:i/>
          <w:szCs w:val="22"/>
        </w:rPr>
        <w:t>Auction 102</w:t>
      </w:r>
      <w:r w:rsidR="00151636">
        <w:rPr>
          <w:szCs w:val="22"/>
        </w:rPr>
        <w:t xml:space="preserve"> </w:t>
      </w:r>
      <w:r w:rsidRPr="008E0862" w:rsidR="00151636">
        <w:rPr>
          <w:i/>
          <w:szCs w:val="22"/>
        </w:rPr>
        <w:t>Assignment Phase Technical Guide</w:t>
      </w:r>
      <w:r w:rsidR="00151636">
        <w:rPr>
          <w:szCs w:val="22"/>
        </w:rPr>
        <w:t>, are</w:t>
      </w:r>
      <w:r w:rsidRPr="00EB612E" w:rsidR="00151636">
        <w:rPr>
          <w:szCs w:val="22"/>
        </w:rPr>
        <w:t xml:space="preserve"> available </w:t>
      </w:r>
      <w:r w:rsidR="00151636">
        <w:rPr>
          <w:szCs w:val="22"/>
        </w:rPr>
        <w:t xml:space="preserve">on </w:t>
      </w:r>
      <w:r w:rsidRPr="00EB612E" w:rsidR="00151636">
        <w:rPr>
          <w:szCs w:val="22"/>
        </w:rPr>
        <w:t xml:space="preserve">the </w:t>
      </w:r>
      <w:r w:rsidR="00151636">
        <w:rPr>
          <w:szCs w:val="22"/>
        </w:rPr>
        <w:t>Commission’s Auction 102</w:t>
      </w:r>
      <w:r w:rsidRPr="00EB612E" w:rsidR="00151636">
        <w:rPr>
          <w:szCs w:val="22"/>
        </w:rPr>
        <w:t xml:space="preserve"> website (</w:t>
      </w:r>
      <w:r>
        <w:fldChar w:fldCharType="begin"/>
      </w:r>
      <w:r>
        <w:instrText xml:space="preserve"> HYPERLINK "https://www.fcc.gov/auction/102" </w:instrText>
      </w:r>
      <w:r>
        <w:fldChar w:fldCharType="separate"/>
      </w:r>
      <w:r w:rsidRPr="00987683" w:rsidR="00151636">
        <w:rPr>
          <w:rStyle w:val="Hyperlink"/>
          <w:szCs w:val="22"/>
        </w:rPr>
        <w:t>www.fcc.gov/auction/102</w:t>
      </w:r>
      <w:r>
        <w:fldChar w:fldCharType="end"/>
      </w:r>
      <w:r w:rsidRPr="00EB612E" w:rsidR="00151636">
        <w:rPr>
          <w:szCs w:val="22"/>
        </w:rPr>
        <w:t>)</w:t>
      </w:r>
      <w:r w:rsidR="00151636">
        <w:rPr>
          <w:szCs w:val="22"/>
        </w:rPr>
        <w:t xml:space="preserve"> under the “Education” tab</w:t>
      </w:r>
      <w:r w:rsidRPr="00EB612E" w:rsidR="00151636">
        <w:rPr>
          <w:szCs w:val="22"/>
        </w:rPr>
        <w:t>.</w:t>
      </w:r>
    </w:p>
    <w:p w:rsidR="00C134D5" w:rsidP="008D560E">
      <w:pPr>
        <w:pStyle w:val="ParaNum"/>
      </w:pPr>
      <w:r w:rsidRPr="00805BF4">
        <w:t xml:space="preserve">Additional guidance, data, and information related to </w:t>
      </w:r>
      <w:r>
        <w:t>Auctions 101 and 102</w:t>
      </w:r>
      <w:r w:rsidRPr="00805BF4">
        <w:t xml:space="preserve"> is available on the Auction 10</w:t>
      </w:r>
      <w:r>
        <w:t>1</w:t>
      </w:r>
      <w:r w:rsidRPr="00805BF4">
        <w:t xml:space="preserve"> website (</w:t>
      </w:r>
      <w:r>
        <w:fldChar w:fldCharType="begin"/>
      </w:r>
      <w:r>
        <w:instrText xml:space="preserve"> HYPERLINK "https://www.fcc.gov/auction/101" </w:instrText>
      </w:r>
      <w:r>
        <w:fldChar w:fldCharType="separate"/>
      </w:r>
      <w:r w:rsidR="008014C0">
        <w:rPr>
          <w:rStyle w:val="Hyperlink"/>
          <w:szCs w:val="22"/>
        </w:rPr>
        <w:t>www.fcc.gov/auction/101</w:t>
      </w:r>
      <w:r>
        <w:fldChar w:fldCharType="end"/>
      </w:r>
      <w:r w:rsidRPr="00805BF4">
        <w:t>)</w:t>
      </w:r>
      <w:r>
        <w:t xml:space="preserve"> and the Auction 102 website (</w:t>
      </w:r>
      <w:r>
        <w:fldChar w:fldCharType="begin"/>
      </w:r>
      <w:r>
        <w:instrText xml:space="preserve"> HYPERLINK "https://www.fcc.gov/auction/102" </w:instrText>
      </w:r>
      <w:r>
        <w:fldChar w:fldCharType="separate"/>
      </w:r>
      <w:r w:rsidR="008014C0">
        <w:rPr>
          <w:rStyle w:val="Hyperlink"/>
          <w:szCs w:val="22"/>
        </w:rPr>
        <w:t>www.fcc.gov/auction/102</w:t>
      </w:r>
      <w:r>
        <w:fldChar w:fldCharType="end"/>
      </w:r>
      <w:r>
        <w:t>), respectively</w:t>
      </w:r>
      <w:r w:rsidRPr="00805BF4">
        <w:t xml:space="preserve">.  </w:t>
      </w:r>
      <w:r w:rsidR="001C22BC">
        <w:t>In a</w:t>
      </w:r>
      <w:r w:rsidRPr="00805BF4">
        <w:t>ddition, copies of these and other relevant documents are available at the FCC’s headquarters located at 445 12th Street, SW, Washington, DC 20554 during normal business hours.</w:t>
      </w:r>
    </w:p>
    <w:p w:rsidR="00C134D5" w:rsidRPr="003063FE" w:rsidP="008D560E">
      <w:pPr>
        <w:pStyle w:val="ParaNum"/>
        <w:keepNext/>
        <w:widowControl/>
        <w:snapToGrid w:val="0"/>
        <w:spacing w:line="259" w:lineRule="auto"/>
        <w:rPr>
          <w:szCs w:val="22"/>
        </w:rPr>
      </w:pPr>
      <w:r w:rsidRPr="00D66839">
        <w:rPr>
          <w:szCs w:val="22"/>
        </w:rPr>
        <w:t>For further information concerning Auction</w:t>
      </w:r>
      <w:r w:rsidR="00DD14FD">
        <w:rPr>
          <w:szCs w:val="22"/>
        </w:rPr>
        <w:t>s 101 and/or 102</w:t>
      </w:r>
      <w:r w:rsidRPr="002B4A36">
        <w:rPr>
          <w:szCs w:val="22"/>
        </w:rPr>
        <w:t xml:space="preserve">, contact the offices listed below:  </w:t>
      </w:r>
    </w:p>
    <w:tbl>
      <w:tblPr>
        <w:tblW w:w="9825" w:type="dxa"/>
        <w:tblLayout w:type="fixed"/>
        <w:tblLook w:val="04A0"/>
      </w:tblPr>
      <w:tblGrid>
        <w:gridCol w:w="4966"/>
        <w:gridCol w:w="4859"/>
      </w:tblGrid>
      <w:tr w:rsidTr="00A41CA2">
        <w:tblPrEx>
          <w:tblW w:w="9825" w:type="dxa"/>
          <w:tblLayout w:type="fixed"/>
          <w:tblLook w:val="04A0"/>
        </w:tblPrEx>
        <w:trPr>
          <w:cantSplit/>
        </w:trPr>
        <w:tc>
          <w:tcPr>
            <w:tcW w:w="4966" w:type="dxa"/>
            <w:tcMar>
              <w:top w:w="0" w:type="dxa"/>
              <w:left w:w="115" w:type="dxa"/>
              <w:bottom w:w="144" w:type="dxa"/>
              <w:right w:w="115" w:type="dxa"/>
            </w:tcMar>
            <w:hideMark/>
          </w:tcPr>
          <w:p w:rsidR="00C134D5" w:rsidRPr="00805BF4" w:rsidP="00875BE2">
            <w:pPr>
              <w:widowControl/>
              <w:tabs>
                <w:tab w:val="left" w:pos="1080"/>
              </w:tabs>
              <w:ind w:left="-18"/>
              <w:contextualSpacing/>
              <w:rPr>
                <w:snapToGrid/>
                <w:szCs w:val="22"/>
              </w:rPr>
            </w:pPr>
            <w:r w:rsidRPr="00805BF4">
              <w:rPr>
                <w:b/>
                <w:bCs/>
                <w:szCs w:val="22"/>
              </w:rPr>
              <w:t>FCC</w:t>
            </w:r>
            <w:r w:rsidRPr="00805BF4">
              <w:rPr>
                <w:b/>
                <w:szCs w:val="22"/>
              </w:rPr>
              <w:t xml:space="preserve"> Auctions Hotline</w:t>
            </w:r>
            <w:r w:rsidRPr="00805BF4">
              <w:rPr>
                <w:szCs w:val="22"/>
              </w:rPr>
              <w:t xml:space="preserve"> </w:t>
            </w:r>
            <w:r w:rsidRPr="00805BF4">
              <w:rPr>
                <w:szCs w:val="22"/>
              </w:rPr>
              <w:br/>
              <w:t>General Auction Questions</w:t>
            </w:r>
            <w:r w:rsidRPr="00805BF4">
              <w:rPr>
                <w:szCs w:val="22"/>
              </w:rPr>
              <w:br/>
              <w:t>Auction Process and Procedures</w:t>
            </w:r>
          </w:p>
        </w:tc>
        <w:tc>
          <w:tcPr>
            <w:tcW w:w="4859" w:type="dxa"/>
            <w:tcMar>
              <w:top w:w="0" w:type="dxa"/>
              <w:left w:w="115" w:type="dxa"/>
              <w:bottom w:w="144" w:type="dxa"/>
              <w:right w:w="115" w:type="dxa"/>
            </w:tcMar>
          </w:tcPr>
          <w:p w:rsidR="00A41CA2" w:rsidP="00875BE2">
            <w:pPr>
              <w:widowControl/>
              <w:contextualSpacing/>
              <w:rPr>
                <w:szCs w:val="22"/>
              </w:rPr>
            </w:pPr>
          </w:p>
          <w:p w:rsidR="00C134D5" w:rsidRPr="00805BF4" w:rsidP="00875BE2">
            <w:pPr>
              <w:widowControl/>
              <w:contextualSpacing/>
              <w:rPr>
                <w:b/>
                <w:szCs w:val="22"/>
              </w:rPr>
            </w:pPr>
            <w:r w:rsidRPr="00805BF4">
              <w:rPr>
                <w:szCs w:val="22"/>
              </w:rPr>
              <w:t>(888) 225-5322, option two; or</w:t>
            </w:r>
            <w:r w:rsidRPr="00805BF4">
              <w:rPr>
                <w:szCs w:val="22"/>
              </w:rPr>
              <w:br/>
              <w:t>(717) 338-2868</w:t>
            </w:r>
            <w:r w:rsidRPr="00D66839">
              <w:rPr>
                <w:szCs w:val="22"/>
              </w:rPr>
              <w:br/>
              <w:t>Hours of service: 8:00 a.m. – 5:30 p.m. ET,</w:t>
            </w:r>
            <w:r w:rsidRPr="00D66839">
              <w:rPr>
                <w:szCs w:val="22"/>
              </w:rPr>
              <w:br/>
              <w:t>Monday through Friday</w:t>
            </w:r>
          </w:p>
        </w:tc>
      </w:tr>
      <w:tr w:rsidTr="00A41CA2">
        <w:tblPrEx>
          <w:tblW w:w="9825" w:type="dxa"/>
          <w:tblLayout w:type="fixed"/>
          <w:tblLook w:val="04A0"/>
        </w:tblPrEx>
        <w:trPr>
          <w:cantSplit/>
        </w:trPr>
        <w:tc>
          <w:tcPr>
            <w:tcW w:w="4966" w:type="dxa"/>
            <w:tcMar>
              <w:top w:w="0" w:type="dxa"/>
              <w:left w:w="115" w:type="dxa"/>
              <w:bottom w:w="144" w:type="dxa"/>
              <w:right w:w="115" w:type="dxa"/>
            </w:tcMar>
            <w:hideMark/>
          </w:tcPr>
          <w:p w:rsidR="00C134D5" w:rsidRPr="00296BE2" w:rsidP="00296BE2">
            <w:pPr>
              <w:widowControl/>
              <w:tabs>
                <w:tab w:val="left" w:pos="1080"/>
              </w:tabs>
              <w:ind w:left="-14"/>
              <w:contextualSpacing/>
              <w:rPr>
                <w:szCs w:val="22"/>
              </w:rPr>
            </w:pPr>
            <w:r w:rsidRPr="00805BF4">
              <w:rPr>
                <w:b/>
                <w:bCs/>
                <w:szCs w:val="22"/>
              </w:rPr>
              <w:t xml:space="preserve">Auctions and Spectrum Access Division, </w:t>
            </w:r>
            <w:r w:rsidRPr="00805BF4">
              <w:rPr>
                <w:b/>
                <w:bCs/>
                <w:szCs w:val="22"/>
              </w:rPr>
              <w:br/>
              <w:t>Wireless Telecommunications Bureau</w:t>
            </w:r>
            <w:r w:rsidRPr="00805BF4">
              <w:rPr>
                <w:b/>
                <w:bCs/>
                <w:szCs w:val="22"/>
              </w:rPr>
              <w:br/>
            </w:r>
            <w:r w:rsidR="0058128A">
              <w:rPr>
                <w:szCs w:val="22"/>
              </w:rPr>
              <w:t>For Auctions 101 and /or 102 auction legal questions</w:t>
            </w:r>
          </w:p>
        </w:tc>
        <w:tc>
          <w:tcPr>
            <w:tcW w:w="4859" w:type="dxa"/>
            <w:tcMar>
              <w:top w:w="0" w:type="dxa"/>
              <w:left w:w="115" w:type="dxa"/>
              <w:bottom w:w="144" w:type="dxa"/>
              <w:right w:w="115" w:type="dxa"/>
            </w:tcMar>
            <w:hideMark/>
          </w:tcPr>
          <w:p w:rsidR="008F109E" w:rsidP="008F109E">
            <w:pPr>
              <w:widowControl/>
              <w:ind w:left="-14"/>
              <w:contextualSpacing/>
              <w:rPr>
                <w:szCs w:val="22"/>
              </w:rPr>
            </w:pPr>
            <w:r>
              <w:rPr>
                <w:szCs w:val="22"/>
              </w:rPr>
              <w:br/>
            </w:r>
          </w:p>
          <w:p w:rsidR="00C134D5" w:rsidRPr="008F109E" w:rsidP="00296BE2">
            <w:pPr>
              <w:widowControl/>
              <w:ind w:left="-14"/>
              <w:contextualSpacing/>
              <w:rPr>
                <w:szCs w:val="22"/>
              </w:rPr>
            </w:pPr>
            <w:r>
              <w:rPr>
                <w:szCs w:val="22"/>
              </w:rPr>
              <w:t>Erik Beith or Kathryn Hinton</w:t>
            </w:r>
            <w:r w:rsidRPr="0064234E">
              <w:rPr>
                <w:szCs w:val="22"/>
              </w:rPr>
              <w:t xml:space="preserve"> at (202) 418-0660</w:t>
            </w:r>
          </w:p>
        </w:tc>
      </w:tr>
      <w:tr w:rsidTr="00A41CA2">
        <w:tblPrEx>
          <w:tblW w:w="9825" w:type="dxa"/>
          <w:tblLayout w:type="fixed"/>
          <w:tblLook w:val="04A0"/>
        </w:tblPrEx>
        <w:trPr>
          <w:cantSplit/>
        </w:trPr>
        <w:tc>
          <w:tcPr>
            <w:tcW w:w="4966" w:type="dxa"/>
            <w:tcMar>
              <w:top w:w="0" w:type="dxa"/>
              <w:left w:w="115" w:type="dxa"/>
              <w:bottom w:w="144" w:type="dxa"/>
              <w:right w:w="115" w:type="dxa"/>
            </w:tcMar>
            <w:hideMark/>
          </w:tcPr>
          <w:p w:rsidR="00C134D5" w:rsidRPr="00805BF4" w:rsidP="00875BE2">
            <w:pPr>
              <w:widowControl/>
              <w:tabs>
                <w:tab w:val="left" w:pos="1080"/>
              </w:tabs>
              <w:ind w:left="-18"/>
              <w:contextualSpacing/>
              <w:rPr>
                <w:b/>
                <w:bCs/>
                <w:szCs w:val="22"/>
              </w:rPr>
            </w:pPr>
            <w:r w:rsidRPr="00D66839">
              <w:rPr>
                <w:b/>
                <w:szCs w:val="22"/>
              </w:rPr>
              <w:t>Technical Support</w:t>
            </w:r>
            <w:r w:rsidRPr="00D66839">
              <w:rPr>
                <w:szCs w:val="22"/>
              </w:rPr>
              <w:br/>
              <w:t xml:space="preserve">Electronic Filing </w:t>
            </w:r>
            <w:r w:rsidRPr="00D66839">
              <w:rPr>
                <w:szCs w:val="22"/>
              </w:rPr>
              <w:br/>
              <w:t>FCC Auction System (Hardware/Software Issues)</w:t>
            </w:r>
          </w:p>
        </w:tc>
        <w:tc>
          <w:tcPr>
            <w:tcW w:w="4859" w:type="dxa"/>
            <w:tcMar>
              <w:top w:w="0" w:type="dxa"/>
              <w:left w:w="115" w:type="dxa"/>
              <w:bottom w:w="144" w:type="dxa"/>
              <w:right w:w="115" w:type="dxa"/>
            </w:tcMar>
            <w:hideMark/>
          </w:tcPr>
          <w:p w:rsidR="00A41CA2" w:rsidP="00875BE2">
            <w:pPr>
              <w:widowControl/>
              <w:ind w:left="-18"/>
              <w:contextualSpacing/>
              <w:rPr>
                <w:szCs w:val="22"/>
              </w:rPr>
            </w:pPr>
          </w:p>
          <w:p w:rsidR="00C134D5" w:rsidRPr="00805BF4" w:rsidP="00875BE2">
            <w:pPr>
              <w:widowControl/>
              <w:ind w:left="-18"/>
              <w:contextualSpacing/>
              <w:rPr>
                <w:b/>
                <w:szCs w:val="22"/>
              </w:rPr>
            </w:pPr>
            <w:r w:rsidRPr="00D66839">
              <w:rPr>
                <w:szCs w:val="22"/>
              </w:rPr>
              <w:t>(877) 480-3201, option nine; or (202) 414-1250</w:t>
            </w:r>
            <w:r w:rsidRPr="00D66839">
              <w:rPr>
                <w:szCs w:val="22"/>
              </w:rPr>
              <w:br/>
              <w:t xml:space="preserve">(202) 414-1255 (TTY) </w:t>
            </w:r>
            <w:r w:rsidRPr="00D66839">
              <w:rPr>
                <w:szCs w:val="22"/>
              </w:rPr>
              <w:br/>
              <w:t>Hours of service: 8:00 a.m. – 6:00 p.m. ET,</w:t>
            </w:r>
            <w:r w:rsidRPr="00D66839">
              <w:rPr>
                <w:szCs w:val="22"/>
              </w:rPr>
              <w:br/>
              <w:t>Monday through Friday</w:t>
            </w:r>
          </w:p>
        </w:tc>
      </w:tr>
      <w:tr w:rsidTr="00A41CA2">
        <w:tblPrEx>
          <w:tblW w:w="9825" w:type="dxa"/>
          <w:tblLayout w:type="fixed"/>
          <w:tblLook w:val="04A0"/>
        </w:tblPrEx>
        <w:trPr>
          <w:cantSplit/>
        </w:trPr>
        <w:tc>
          <w:tcPr>
            <w:tcW w:w="4966" w:type="dxa"/>
            <w:tcMar>
              <w:top w:w="0" w:type="dxa"/>
              <w:left w:w="115" w:type="dxa"/>
              <w:bottom w:w="144" w:type="dxa"/>
              <w:right w:w="115" w:type="dxa"/>
            </w:tcMar>
          </w:tcPr>
          <w:p w:rsidR="00A41CA2" w:rsidRPr="00805BF4" w:rsidP="00875BE2">
            <w:pPr>
              <w:widowControl/>
              <w:tabs>
                <w:tab w:val="left" w:pos="1080"/>
              </w:tabs>
              <w:contextualSpacing/>
              <w:rPr>
                <w:b/>
                <w:bCs/>
                <w:szCs w:val="22"/>
              </w:rPr>
            </w:pPr>
            <w:r w:rsidRPr="00805BF4">
              <w:rPr>
                <w:b/>
                <w:bCs/>
                <w:szCs w:val="22"/>
              </w:rPr>
              <w:t>FCC Forms</w:t>
            </w:r>
          </w:p>
        </w:tc>
        <w:tc>
          <w:tcPr>
            <w:tcW w:w="4859" w:type="dxa"/>
            <w:tcMar>
              <w:top w:w="0" w:type="dxa"/>
              <w:left w:w="115" w:type="dxa"/>
              <w:bottom w:w="144" w:type="dxa"/>
              <w:right w:w="115" w:type="dxa"/>
            </w:tcMar>
          </w:tcPr>
          <w:p w:rsidR="008014C0" w:rsidRPr="00296BE2" w:rsidP="00296BE2">
            <w:pPr>
              <w:widowControl/>
              <w:spacing w:after="120"/>
              <w:ind w:left="-14"/>
              <w:rPr>
                <w:szCs w:val="22"/>
              </w:rPr>
            </w:pPr>
            <w:r w:rsidRPr="00D66839">
              <w:rPr>
                <w:szCs w:val="22"/>
              </w:rPr>
              <w:t xml:space="preserve">(800) 418-3676 (outside Washington DC) </w:t>
            </w:r>
            <w:r w:rsidRPr="00D66839">
              <w:rPr>
                <w:szCs w:val="22"/>
              </w:rPr>
              <w:br/>
              <w:t>(202) 418-3676 (in the Washington DC area)</w:t>
            </w:r>
            <w:r w:rsidRPr="00D66839">
              <w:rPr>
                <w:szCs w:val="22"/>
              </w:rPr>
              <w:br/>
            </w:r>
            <w:r>
              <w:fldChar w:fldCharType="begin"/>
            </w:r>
            <w:r>
              <w:instrText xml:space="preserve"> HYPERLINK "https://www.fcc.gov/licensing-databases/forms" </w:instrText>
            </w:r>
            <w:r>
              <w:fldChar w:fldCharType="separate"/>
            </w:r>
            <w:r>
              <w:rPr>
                <w:rStyle w:val="Hyperlink"/>
                <w:szCs w:val="22"/>
              </w:rPr>
              <w:t>www.fcc.gov/forms</w:t>
            </w:r>
            <w:r>
              <w:fldChar w:fldCharType="end"/>
            </w:r>
            <w:r w:rsidRPr="00D66839">
              <w:rPr>
                <w:szCs w:val="22"/>
              </w:rPr>
              <w:t xml:space="preserve"> </w:t>
            </w:r>
          </w:p>
        </w:tc>
      </w:tr>
      <w:tr w:rsidTr="00875BE2">
        <w:tblPrEx>
          <w:tblW w:w="9825" w:type="dxa"/>
          <w:tblLayout w:type="fixed"/>
          <w:tblLook w:val="04A0"/>
        </w:tblPrEx>
        <w:trPr>
          <w:cantSplit/>
        </w:trPr>
        <w:tc>
          <w:tcPr>
            <w:tcW w:w="4966" w:type="dxa"/>
            <w:tcMar>
              <w:top w:w="0" w:type="dxa"/>
              <w:left w:w="115" w:type="dxa"/>
              <w:bottom w:w="144" w:type="dxa"/>
              <w:right w:w="115" w:type="dxa"/>
            </w:tcMar>
          </w:tcPr>
          <w:p w:rsidR="00A41CA2" w:rsidRPr="00805BF4" w:rsidP="00875BE2">
            <w:pPr>
              <w:widowControl/>
              <w:tabs>
                <w:tab w:val="left" w:pos="1080"/>
              </w:tabs>
              <w:ind w:left="-18"/>
              <w:contextualSpacing/>
              <w:rPr>
                <w:b/>
                <w:bCs/>
                <w:szCs w:val="22"/>
              </w:rPr>
            </w:pPr>
            <w:r w:rsidRPr="00805BF4">
              <w:rPr>
                <w:b/>
                <w:bCs/>
                <w:szCs w:val="22"/>
              </w:rPr>
              <w:t>Consumer and Governmental Affairs Bureau</w:t>
            </w:r>
            <w:r w:rsidRPr="00805BF4">
              <w:rPr>
                <w:b/>
                <w:bCs/>
                <w:szCs w:val="22"/>
              </w:rPr>
              <w:br/>
            </w:r>
            <w:r w:rsidRPr="00805BF4">
              <w:rPr>
                <w:bCs/>
                <w:szCs w:val="22"/>
              </w:rPr>
              <w:t>For Accessible Formats</w:t>
            </w:r>
          </w:p>
        </w:tc>
        <w:tc>
          <w:tcPr>
            <w:tcW w:w="4859" w:type="dxa"/>
            <w:tcMar>
              <w:top w:w="0" w:type="dxa"/>
              <w:left w:w="115" w:type="dxa"/>
              <w:bottom w:w="144" w:type="dxa"/>
              <w:right w:w="115" w:type="dxa"/>
            </w:tcMar>
          </w:tcPr>
          <w:p w:rsidR="00A41CA2" w:rsidRPr="00D66839" w:rsidP="00875BE2">
            <w:pPr>
              <w:widowControl/>
              <w:ind w:left="-18"/>
              <w:contextualSpacing/>
              <w:rPr>
                <w:szCs w:val="22"/>
              </w:rPr>
            </w:pPr>
            <w:r w:rsidRPr="00D66839">
              <w:rPr>
                <w:szCs w:val="22"/>
              </w:rPr>
              <w:t xml:space="preserve">(202) 418-0530 </w:t>
            </w:r>
          </w:p>
          <w:p w:rsidR="008014C0" w:rsidRPr="00D66839" w:rsidP="00296BE2">
            <w:pPr>
              <w:widowControl/>
              <w:spacing w:after="120"/>
              <w:ind w:left="-14"/>
              <w:rPr>
                <w:bCs/>
                <w:szCs w:val="22"/>
              </w:rPr>
            </w:pPr>
            <w:r w:rsidRPr="00D66839">
              <w:rPr>
                <w:szCs w:val="22"/>
              </w:rPr>
              <w:t>(202) 418-0432 (TTY)</w:t>
            </w:r>
            <w:r w:rsidRPr="00D66839">
              <w:rPr>
                <w:szCs w:val="22"/>
              </w:rPr>
              <w:br/>
            </w:r>
            <w:r>
              <w:fldChar w:fldCharType="begin"/>
            </w:r>
            <w:r>
              <w:instrText xml:space="preserve"> HYPERLINK "mailto:fcc504@fcc.gov" </w:instrText>
            </w:r>
            <w:r>
              <w:fldChar w:fldCharType="separate"/>
            </w:r>
            <w:r w:rsidRPr="00D66839">
              <w:rPr>
                <w:rStyle w:val="Hyperlink"/>
                <w:szCs w:val="22"/>
              </w:rPr>
              <w:t>fcc504@fcc.gov</w:t>
            </w:r>
            <w:r>
              <w:fldChar w:fldCharType="end"/>
            </w:r>
            <w:r w:rsidRPr="00D66839">
              <w:rPr>
                <w:szCs w:val="22"/>
              </w:rPr>
              <w:t xml:space="preserve"> </w:t>
            </w:r>
          </w:p>
        </w:tc>
      </w:tr>
      <w:tr w:rsidTr="00875BE2">
        <w:tblPrEx>
          <w:tblW w:w="9825" w:type="dxa"/>
          <w:tblLayout w:type="fixed"/>
          <w:tblLook w:val="04A0"/>
        </w:tblPrEx>
        <w:trPr>
          <w:cantSplit/>
          <w:trHeight w:val="720"/>
        </w:trPr>
        <w:tc>
          <w:tcPr>
            <w:tcW w:w="4966" w:type="dxa"/>
            <w:tcMar>
              <w:top w:w="0" w:type="dxa"/>
              <w:left w:w="115" w:type="dxa"/>
              <w:bottom w:w="144" w:type="dxa"/>
              <w:right w:w="115" w:type="dxa"/>
            </w:tcMar>
            <w:hideMark/>
          </w:tcPr>
          <w:p w:rsidR="00A41CA2" w:rsidRPr="00805BF4" w:rsidP="00875BE2">
            <w:pPr>
              <w:widowControl/>
              <w:tabs>
                <w:tab w:val="left" w:pos="1080"/>
              </w:tabs>
              <w:contextualSpacing/>
              <w:rPr>
                <w:b/>
                <w:bCs/>
                <w:szCs w:val="22"/>
              </w:rPr>
            </w:pPr>
            <w:r w:rsidRPr="00805BF4">
              <w:rPr>
                <w:b/>
                <w:bCs/>
                <w:szCs w:val="22"/>
              </w:rPr>
              <w:t>Office of Communications Business Opportunities</w:t>
            </w:r>
            <w:r w:rsidRPr="00805BF4">
              <w:rPr>
                <w:b/>
                <w:bCs/>
                <w:szCs w:val="22"/>
              </w:rPr>
              <w:br/>
            </w:r>
            <w:r w:rsidRPr="00805BF4">
              <w:rPr>
                <w:szCs w:val="22"/>
              </w:rPr>
              <w:t>For small business inquiries</w:t>
            </w:r>
          </w:p>
        </w:tc>
        <w:tc>
          <w:tcPr>
            <w:tcW w:w="4859" w:type="dxa"/>
            <w:tcMar>
              <w:top w:w="0" w:type="dxa"/>
              <w:left w:w="115" w:type="dxa"/>
              <w:bottom w:w="144" w:type="dxa"/>
              <w:right w:w="115" w:type="dxa"/>
            </w:tcMar>
            <w:hideMark/>
          </w:tcPr>
          <w:p w:rsidR="00A41CA2" w:rsidRPr="00D66839" w:rsidP="008D560E">
            <w:pPr>
              <w:widowControl/>
              <w:spacing w:after="120"/>
              <w:ind w:left="-14"/>
              <w:rPr>
                <w:bCs/>
                <w:szCs w:val="22"/>
              </w:rPr>
            </w:pPr>
            <w:r w:rsidRPr="00805BF4">
              <w:rPr>
                <w:szCs w:val="22"/>
              </w:rPr>
              <w:t>(202) 418-0990</w:t>
            </w:r>
            <w:r w:rsidRPr="00805BF4">
              <w:rPr>
                <w:szCs w:val="22"/>
              </w:rPr>
              <w:br/>
            </w:r>
            <w:r>
              <w:fldChar w:fldCharType="begin"/>
            </w:r>
            <w:r>
              <w:instrText xml:space="preserve"> HYPERLINK "https://www.fcc.gov/communications-business-opportunities" </w:instrText>
            </w:r>
            <w:r>
              <w:fldChar w:fldCharType="separate"/>
            </w:r>
            <w:r w:rsidR="00250C0A">
              <w:rPr>
                <w:rStyle w:val="Hyperlink"/>
                <w:szCs w:val="22"/>
              </w:rPr>
              <w:t>www.fcc.gov/ocbo</w:t>
            </w:r>
            <w:r>
              <w:fldChar w:fldCharType="end"/>
            </w:r>
          </w:p>
        </w:tc>
      </w:tr>
      <w:tr w:rsidTr="00875BE2">
        <w:tblPrEx>
          <w:tblW w:w="9825" w:type="dxa"/>
          <w:tblLayout w:type="fixed"/>
          <w:tblLook w:val="04A0"/>
        </w:tblPrEx>
        <w:trPr>
          <w:cantSplit/>
          <w:trHeight w:val="720"/>
        </w:trPr>
        <w:tc>
          <w:tcPr>
            <w:tcW w:w="4966" w:type="dxa"/>
            <w:tcMar>
              <w:top w:w="0" w:type="dxa"/>
              <w:left w:w="115" w:type="dxa"/>
              <w:bottom w:w="144" w:type="dxa"/>
              <w:right w:w="115" w:type="dxa"/>
            </w:tcMar>
          </w:tcPr>
          <w:p w:rsidR="008C718A" w:rsidRPr="00805BF4" w:rsidP="00875BE2">
            <w:pPr>
              <w:widowControl/>
              <w:tabs>
                <w:tab w:val="left" w:pos="1080"/>
              </w:tabs>
              <w:contextualSpacing/>
              <w:rPr>
                <w:b/>
                <w:bCs/>
                <w:szCs w:val="22"/>
              </w:rPr>
            </w:pPr>
          </w:p>
        </w:tc>
        <w:tc>
          <w:tcPr>
            <w:tcW w:w="4859" w:type="dxa"/>
            <w:tcMar>
              <w:top w:w="0" w:type="dxa"/>
              <w:left w:w="115" w:type="dxa"/>
              <w:bottom w:w="144" w:type="dxa"/>
              <w:right w:w="115" w:type="dxa"/>
            </w:tcMar>
          </w:tcPr>
          <w:p w:rsidR="008C718A" w:rsidRPr="00805BF4" w:rsidP="008D560E">
            <w:pPr>
              <w:widowControl/>
              <w:spacing w:after="120"/>
              <w:ind w:left="-14"/>
              <w:rPr>
                <w:szCs w:val="22"/>
              </w:rPr>
            </w:pPr>
          </w:p>
        </w:tc>
      </w:tr>
      <w:tr w:rsidTr="00A41CA2">
        <w:tblPrEx>
          <w:tblW w:w="9825" w:type="dxa"/>
          <w:tblLayout w:type="fixed"/>
          <w:tblLook w:val="04A0"/>
        </w:tblPrEx>
        <w:trPr>
          <w:cantSplit/>
          <w:trHeight w:val="80"/>
        </w:trPr>
        <w:tc>
          <w:tcPr>
            <w:tcW w:w="4966" w:type="dxa"/>
            <w:tcMar>
              <w:top w:w="0" w:type="dxa"/>
              <w:left w:w="115" w:type="dxa"/>
              <w:bottom w:w="144" w:type="dxa"/>
              <w:right w:w="115" w:type="dxa"/>
            </w:tcMar>
            <w:hideMark/>
          </w:tcPr>
          <w:p w:rsidR="00A41CA2" w:rsidRPr="00805BF4" w:rsidP="00875BE2">
            <w:pPr>
              <w:widowControl/>
              <w:tabs>
                <w:tab w:val="left" w:pos="1080"/>
              </w:tabs>
              <w:ind w:left="-18"/>
              <w:contextualSpacing/>
              <w:rPr>
                <w:b/>
                <w:bCs/>
                <w:szCs w:val="22"/>
              </w:rPr>
            </w:pPr>
            <w:r w:rsidRPr="00805BF4">
              <w:rPr>
                <w:b/>
                <w:szCs w:val="22"/>
              </w:rPr>
              <w:t>FCC Internet Sites</w:t>
            </w:r>
          </w:p>
        </w:tc>
        <w:tc>
          <w:tcPr>
            <w:tcW w:w="4859" w:type="dxa"/>
            <w:tcMar>
              <w:top w:w="0" w:type="dxa"/>
              <w:left w:w="115" w:type="dxa"/>
              <w:bottom w:w="144" w:type="dxa"/>
              <w:right w:w="115" w:type="dxa"/>
            </w:tcMar>
            <w:hideMark/>
          </w:tcPr>
          <w:p w:rsidR="00A41CA2" w:rsidP="00875BE2">
            <w:pPr>
              <w:pStyle w:val="ListParagraph"/>
              <w:widowControl/>
              <w:numPr>
                <w:ilvl w:val="0"/>
                <w:numId w:val="136"/>
              </w:numPr>
              <w:ind w:left="229" w:hanging="203"/>
              <w:contextualSpacing/>
            </w:pPr>
            <w:r>
              <w:fldChar w:fldCharType="begin"/>
            </w:r>
            <w:r>
              <w:instrText xml:space="preserve"> HYPERLINK "https://www.fcc.gov/auction/101" </w:instrText>
            </w:r>
            <w:r>
              <w:fldChar w:fldCharType="separate"/>
            </w:r>
            <w:r w:rsidR="00474BFA">
              <w:rPr>
                <w:rStyle w:val="Hyperlink"/>
                <w:szCs w:val="22"/>
              </w:rPr>
              <w:t>www.fcc.gov/auction/101</w:t>
            </w:r>
            <w:r>
              <w:fldChar w:fldCharType="end"/>
            </w:r>
            <w:r>
              <w:rPr>
                <w:szCs w:val="22"/>
              </w:rPr>
              <w:t xml:space="preserve"> </w:t>
            </w:r>
          </w:p>
          <w:p w:rsidR="00A41CA2" w:rsidP="00875BE2">
            <w:pPr>
              <w:pStyle w:val="ListParagraph"/>
              <w:widowControl/>
              <w:numPr>
                <w:ilvl w:val="0"/>
                <w:numId w:val="136"/>
              </w:numPr>
              <w:ind w:left="229" w:hanging="203"/>
              <w:contextualSpacing/>
            </w:pPr>
            <w:r>
              <w:fldChar w:fldCharType="begin"/>
            </w:r>
            <w:r>
              <w:instrText xml:space="preserve"> HYPERLINK "https://www.fcc.gov/auction/102" </w:instrText>
            </w:r>
            <w:r>
              <w:fldChar w:fldCharType="separate"/>
            </w:r>
            <w:r w:rsidR="00474BFA">
              <w:rPr>
                <w:rStyle w:val="Hyperlink"/>
                <w:szCs w:val="22"/>
              </w:rPr>
              <w:t>www.fcc.gov/auction/102</w:t>
            </w:r>
            <w:r>
              <w:fldChar w:fldCharType="end"/>
            </w:r>
            <w:r>
              <w:rPr>
                <w:szCs w:val="22"/>
              </w:rPr>
              <w:t xml:space="preserve"> </w:t>
            </w:r>
          </w:p>
          <w:p w:rsidR="00A41CA2" w:rsidRPr="00C134D5" w:rsidP="00875BE2">
            <w:pPr>
              <w:pStyle w:val="ListParagraph"/>
              <w:widowControl/>
              <w:numPr>
                <w:ilvl w:val="0"/>
                <w:numId w:val="136"/>
              </w:numPr>
              <w:ind w:left="229" w:hanging="203"/>
              <w:contextualSpacing/>
              <w:rPr>
                <w:rStyle w:val="Hyperlink"/>
                <w:color w:val="000000"/>
                <w:szCs w:val="22"/>
              </w:rPr>
            </w:pPr>
            <w:r>
              <w:fldChar w:fldCharType="begin"/>
            </w:r>
            <w:r>
              <w:instrText xml:space="preserve"> HYPERLINK "https://www.fcc.gov/" </w:instrText>
            </w:r>
            <w:r>
              <w:fldChar w:fldCharType="separate"/>
            </w:r>
            <w:r>
              <w:rPr>
                <w:rStyle w:val="Hyperlink"/>
                <w:szCs w:val="22"/>
              </w:rPr>
              <w:t>www.fcc.gov</w:t>
            </w:r>
            <w:r>
              <w:fldChar w:fldCharType="end"/>
            </w:r>
          </w:p>
          <w:p w:rsidR="00A41CA2" w:rsidRPr="008014C0" w:rsidP="00875BE2">
            <w:pPr>
              <w:pStyle w:val="ListParagraph"/>
              <w:widowControl/>
              <w:numPr>
                <w:ilvl w:val="0"/>
                <w:numId w:val="136"/>
              </w:numPr>
              <w:ind w:left="229" w:hanging="203"/>
              <w:contextualSpacing/>
              <w:rPr>
                <w:rStyle w:val="Hyperlink"/>
                <w:bCs/>
                <w:color w:val="auto"/>
                <w:szCs w:val="22"/>
                <w:u w:val="none"/>
              </w:rPr>
            </w:pPr>
            <w:r>
              <w:fldChar w:fldCharType="begin"/>
            </w:r>
            <w:r>
              <w:instrText xml:space="preserve"> HYPERLINK "https://www.fcc.gov/auctions" </w:instrText>
            </w:r>
            <w:r>
              <w:fldChar w:fldCharType="separate"/>
            </w:r>
            <w:r w:rsidR="00250C0A">
              <w:rPr>
                <w:rStyle w:val="Hyperlink"/>
                <w:szCs w:val="22"/>
              </w:rPr>
              <w:t>www.fcc.gov/auctions</w:t>
            </w:r>
            <w:r>
              <w:fldChar w:fldCharType="end"/>
            </w:r>
          </w:p>
          <w:p w:rsidR="008014C0" w:rsidRPr="00F4480E" w:rsidP="008014C0">
            <w:pPr>
              <w:pStyle w:val="ListParagraph"/>
              <w:widowControl/>
              <w:ind w:left="229"/>
              <w:contextualSpacing/>
              <w:rPr>
                <w:bCs/>
                <w:szCs w:val="22"/>
              </w:rPr>
            </w:pPr>
          </w:p>
        </w:tc>
      </w:tr>
    </w:tbl>
    <w:p w:rsidR="008257A6" w:rsidRPr="003E03C7" w:rsidP="00651C8C">
      <w:pPr>
        <w:pStyle w:val="ListParagraph"/>
        <w:widowControl/>
        <w:spacing w:before="120" w:after="240"/>
        <w:ind w:left="0"/>
        <w:jc w:val="center"/>
        <w:rPr>
          <w:b/>
          <w:bCs/>
          <w:szCs w:val="22"/>
        </w:rPr>
      </w:pPr>
      <w:r w:rsidRPr="00067878">
        <w:rPr>
          <w:b/>
          <w:bCs/>
          <w:szCs w:val="22"/>
        </w:rPr>
        <w:noBreakHyphen/>
        <w:t xml:space="preserve"> </w:t>
      </w:r>
      <w:r w:rsidRPr="00422465">
        <w:rPr>
          <w:b/>
          <w:szCs w:val="22"/>
        </w:rPr>
        <w:t xml:space="preserve">FCC </w:t>
      </w:r>
      <w:r w:rsidRPr="00067878">
        <w:rPr>
          <w:b/>
          <w:bCs/>
          <w:szCs w:val="22"/>
        </w:rPr>
        <w:noBreakHyphen/>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P="0055614C">
    <w:pPr>
      <w:pStyle w:val="Footer"/>
      <w:framePr w:wrap="around" w:vAnchor="text" w:hAnchor="margin" w:xAlign="center" w:y="1"/>
    </w:pPr>
    <w:r>
      <w:fldChar w:fldCharType="begin"/>
    </w:r>
    <w:r>
      <w:instrText xml:space="preserve">PAGE  </w:instrText>
    </w:r>
    <w:r>
      <w:fldChar w:fldCharType="separate"/>
    </w:r>
    <w:r>
      <w:fldChar w:fldCharType="end"/>
    </w:r>
  </w:p>
  <w:p w:rsidR="00872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8728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RPr="000E0F59">
    <w:pPr>
      <w:pStyle w:val="Footer"/>
      <w:tabs>
        <w:tab w:val="clear" w:pos="8640"/>
      </w:tabs>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3A8A">
      <w:r>
        <w:separator/>
      </w:r>
    </w:p>
  </w:footnote>
  <w:footnote w:type="continuationSeparator" w:id="1">
    <w:p w:rsidR="002B3A8A">
      <w:pPr>
        <w:rPr>
          <w:sz w:val="20"/>
        </w:rPr>
      </w:pPr>
      <w:r>
        <w:rPr>
          <w:sz w:val="20"/>
        </w:rPr>
        <w:t xml:space="preserve">(Continued from previous page)  </w:t>
      </w:r>
      <w:r>
        <w:rPr>
          <w:sz w:val="20"/>
        </w:rPr>
        <w:separator/>
      </w:r>
    </w:p>
  </w:footnote>
  <w:footnote w:type="continuationNotice" w:id="2">
    <w:p w:rsidR="002B3A8A">
      <w:pPr>
        <w:rPr>
          <w:sz w:val="20"/>
        </w:rPr>
      </w:pPr>
    </w:p>
  </w:footnote>
  <w:footnote w:id="3">
    <w:p w:rsidR="0087288C" w:rsidRPr="00997384" w:rsidP="0087288C">
      <w:pPr>
        <w:pStyle w:val="FootnoteText"/>
        <w:rPr>
          <w:i/>
        </w:rPr>
      </w:pPr>
      <w:r w:rsidRPr="006A6E06">
        <w:rPr>
          <w:rStyle w:val="FootnoteReference"/>
        </w:rPr>
        <w:footnoteRef/>
      </w:r>
      <w:r w:rsidRPr="006A6E06">
        <w:t xml:space="preserve"> </w:t>
      </w:r>
      <w:r w:rsidRPr="006A61FA" w:rsidR="00070600">
        <w:rPr>
          <w:i/>
        </w:rPr>
        <w:t>See</w:t>
      </w:r>
      <w:r w:rsidR="00070600">
        <w:t xml:space="preserve"> </w:t>
      </w:r>
      <w:r w:rsidR="00DD14FD">
        <w:rPr>
          <w:i/>
        </w:rPr>
        <w:t>Auctions of Upper Microwave Flexible Use Licenses for Next-Generation Wireless Services; Notice and Filing Requirements, M</w:t>
      </w:r>
      <w:r w:rsidR="009E730A">
        <w:rPr>
          <w:i/>
        </w:rPr>
        <w:t>inimum</w:t>
      </w:r>
      <w:r w:rsidR="00DD14FD">
        <w:rPr>
          <w:i/>
        </w:rPr>
        <w:t xml:space="preserve"> Opening Bids, Upfront Payments and Other Procedures for Auctions 101 (28 GHz) and 102 (24 GHz</w:t>
      </w:r>
      <w:r w:rsidR="009E730A">
        <w:rPr>
          <w:i/>
        </w:rPr>
        <w:t>); Bidding in Auction 101 Scheduled to Begin November 14, 2018</w:t>
      </w:r>
      <w:r w:rsidRPr="00943AA1">
        <w:t xml:space="preserve">, </w:t>
      </w:r>
      <w:r w:rsidRPr="00F062A7">
        <w:t xml:space="preserve">Public </w:t>
      </w:r>
      <w:r w:rsidRPr="00BC22C2">
        <w:t xml:space="preserve">Notice, </w:t>
      </w:r>
      <w:r>
        <w:t>FCC 18-</w:t>
      </w:r>
      <w:r w:rsidR="003E03C7">
        <w:t>109</w:t>
      </w:r>
      <w:r w:rsidR="00CC3769">
        <w:t xml:space="preserve"> at </w:t>
      </w:r>
      <w:r w:rsidR="00785480">
        <w:t>13,</w:t>
      </w:r>
      <w:r w:rsidR="00070600">
        <w:t xml:space="preserve"> 70,</w:t>
      </w:r>
      <w:r w:rsidR="00785480">
        <w:t xml:space="preserve"> para</w:t>
      </w:r>
      <w:r w:rsidR="00070600">
        <w:t>s</w:t>
      </w:r>
      <w:r w:rsidR="00785480">
        <w:t xml:space="preserve">. 27 </w:t>
      </w:r>
      <w:r w:rsidR="008961B5">
        <w:t xml:space="preserve">&amp; </w:t>
      </w:r>
      <w:r w:rsidR="00785480">
        <w:t>n</w:t>
      </w:r>
      <w:r w:rsidR="00070600">
        <w:t>n</w:t>
      </w:r>
      <w:r w:rsidR="00785480">
        <w:t>.5</w:t>
      </w:r>
      <w:r w:rsidR="00651C8C">
        <w:t>7</w:t>
      </w:r>
      <w:r w:rsidR="00070600">
        <w:t>-5</w:t>
      </w:r>
      <w:r w:rsidR="00651C8C">
        <w:t>8</w:t>
      </w:r>
      <w:r w:rsidR="00070600">
        <w:t>, 21</w:t>
      </w:r>
      <w:r w:rsidR="00651C8C">
        <w:t>6</w:t>
      </w:r>
      <w:r w:rsidR="008961B5">
        <w:t xml:space="preserve"> &amp; n.</w:t>
      </w:r>
      <w:r w:rsidR="00651C8C">
        <w:t>406</w:t>
      </w:r>
      <w:r w:rsidRPr="00BC22C2">
        <w:t xml:space="preserve"> (</w:t>
      </w:r>
      <w:r w:rsidR="009E730A">
        <w:t>Aug.</w:t>
      </w:r>
      <w:r>
        <w:t xml:space="preserve"> </w:t>
      </w:r>
      <w:r w:rsidR="003E03C7">
        <w:t>3</w:t>
      </w:r>
      <w:r>
        <w:t xml:space="preserve">, </w:t>
      </w:r>
      <w:r w:rsidRPr="00BC22C2">
        <w:t>2018) (</w:t>
      </w:r>
      <w:r w:rsidRPr="00BC22C2">
        <w:rPr>
          <w:i/>
        </w:rPr>
        <w:t>Auction</w:t>
      </w:r>
      <w:r w:rsidR="009E730A">
        <w:rPr>
          <w:i/>
        </w:rPr>
        <w:t>s 101 and 102</w:t>
      </w:r>
      <w:r w:rsidRPr="004C2D50">
        <w:rPr>
          <w:i/>
        </w:rPr>
        <w:t xml:space="preserve"> Procedures Public Notice</w:t>
      </w:r>
      <w:r w:rsidRPr="004C2D50">
        <w:t xml:space="preserve">).  </w:t>
      </w:r>
      <w:r>
        <w:rPr>
          <w:color w:val="010101"/>
        </w:rPr>
        <w:t xml:space="preserve"> </w:t>
      </w:r>
    </w:p>
  </w:footnote>
  <w:footnote w:id="4">
    <w:p w:rsidR="00070600">
      <w:pPr>
        <w:pStyle w:val="FootnoteText"/>
      </w:pPr>
      <w:r>
        <w:rPr>
          <w:rStyle w:val="FootnoteReference"/>
        </w:rPr>
        <w:footnoteRef/>
      </w:r>
      <w:r>
        <w:t xml:space="preserve"> As described in the </w:t>
      </w:r>
      <w:r w:rsidRPr="00BC22C2">
        <w:rPr>
          <w:i/>
        </w:rPr>
        <w:t>Auction</w:t>
      </w:r>
      <w:r>
        <w:rPr>
          <w:i/>
        </w:rPr>
        <w:t>s 101 and 102</w:t>
      </w:r>
      <w:r w:rsidRPr="004C2D50">
        <w:rPr>
          <w:i/>
        </w:rPr>
        <w:t xml:space="preserve"> Procedures Public Notice</w:t>
      </w:r>
      <w:r>
        <w:rPr>
          <w:i/>
        </w:rPr>
        <w:t xml:space="preserve">, </w:t>
      </w:r>
      <w:r>
        <w:t xml:space="preserve">an individual or entity </w:t>
      </w:r>
      <w:r>
        <w:rPr>
          <w:szCs w:val="22"/>
        </w:rPr>
        <w:t xml:space="preserve">seeking to participate in Auction 101 </w:t>
      </w:r>
      <w:r w:rsidR="004D49AE">
        <w:rPr>
          <w:szCs w:val="22"/>
        </w:rPr>
        <w:t xml:space="preserve">or </w:t>
      </w:r>
      <w:r>
        <w:rPr>
          <w:szCs w:val="22"/>
        </w:rPr>
        <w:t xml:space="preserve">Auction 102 </w:t>
      </w:r>
      <w:r w:rsidR="004D49AE">
        <w:rPr>
          <w:szCs w:val="22"/>
        </w:rPr>
        <w:t xml:space="preserve">or both </w:t>
      </w:r>
      <w:r>
        <w:rPr>
          <w:szCs w:val="22"/>
        </w:rPr>
        <w:t xml:space="preserve">must file a separate FCC Form 175 electronically for each auction in which it wishes to participate. </w:t>
      </w:r>
      <w:r>
        <w:t xml:space="preserve"> </w:t>
      </w:r>
      <w:r w:rsidRPr="006A61FA">
        <w:rPr>
          <w:i/>
        </w:rPr>
        <w:t>Id.</w:t>
      </w:r>
      <w:r>
        <w:t xml:space="preserve"> at 13, para. 27.</w:t>
      </w:r>
    </w:p>
  </w:footnote>
  <w:footnote w:id="5">
    <w:p w:rsidR="00785480">
      <w:pPr>
        <w:pStyle w:val="FootnoteText"/>
      </w:pPr>
      <w:r>
        <w:rPr>
          <w:rStyle w:val="FootnoteReference"/>
        </w:rPr>
        <w:footnoteRef/>
      </w:r>
      <w:r>
        <w:t xml:space="preserve"> The Bureau will </w:t>
      </w:r>
      <w:r>
        <w:rPr>
          <w:szCs w:val="22"/>
        </w:rPr>
        <w:t xml:space="preserve">prepare and release after the close of Auction 101 detailed instructions for submitting an FCC Form 159 for Auction 102.  </w:t>
      </w:r>
      <w:r w:rsidRPr="00840E2F">
        <w:rPr>
          <w:i/>
          <w:szCs w:val="22"/>
        </w:rPr>
        <w:t>Id.</w:t>
      </w:r>
      <w:r w:rsidR="001E4B38">
        <w:rPr>
          <w:i/>
          <w:szCs w:val="22"/>
        </w:rPr>
        <w:t xml:space="preserve"> </w:t>
      </w:r>
      <w:r w:rsidRPr="00840E2F" w:rsidR="001E4B38">
        <w:rPr>
          <w:szCs w:val="22"/>
        </w:rPr>
        <w:t>at 13, para. 27 n.5</w:t>
      </w:r>
      <w:r w:rsidR="00651C8C">
        <w:rPr>
          <w:szCs w:val="22"/>
        </w:rPr>
        <w:t>8</w:t>
      </w:r>
      <w:r w:rsidR="001E4B38">
        <w:rPr>
          <w:szCs w:val="22"/>
        </w:rPr>
        <w:t>.</w:t>
      </w:r>
    </w:p>
  </w:footnote>
  <w:footnote w:id="6">
    <w:p w:rsidR="001E4B38">
      <w:pPr>
        <w:pStyle w:val="FootnoteText"/>
      </w:pPr>
      <w:r>
        <w:rPr>
          <w:rStyle w:val="FootnoteReference"/>
        </w:rPr>
        <w:footnoteRef/>
      </w:r>
      <w:r>
        <w:t xml:space="preserve"> </w:t>
      </w:r>
      <w:r w:rsidR="00131384">
        <w:rPr>
          <w:szCs w:val="22"/>
        </w:rPr>
        <w:t xml:space="preserve">These guides provide examples and serve as supplements to the bidding and bid processing procedures for the clock and assignment phases as adopted by the Commission in the </w:t>
      </w:r>
      <w:r w:rsidRPr="00271E42" w:rsidR="00131384">
        <w:rPr>
          <w:i/>
          <w:szCs w:val="22"/>
        </w:rPr>
        <w:t>Auction</w:t>
      </w:r>
      <w:r w:rsidR="00131384">
        <w:rPr>
          <w:i/>
          <w:szCs w:val="22"/>
        </w:rPr>
        <w:t>s</w:t>
      </w:r>
      <w:r w:rsidRPr="00271E42" w:rsidR="00131384">
        <w:rPr>
          <w:i/>
          <w:szCs w:val="22"/>
        </w:rPr>
        <w:t xml:space="preserve"> 101 and 102 </w:t>
      </w:r>
      <w:r w:rsidR="00131384">
        <w:rPr>
          <w:i/>
          <w:szCs w:val="22"/>
        </w:rPr>
        <w:t xml:space="preserve">Procedures </w:t>
      </w:r>
      <w:r w:rsidRPr="00271E42" w:rsidR="00131384">
        <w:rPr>
          <w:i/>
          <w:szCs w:val="22"/>
        </w:rPr>
        <w:t>Public Notice</w:t>
      </w:r>
      <w:r w:rsidR="00131384">
        <w:rPr>
          <w:i/>
          <w:szCs w:val="22"/>
        </w:rPr>
        <w:t xml:space="preserve">.  </w:t>
      </w:r>
      <w:r w:rsidR="008961B5">
        <w:rPr>
          <w:i/>
          <w:szCs w:val="22"/>
        </w:rPr>
        <w:t xml:space="preserve">Id. </w:t>
      </w:r>
      <w:r w:rsidRPr="006A61FA" w:rsidR="008961B5">
        <w:rPr>
          <w:szCs w:val="22"/>
        </w:rPr>
        <w:t>at 70, para. 21</w:t>
      </w:r>
      <w:r w:rsidR="00651C8C">
        <w:rPr>
          <w:szCs w:val="22"/>
        </w:rPr>
        <w:t>6</w:t>
      </w:r>
      <w:r w:rsidRPr="006A61FA" w:rsidR="008961B5">
        <w:rPr>
          <w:szCs w:val="22"/>
        </w:rPr>
        <w:t xml:space="preserve">; </w:t>
      </w:r>
      <w:r w:rsidR="008961B5">
        <w:rPr>
          <w:i/>
        </w:rPr>
        <w:t>s</w:t>
      </w:r>
      <w:r w:rsidRPr="00840E2F" w:rsidR="00A41CA2">
        <w:rPr>
          <w:i/>
        </w:rPr>
        <w:t>ee</w:t>
      </w:r>
      <w:r w:rsidR="008961B5">
        <w:rPr>
          <w:i/>
        </w:rPr>
        <w:t xml:space="preserve"> </w:t>
      </w:r>
      <w:r w:rsidR="00A41CA2">
        <w:rPr>
          <w:i/>
        </w:rPr>
        <w:t xml:space="preserve">generally </w:t>
      </w:r>
      <w:r w:rsidRPr="00840E2F" w:rsidR="00A41CA2">
        <w:rPr>
          <w:i/>
        </w:rPr>
        <w:t>id.</w:t>
      </w:r>
      <w:r w:rsidR="00A41CA2">
        <w:t xml:space="preserve"> at </w:t>
      </w:r>
      <w:r w:rsidR="00BC2168">
        <w:t>70</w:t>
      </w:r>
      <w:r w:rsidR="00A41CA2">
        <w:t>-8</w:t>
      </w:r>
      <w:r w:rsidR="00BC2168">
        <w:t>4</w:t>
      </w:r>
      <w:r w:rsidR="00A41CA2">
        <w:t>, paras. 21</w:t>
      </w:r>
      <w:r w:rsidR="00651C8C">
        <w:t>5</w:t>
      </w:r>
      <w:r w:rsidR="00A41CA2">
        <w:t>-8</w:t>
      </w:r>
      <w:r w:rsidR="00651C8C">
        <w:t>2</w:t>
      </w:r>
      <w:r w:rsidR="00A41CA2">
        <w:t>.</w:t>
      </w:r>
      <w:r w:rsidR="00AA6C3F">
        <w:t xml:space="preserve">  </w:t>
      </w:r>
      <w:r w:rsidR="00AA6C3F">
        <w:rPr>
          <w:szCs w:val="22"/>
        </w:rPr>
        <w:t xml:space="preserve">Technical and mathematical detail regarding the procedures for Auction 101 is contained in Attachment B to the </w:t>
      </w:r>
      <w:r w:rsidRPr="00271E42" w:rsidR="00AA6C3F">
        <w:rPr>
          <w:i/>
          <w:szCs w:val="22"/>
        </w:rPr>
        <w:t>Auction</w:t>
      </w:r>
      <w:r w:rsidR="00AA6C3F">
        <w:rPr>
          <w:i/>
          <w:szCs w:val="22"/>
        </w:rPr>
        <w:t>s</w:t>
      </w:r>
      <w:r w:rsidRPr="00271E42" w:rsidR="00AA6C3F">
        <w:rPr>
          <w:i/>
          <w:szCs w:val="22"/>
        </w:rPr>
        <w:t xml:space="preserve"> 101 and 102 </w:t>
      </w:r>
      <w:r w:rsidR="005D6EAC">
        <w:rPr>
          <w:i/>
          <w:szCs w:val="22"/>
        </w:rPr>
        <w:t>Procedures</w:t>
      </w:r>
      <w:r w:rsidRPr="00271E42" w:rsidR="005D6EAC">
        <w:rPr>
          <w:i/>
          <w:szCs w:val="22"/>
        </w:rPr>
        <w:t xml:space="preserve"> </w:t>
      </w:r>
      <w:r w:rsidRPr="00271E42" w:rsidR="00AA6C3F">
        <w:rPr>
          <w:i/>
          <w:szCs w:val="22"/>
        </w:rPr>
        <w:t>Public Notice</w:t>
      </w:r>
      <w:r w:rsidR="00AA6C3F">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RPr="00274975" w:rsidP="00692AC6">
    <w:pPr>
      <w:pStyle w:val="Header"/>
      <w:rPr>
        <w:rFonts w:ascii="Times New Roman" w:hAnsi="Times New Roman" w:cs="Times New Roman"/>
        <w:sz w:val="22"/>
        <w:szCs w:val="22"/>
      </w:rPr>
    </w:pPr>
    <w:r w:rsidRPr="00274975">
      <w:rPr>
        <w:rFonts w:ascii="Times New Roman" w:hAnsi="Times New Roman" w:cs="Times New Roman"/>
        <w:sz w:val="22"/>
        <w:szCs w:val="22"/>
      </w:rPr>
      <w:tab/>
      <w:t>Federal Communications Commission</w:t>
    </w:r>
    <w:r w:rsidRPr="00274975">
      <w:rPr>
        <w:rFonts w:ascii="Times New Roman" w:hAnsi="Times New Roman" w:cs="Times New Roman"/>
        <w:sz w:val="22"/>
        <w:szCs w:val="22"/>
      </w:rPr>
      <w:tab/>
    </w:r>
    <w:r w:rsidR="00274975">
      <w:rPr>
        <w:rFonts w:ascii="Times New Roman" w:hAnsi="Times New Roman" w:cs="Times New Roman"/>
        <w:sz w:val="22"/>
        <w:szCs w:val="22"/>
      </w:rPr>
      <w:t>18-</w:t>
    </w:r>
    <w:r w:rsidR="00C52AEF">
      <w:rPr>
        <w:rFonts w:ascii="Times New Roman" w:hAnsi="Times New Roman" w:cs="Times New Roman"/>
        <w:sz w:val="22"/>
        <w:szCs w:val="22"/>
      </w:rPr>
      <w:t>817</w:t>
    </w:r>
  </w:p>
  <w:p w:rsidR="0087288C" w:rsidRPr="00274975">
    <w:pPr>
      <w:tabs>
        <w:tab w:val="left" w:pos="-720"/>
      </w:tabs>
      <w:suppressAutoHyphens/>
      <w:spacing w:line="19" w:lineRule="exact"/>
      <w:rPr>
        <w:spacing w:val="-2"/>
        <w:szCs w:val="22"/>
      </w:rPr>
    </w:pPr>
    <w:r w:rsidRPr="00274975">
      <w:rPr>
        <w:noProof/>
        <w:snapToGrid/>
        <w:szCs w:val="22"/>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7288C" w:rsidRPr="00274975">
    <w:pPr>
      <w:spacing w:after="389" w:line="100" w:lineRule="exac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RPr="00837C62" w:rsidP="003E03C7">
    <w:pPr>
      <w:pStyle w:val="Header"/>
      <w:ind w:firstLine="0"/>
    </w:pPr>
    <w:r>
      <w:rPr>
        <w:noProof/>
      </w:rPr>
      <w:drawing>
        <wp:inline distT="0" distB="0" distL="0" distR="0">
          <wp:extent cx="530225" cy="530225"/>
          <wp:effectExtent l="0" t="0" r="3175" b="3175"/>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t xml:space="preserve">  </w:t>
    </w:r>
    <w:r w:rsidRPr="00837C62">
      <w:t>PUBLIC NOTICE</w:t>
    </w:r>
  </w:p>
  <w:p w:rsidR="0087288C" w:rsidP="00692AC6">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7288C" w:rsidP="00C82B6B">
                          <w:pPr>
                            <w:rPr>
                              <w:rFonts w:ascii="Arial" w:hAnsi="Arial"/>
                              <w:b/>
                            </w:rPr>
                          </w:pPr>
                          <w:r>
                            <w:rPr>
                              <w:rFonts w:ascii="Arial" w:hAnsi="Arial"/>
                              <w:b/>
                            </w:rPr>
                            <w:t>Federal Communications Commission</w:t>
                          </w:r>
                        </w:p>
                        <w:p w:rsidR="0087288C"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87288C" w:rsidP="00C82B6B">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87288C" w:rsidP="00C82B6B">
                    <w:pPr>
                      <w:rPr>
                        <w:rFonts w:ascii="Arial" w:hAnsi="Arial"/>
                        <w:b/>
                      </w:rPr>
                    </w:pPr>
                    <w:r>
                      <w:rPr>
                        <w:rFonts w:ascii="Arial" w:hAnsi="Arial"/>
                        <w:b/>
                      </w:rPr>
                      <w:t>Federal Communications Commission</w:t>
                    </w:r>
                  </w:p>
                  <w:p w:rsidR="0087288C"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87288C" w:rsidP="00C82B6B">
                    <w:pPr>
                      <w:rPr>
                        <w:rFonts w:ascii="Arial" w:hAnsi="Arial"/>
                        <w:sz w:val="24"/>
                      </w:rPr>
                    </w:pPr>
                    <w:r>
                      <w:rPr>
                        <w:rFonts w:ascii="Arial" w:hAnsi="Arial"/>
                        <w:b/>
                      </w:rPr>
                      <w:t>Washington, DC 20554</w:t>
                    </w:r>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7288C" w:rsidP="00C82B6B">
                          <w:pPr>
                            <w:spacing w:before="40"/>
                            <w:jc w:val="right"/>
                            <w:rPr>
                              <w:rFonts w:ascii="Arial" w:hAnsi="Arial"/>
                              <w:b/>
                              <w:sz w:val="16"/>
                            </w:rPr>
                          </w:pPr>
                          <w:r>
                            <w:rPr>
                              <w:rFonts w:ascii="Arial" w:hAnsi="Arial"/>
                              <w:b/>
                              <w:sz w:val="16"/>
                            </w:rPr>
                            <w:t>News Media Information: 202-418-0500</w:t>
                          </w:r>
                        </w:p>
                        <w:p w:rsidR="0087288C" w:rsidP="00C82B6B">
                          <w:pPr>
                            <w:jc w:val="right"/>
                            <w:rPr>
                              <w:rFonts w:ascii="Arial" w:hAnsi="Arial"/>
                              <w:b/>
                              <w:sz w:val="16"/>
                            </w:rPr>
                          </w:pPr>
                          <w:r>
                            <w:rPr>
                              <w:rFonts w:ascii="Arial" w:hAnsi="Arial"/>
                              <w:b/>
                              <w:sz w:val="16"/>
                            </w:rPr>
                            <w:tab/>
                            <w:t xml:space="preserve">Internet: </w:t>
                          </w:r>
                          <w:r>
                            <w:fldChar w:fldCharType="begin"/>
                          </w:r>
                          <w:r>
                            <w:instrText xml:space="preserve"> HYPERLINK "http://www.fcc.gov" </w:instrText>
                          </w:r>
                          <w:r>
                            <w:fldChar w:fldCharType="separate"/>
                          </w:r>
                          <w:r w:rsidRPr="00420BB2">
                            <w:rPr>
                              <w:rStyle w:val="Hyperlink"/>
                              <w:rFonts w:ascii="Arial" w:hAnsi="Arial"/>
                              <w:b/>
                              <w:sz w:val="16"/>
                              <w:u w:val="none"/>
                            </w:rPr>
                            <w:t>www.fcc.gov</w:t>
                          </w:r>
                          <w:r>
                            <w:fldChar w:fldCharType="end"/>
                          </w:r>
                        </w:p>
                        <w:p w:rsidR="0087288C" w:rsidP="00C82B6B">
                          <w:pPr>
                            <w:jc w:val="right"/>
                            <w:rPr>
                              <w:rFonts w:ascii="Arial" w:hAnsi="Arial"/>
                              <w:b/>
                              <w:sz w:val="16"/>
                            </w:rPr>
                          </w:pPr>
                          <w:r>
                            <w:rPr>
                              <w:rFonts w:ascii="Arial" w:hAnsi="Arial"/>
                              <w:b/>
                              <w:sz w:val="16"/>
                            </w:rPr>
                            <w:t>TTY: 888-835-5322</w:t>
                          </w:r>
                        </w:p>
                        <w:p w:rsidR="0087288C"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87288C" w:rsidP="00C82B6B">
                    <w:pPr>
                      <w:spacing w:before="40"/>
                      <w:jc w:val="right"/>
                      <w:rPr>
                        <w:rFonts w:ascii="Arial" w:hAnsi="Arial"/>
                        <w:b/>
                        <w:sz w:val="16"/>
                      </w:rPr>
                    </w:pPr>
                    <w:r>
                      <w:rPr>
                        <w:rFonts w:ascii="Arial" w:hAnsi="Arial"/>
                        <w:b/>
                        <w:sz w:val="16"/>
                      </w:rPr>
                      <w:t>News Media Information: 202-418-0500</w:t>
                    </w:r>
                  </w:p>
                  <w:p w:rsidR="0087288C" w:rsidP="00C82B6B">
                    <w:pPr>
                      <w:jc w:val="right"/>
                      <w:rPr>
                        <w:rFonts w:ascii="Arial" w:hAnsi="Arial"/>
                        <w:b/>
                        <w:sz w:val="16"/>
                      </w:rPr>
                    </w:pPr>
                    <w:r>
                      <w:rPr>
                        <w:rFonts w:ascii="Arial" w:hAnsi="Arial"/>
                        <w:b/>
                        <w:sz w:val="16"/>
                      </w:rPr>
                      <w:tab/>
                      <w:t xml:space="preserve">Internet: </w:t>
                    </w:r>
                    <w:r>
                      <w:fldChar w:fldCharType="begin"/>
                    </w:r>
                    <w:r>
                      <w:instrText xml:space="preserve"> HYPERLINK "http://www.fcc.gov" </w:instrText>
                    </w:r>
                    <w:r>
                      <w:fldChar w:fldCharType="separate"/>
                    </w:r>
                    <w:r w:rsidRPr="00420BB2">
                      <w:rPr>
                        <w:rStyle w:val="Hyperlink"/>
                        <w:rFonts w:ascii="Arial" w:hAnsi="Arial"/>
                        <w:b/>
                        <w:sz w:val="16"/>
                        <w:u w:val="none"/>
                      </w:rPr>
                      <w:t>www.fcc.gov</w:t>
                    </w:r>
                    <w:r>
                      <w:fldChar w:fldCharType="end"/>
                    </w:r>
                  </w:p>
                  <w:p w:rsidR="0087288C" w:rsidP="00C82B6B">
                    <w:pPr>
                      <w:jc w:val="right"/>
                      <w:rPr>
                        <w:rFonts w:ascii="Arial" w:hAnsi="Arial"/>
                        <w:b/>
                        <w:sz w:val="16"/>
                      </w:rPr>
                    </w:pPr>
                    <w:r>
                      <w:rPr>
                        <w:rFonts w:ascii="Arial" w:hAnsi="Arial"/>
                        <w:b/>
                        <w:sz w:val="16"/>
                      </w:rPr>
                      <w:t>TTY: 888-835-5322</w:t>
                    </w:r>
                  </w:p>
                  <w:p w:rsidR="0087288C" w:rsidP="00C82B6B">
                    <w:pPr>
                      <w:jc w:val="right"/>
                    </w:pPr>
                  </w:p>
                </w:txbxContent>
              </v:textbox>
            </v:shape>
          </w:pict>
        </mc:Fallback>
      </mc:AlternateContent>
    </w:r>
  </w:p>
  <w:p w:rsidR="0087288C" w:rsidRPr="00C82B6B" w:rsidP="00692AC6">
    <w:pPr>
      <w:pStyle w:val="Header"/>
    </w:pPr>
    <w:r>
      <w:rPr>
        <w:noProof/>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B18D2"/>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1B147228"/>
    <w:multiLevelType w:val="hybridMultilevel"/>
    <w:tmpl w:val="5F02629A"/>
    <w:lvl w:ilvl="0">
      <w:start w:val="1"/>
      <w:numFmt w:val="bullet"/>
      <w:lvlText w:val=""/>
      <w:lvlJc w:val="left"/>
      <w:pPr>
        <w:ind w:left="702" w:hanging="360"/>
      </w:pPr>
      <w:rPr>
        <w:rFonts w:ascii="Symbol" w:hAnsi="Symbol"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4">
    <w:nsid w:val="1E1F3D3A"/>
    <w:multiLevelType w:val="hybridMultilevel"/>
    <w:tmpl w:val="D6284F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F47093"/>
    <w:multiLevelType w:val="multilevel"/>
    <w:tmpl w:val="79EA8CC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3408673F"/>
    <w:multiLevelType w:val="hybridMultilevel"/>
    <w:tmpl w:val="472232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A940D52"/>
    <w:multiLevelType w:val="hybridMultilevel"/>
    <w:tmpl w:val="E99E0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646339"/>
    <w:multiLevelType w:val="hybridMultilevel"/>
    <w:tmpl w:val="812AB6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EE9765F"/>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53233418"/>
    <w:multiLevelType w:val="hybridMultilevel"/>
    <w:tmpl w:val="6D501A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5A566E23"/>
    <w:multiLevelType w:val="multilevel"/>
    <w:tmpl w:val="773A4EF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79395A2A"/>
    <w:multiLevelType w:val="hybridMultilevel"/>
    <w:tmpl w:val="7804D30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8"/>
  </w:num>
  <w:num w:numId="3">
    <w:abstractNumId w:val="7"/>
  </w:num>
  <w:num w:numId="4">
    <w:abstractNumId w:val="13"/>
  </w:num>
  <w:num w:numId="5">
    <w:abstractNumId w:val="6"/>
  </w:num>
  <w:num w:numId="6">
    <w:abstractNumId w:val="0"/>
  </w:num>
  <w:num w:numId="7">
    <w:abstractNumId w:val="10"/>
  </w:num>
  <w:num w:numId="8">
    <w:abstractNumId w:val="11"/>
  </w:num>
  <w:num w:numId="9">
    <w:abstractNumId w:val="1"/>
  </w:num>
  <w:num w:numId="10">
    <w:abstractNumId w:val="19"/>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14"/>
  </w:num>
  <w:num w:numId="17">
    <w:abstractNumId w:val="2"/>
  </w:num>
  <w:num w:numId="18">
    <w:abstractNumId w:val="18"/>
    <w:lvlOverride w:ilvl="0">
      <w:startOverride w:val="1"/>
    </w:lvlOverride>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lvlOverride w:ilvl="0">
      <w:startOverride w:val="1"/>
    </w:lvlOverride>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2"/>
  </w:num>
  <w:num w:numId="87">
    <w:abstractNumId w:val="18"/>
  </w:num>
  <w:num w:numId="88">
    <w:abstractNumId w:val="18"/>
  </w:num>
  <w:num w:numId="89">
    <w:abstractNumId w:val="18"/>
  </w:num>
  <w:num w:numId="90">
    <w:abstractNumId w:val="18"/>
  </w:num>
  <w:num w:numId="91">
    <w:abstractNumId w:val="18"/>
  </w:num>
  <w:num w:numId="92">
    <w:abstractNumId w:val="15"/>
  </w:num>
  <w:num w:numId="93">
    <w:abstractNumId w:val="17"/>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 w:numId="113">
    <w:abstractNumId w:val="18"/>
  </w:num>
  <w:num w:numId="114">
    <w:abstractNumId w:val="18"/>
  </w:num>
  <w:num w:numId="115">
    <w:abstractNumId w:val="18"/>
  </w:num>
  <w:num w:numId="116">
    <w:abstractNumId w:val="18"/>
  </w:num>
  <w:num w:numId="117">
    <w:abstractNumId w:val="18"/>
  </w:num>
  <w:num w:numId="118">
    <w:abstractNumId w:val="18"/>
  </w:num>
  <w:num w:numId="119">
    <w:abstractNumId w:val="18"/>
  </w:num>
  <w:num w:numId="120">
    <w:abstractNumId w:val="18"/>
  </w:num>
  <w:num w:numId="121">
    <w:abstractNumId w:val="18"/>
  </w:num>
  <w:num w:numId="122">
    <w:abstractNumId w:val="18"/>
  </w:num>
  <w:num w:numId="123">
    <w:abstractNumId w:val="18"/>
  </w:num>
  <w:num w:numId="124">
    <w:abstractNumId w:val="18"/>
  </w:num>
  <w:num w:numId="125">
    <w:abstractNumId w:val="18"/>
  </w:num>
  <w:num w:numId="126">
    <w:abstractNumId w:val="18"/>
  </w:num>
  <w:num w:numId="127">
    <w:abstractNumId w:val="18"/>
  </w:num>
  <w:num w:numId="128">
    <w:abstractNumId w:val="18"/>
  </w:num>
  <w:num w:numId="129">
    <w:abstractNumId w:val="18"/>
  </w:num>
  <w:num w:numId="130">
    <w:abstractNumId w:val="18"/>
  </w:num>
  <w:num w:numId="131">
    <w:abstractNumId w:val="18"/>
  </w:num>
  <w:num w:numId="132">
    <w:abstractNumId w:val="18"/>
  </w:num>
  <w:num w:numId="133">
    <w:abstractNumId w:val="18"/>
  </w:num>
  <w:num w:numId="134">
    <w:abstractNumId w:val="18"/>
  </w:num>
  <w:num w:numId="135">
    <w:abstractNumId w:val="8"/>
  </w:num>
  <w:num w:numId="136">
    <w:abstractNumId w:val="3"/>
  </w:num>
  <w:num w:numId="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3FC"/>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qFormat/>
    <w:rsid w:val="00B263F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B263FC"/>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263FC"/>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B263FC"/>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B263FC"/>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B263FC"/>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263F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263FC"/>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B263F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263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263FC"/>
  </w:style>
  <w:style w:type="paragraph" w:customStyle="1" w:styleId="ParaNum">
    <w:name w:val="ParaNum"/>
    <w:basedOn w:val="Normal"/>
    <w:link w:val="ParaNumChar"/>
    <w:rsid w:val="00B263FC"/>
    <w:pPr>
      <w:numPr>
        <w:numId w:val="2"/>
      </w:numPr>
      <w:tabs>
        <w:tab w:val="clear" w:pos="1080"/>
        <w:tab w:val="num" w:pos="1440"/>
      </w:tabs>
      <w:spacing w:after="120"/>
    </w:pPr>
  </w:style>
  <w:style w:type="paragraph" w:styleId="EndnoteText">
    <w:name w:val="endnote text"/>
    <w:basedOn w:val="Normal"/>
    <w:semiHidden/>
    <w:rsid w:val="00B263FC"/>
    <w:rPr>
      <w:sz w:val="20"/>
    </w:rPr>
  </w:style>
  <w:style w:type="character" w:styleId="EndnoteReference">
    <w:name w:val="endnote reference"/>
    <w:semiHidden/>
    <w:rsid w:val="00B263FC"/>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rsid w:val="00B263FC"/>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263FC"/>
    <w:rPr>
      <w:rFonts w:ascii="Times New Roman" w:hAnsi="Times New Roman"/>
      <w:dstrike w:val="0"/>
      <w:color w:val="auto"/>
      <w:sz w:val="22"/>
      <w:vertAlign w:val="superscript"/>
    </w:rPr>
  </w:style>
  <w:style w:type="paragraph" w:styleId="TOC1">
    <w:name w:val="toc 1"/>
    <w:basedOn w:val="Normal"/>
    <w:next w:val="Normal"/>
    <w:uiPriority w:val="39"/>
    <w:rsid w:val="00B263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263FC"/>
    <w:pPr>
      <w:tabs>
        <w:tab w:val="left" w:pos="720"/>
        <w:tab w:val="right" w:leader="dot" w:pos="9360"/>
      </w:tabs>
      <w:suppressAutoHyphens/>
      <w:ind w:left="720" w:right="720" w:hanging="360"/>
    </w:pPr>
    <w:rPr>
      <w:noProof/>
    </w:rPr>
  </w:style>
  <w:style w:type="paragraph" w:styleId="TOC3">
    <w:name w:val="toc 3"/>
    <w:basedOn w:val="Normal"/>
    <w:next w:val="Normal"/>
    <w:semiHidden/>
    <w:rsid w:val="00B263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263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263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263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263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263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263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263FC"/>
    <w:pPr>
      <w:tabs>
        <w:tab w:val="right" w:pos="9360"/>
      </w:tabs>
      <w:suppressAutoHyphens/>
    </w:pPr>
  </w:style>
  <w:style w:type="character" w:customStyle="1" w:styleId="EquationCaption">
    <w:name w:val="_Equation Caption"/>
    <w:rsid w:val="00B263FC"/>
  </w:style>
  <w:style w:type="paragraph" w:styleId="Header">
    <w:name w:val="header"/>
    <w:basedOn w:val="Normal"/>
    <w:autoRedefine/>
    <w:rsid w:val="00B263F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263FC"/>
    <w:pPr>
      <w:tabs>
        <w:tab w:val="center" w:pos="4320"/>
        <w:tab w:val="right" w:pos="8640"/>
      </w:tabs>
    </w:pPr>
  </w:style>
  <w:style w:type="character" w:styleId="PageNumber">
    <w:name w:val="page number"/>
    <w:basedOn w:val="DefaultParagraphFont"/>
    <w:rsid w:val="00B263FC"/>
  </w:style>
  <w:style w:type="paragraph" w:styleId="BlockText">
    <w:name w:val="Block Text"/>
    <w:basedOn w:val="Normal"/>
    <w:rsid w:val="00B263FC"/>
    <w:pPr>
      <w:spacing w:after="240"/>
      <w:ind w:left="1440" w:right="1440"/>
    </w:pPr>
  </w:style>
  <w:style w:type="paragraph" w:customStyle="1" w:styleId="Paratitle">
    <w:name w:val="Para title"/>
    <w:basedOn w:val="Normal"/>
    <w:rsid w:val="00B263FC"/>
    <w:pPr>
      <w:tabs>
        <w:tab w:val="center" w:pos="9270"/>
      </w:tabs>
      <w:spacing w:after="240"/>
    </w:pPr>
    <w:rPr>
      <w:spacing w:val="-2"/>
    </w:rPr>
  </w:style>
  <w:style w:type="paragraph" w:customStyle="1" w:styleId="Bullet">
    <w:name w:val="Bullet"/>
    <w:basedOn w:val="Normal"/>
    <w:rsid w:val="00B263FC"/>
    <w:pPr>
      <w:numPr>
        <w:numId w:val="1"/>
      </w:numPr>
      <w:tabs>
        <w:tab w:val="clear" w:pos="360"/>
        <w:tab w:val="left" w:pos="2160"/>
      </w:tabs>
      <w:spacing w:after="220"/>
      <w:ind w:left="2160" w:hanging="720"/>
    </w:pPr>
  </w:style>
  <w:style w:type="paragraph" w:customStyle="1" w:styleId="TableFormat">
    <w:name w:val="TableFormat"/>
    <w:basedOn w:val="Bullet"/>
    <w:rsid w:val="00B263FC"/>
    <w:pPr>
      <w:numPr>
        <w:numId w:val="0"/>
      </w:numPr>
      <w:tabs>
        <w:tab w:val="clear" w:pos="2160"/>
        <w:tab w:val="left" w:pos="5040"/>
      </w:tabs>
      <w:ind w:left="5040" w:hanging="3600"/>
    </w:pPr>
  </w:style>
  <w:style w:type="paragraph" w:customStyle="1" w:styleId="TOCTitle">
    <w:name w:val="TOC Title"/>
    <w:basedOn w:val="Normal"/>
    <w:rsid w:val="00B263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63FC"/>
    <w:pPr>
      <w:jc w:val="center"/>
    </w:pPr>
    <w:rPr>
      <w:rFonts w:ascii="Times New Roman Bold" w:hAnsi="Times New Roman Bold"/>
      <w:b/>
      <w:bCs/>
      <w:caps/>
      <w:szCs w:val="22"/>
    </w:rPr>
  </w:style>
  <w:style w:type="character" w:styleId="Hyperlink">
    <w:name w:val="Hyperlink"/>
    <w:rsid w:val="00B263FC"/>
    <w:rPr>
      <w:color w:val="0000FF"/>
      <w:u w:val="single"/>
    </w:rPr>
  </w:style>
  <w:style w:type="character" w:customStyle="1" w:styleId="FootnoteTextChar3">
    <w:name w:val="Footnote Text Char3"/>
    <w:aliases w:val="Footnote Text Char Char Char,Footnote Text Char Char3 Char Char Char Char Char,Footnote Text Char1 Char1 Char Char,Footnote Text Char2 Char,Footnote Text Char3 Char1 Char Char Char Char,Footnote Text Char4 Char Char Char Char,f Char"/>
    <w:link w:val="FootnoteText"/>
    <w:rsid w:val="008257A6"/>
  </w:style>
  <w:style w:type="character" w:styleId="Emphasis">
    <w:name w:val="Emphasis"/>
    <w:qFormat/>
    <w:rsid w:val="008257A6"/>
    <w:rPr>
      <w:i/>
      <w:iCs/>
    </w:rPr>
  </w:style>
  <w:style w:type="character" w:styleId="Strong">
    <w:name w:val="Strong"/>
    <w:qFormat/>
    <w:rsid w:val="008257A6"/>
    <w:rPr>
      <w:b/>
    </w:rPr>
  </w:style>
  <w:style w:type="character" w:customStyle="1" w:styleId="a">
    <w:name w:val="_"/>
    <w:rsid w:val="008257A6"/>
    <w:rPr>
      <w:rFonts w:ascii="Times New Roman" w:hAnsi="Times New Roman"/>
      <w:sz w:val="24"/>
    </w:rPr>
  </w:style>
  <w:style w:type="paragraph" w:customStyle="1" w:styleId="12PtBullet">
    <w:name w:val="12PtBullet"/>
    <w:basedOn w:val="Normal"/>
    <w:rsid w:val="008257A6"/>
    <w:pPr>
      <w:tabs>
        <w:tab w:val="num" w:pos="720"/>
      </w:tabs>
      <w:ind w:left="720" w:hanging="720"/>
    </w:pPr>
    <w:rPr>
      <w:snapToGrid/>
      <w:sz w:val="24"/>
    </w:rPr>
  </w:style>
  <w:style w:type="character" w:customStyle="1" w:styleId="a0">
    <w:name w:val="a"/>
    <w:rsid w:val="008257A6"/>
    <w:rPr>
      <w:rFonts w:ascii="Times New Roman" w:hAnsi="Times New Roman" w:cs="Times New Roman" w:hint="default"/>
    </w:rPr>
  </w:style>
  <w:style w:type="paragraph" w:styleId="BalloonText">
    <w:name w:val="Balloon Text"/>
    <w:basedOn w:val="Normal"/>
    <w:link w:val="BalloonTextChar"/>
    <w:uiPriority w:val="99"/>
    <w:semiHidden/>
    <w:unhideWhenUsed/>
    <w:rsid w:val="006C6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26"/>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F65416"/>
    <w:rPr>
      <w:color w:val="605E5C"/>
      <w:shd w:val="clear" w:color="auto" w:fill="E1DFDD"/>
    </w:rPr>
  </w:style>
  <w:style w:type="character" w:styleId="CommentReference">
    <w:name w:val="annotation reference"/>
    <w:basedOn w:val="DefaultParagraphFont"/>
    <w:uiPriority w:val="99"/>
    <w:unhideWhenUsed/>
    <w:rsid w:val="002914A9"/>
    <w:rPr>
      <w:sz w:val="16"/>
      <w:szCs w:val="16"/>
    </w:rPr>
  </w:style>
  <w:style w:type="paragraph" w:styleId="CommentText">
    <w:name w:val="annotation text"/>
    <w:basedOn w:val="Normal"/>
    <w:link w:val="CommentTextChar"/>
    <w:uiPriority w:val="99"/>
    <w:semiHidden/>
    <w:unhideWhenUsed/>
    <w:rsid w:val="002914A9"/>
    <w:rPr>
      <w:sz w:val="20"/>
    </w:rPr>
  </w:style>
  <w:style w:type="character" w:customStyle="1" w:styleId="CommentTextChar">
    <w:name w:val="Comment Text Char"/>
    <w:basedOn w:val="DefaultParagraphFont"/>
    <w:link w:val="CommentText"/>
    <w:uiPriority w:val="99"/>
    <w:semiHidden/>
    <w:rsid w:val="002914A9"/>
    <w:rPr>
      <w:snapToGrid w:val="0"/>
      <w:kern w:val="28"/>
    </w:rPr>
  </w:style>
  <w:style w:type="paragraph" w:styleId="CommentSubject">
    <w:name w:val="annotation subject"/>
    <w:basedOn w:val="CommentText"/>
    <w:next w:val="CommentText"/>
    <w:link w:val="CommentSubjectChar"/>
    <w:uiPriority w:val="99"/>
    <w:semiHidden/>
    <w:unhideWhenUsed/>
    <w:rsid w:val="002914A9"/>
    <w:rPr>
      <w:b/>
      <w:bCs/>
    </w:rPr>
  </w:style>
  <w:style w:type="character" w:customStyle="1" w:styleId="CommentSubjectChar">
    <w:name w:val="Comment Subject Char"/>
    <w:basedOn w:val="CommentTextChar"/>
    <w:link w:val="CommentSubject"/>
    <w:uiPriority w:val="99"/>
    <w:semiHidden/>
    <w:rsid w:val="002914A9"/>
    <w:rPr>
      <w:b/>
      <w:bCs/>
      <w:snapToGrid w:val="0"/>
      <w:kern w:val="28"/>
    </w:rPr>
  </w:style>
  <w:style w:type="character" w:customStyle="1" w:styleId="ParaNumChar">
    <w:name w:val="ParaNum Char"/>
    <w:link w:val="ParaNum"/>
    <w:locked/>
    <w:rsid w:val="00866048"/>
    <w:rPr>
      <w:snapToGrid w:val="0"/>
      <w:kern w:val="28"/>
      <w:sz w:val="22"/>
    </w:rPr>
  </w:style>
  <w:style w:type="paragraph" w:styleId="ListParagraph">
    <w:name w:val="List Paragraph"/>
    <w:basedOn w:val="Normal"/>
    <w:uiPriority w:val="34"/>
    <w:qFormat/>
    <w:rsid w:val="0080355A"/>
    <w:pPr>
      <w:ind w:left="720"/>
    </w:pPr>
  </w:style>
  <w:style w:type="character" w:customStyle="1" w:styleId="apple-converted-space">
    <w:name w:val="apple-converted-space"/>
    <w:rsid w:val="00011D99"/>
  </w:style>
  <w:style w:type="character" w:customStyle="1" w:styleId="break-word">
    <w:name w:val="break-word"/>
    <w:rsid w:val="00011D99"/>
  </w:style>
  <w:style w:type="character" w:customStyle="1" w:styleId="ParaNumCharChar1">
    <w:name w:val="ParaNum Char Char1"/>
    <w:locked/>
    <w:rsid w:val="0087288C"/>
    <w:rPr>
      <w:snapToGrid w:val="0"/>
      <w:kern w:val="28"/>
      <w:sz w:val="22"/>
    </w:rPr>
  </w:style>
  <w:style w:type="character" w:styleId="FollowedHyperlink">
    <w:name w:val="FollowedHyperlink"/>
    <w:basedOn w:val="DefaultParagraphFont"/>
    <w:uiPriority w:val="99"/>
    <w:semiHidden/>
    <w:unhideWhenUsed/>
    <w:rsid w:val="00987683"/>
    <w:rPr>
      <w:color w:val="954F72" w:themeColor="followedHyperlink"/>
      <w:u w:val="single"/>
    </w:rPr>
  </w:style>
  <w:style w:type="character" w:customStyle="1" w:styleId="FooterChar">
    <w:name w:val="Footer Char"/>
    <w:link w:val="Footer"/>
    <w:uiPriority w:val="99"/>
    <w:rsid w:val="00B263F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