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D5504" w:rsidRPr="00361351" w:rsidP="00C42B65">
      <w:pPr>
        <w:tabs>
          <w:tab w:val="left" w:pos="1644"/>
          <w:tab w:val="left" w:pos="5865"/>
        </w:tabs>
        <w:ind w:firstLine="720"/>
        <w:rPr>
          <w:sz w:val="22"/>
          <w:szCs w:val="22"/>
        </w:rPr>
      </w:pPr>
      <w:bookmarkStart w:id="0" w:name="_GoBack"/>
      <w:bookmarkEnd w:id="0"/>
      <w:r>
        <w:rPr>
          <w:sz w:val="22"/>
          <w:szCs w:val="22"/>
        </w:rPr>
        <w:tab/>
      </w:r>
      <w:r w:rsidR="00C42B65">
        <w:rPr>
          <w:sz w:val="22"/>
          <w:szCs w:val="22"/>
        </w:rPr>
        <w:tab/>
      </w:r>
    </w:p>
    <w:p w:rsidR="005851D7" w:rsidP="00D4568E">
      <w:pPr>
        <w:ind w:left="360" w:firstLine="720"/>
        <w:jc w:val="right"/>
        <w:rPr>
          <w:sz w:val="22"/>
          <w:szCs w:val="22"/>
        </w:rPr>
      </w:pPr>
    </w:p>
    <w:p w:rsidR="00624EA1" w:rsidRPr="00D4568E" w:rsidP="00D4568E">
      <w:pPr>
        <w:ind w:left="360" w:firstLine="720"/>
        <w:jc w:val="right"/>
        <w:rPr>
          <w:sz w:val="22"/>
          <w:szCs w:val="22"/>
        </w:rPr>
      </w:pPr>
      <w:r w:rsidRPr="00E2166A">
        <w:rPr>
          <w:sz w:val="22"/>
          <w:szCs w:val="22"/>
        </w:rPr>
        <w:t xml:space="preserve">DA </w:t>
      </w:r>
      <w:r w:rsidR="00C42B65">
        <w:rPr>
          <w:sz w:val="22"/>
          <w:szCs w:val="22"/>
        </w:rPr>
        <w:t>18-819</w:t>
      </w:r>
    </w:p>
    <w:p w:rsidR="005851D7" w:rsidP="002B5667">
      <w:pPr>
        <w:pStyle w:val="Header"/>
        <w:tabs>
          <w:tab w:val="left" w:pos="720"/>
          <w:tab w:val="left" w:pos="1440"/>
          <w:tab w:val="clear" w:pos="4320"/>
        </w:tabs>
        <w:ind w:firstLine="720"/>
        <w:rPr>
          <w:b/>
          <w:sz w:val="22"/>
          <w:szCs w:val="22"/>
        </w:rPr>
      </w:pPr>
    </w:p>
    <w:p w:rsidR="004A3EE0" w:rsidRPr="00D4568E" w:rsidP="002B5667">
      <w:pPr>
        <w:pStyle w:val="Header"/>
        <w:tabs>
          <w:tab w:val="left" w:pos="720"/>
          <w:tab w:val="left" w:pos="1440"/>
          <w:tab w:val="clear" w:pos="4320"/>
        </w:tabs>
        <w:ind w:firstLine="720"/>
        <w:rPr>
          <w:b/>
          <w:sz w:val="22"/>
          <w:szCs w:val="22"/>
        </w:rPr>
      </w:pPr>
    </w:p>
    <w:p w:rsidR="00765FE4" w:rsidP="000452EE">
      <w:pPr>
        <w:pStyle w:val="Header"/>
        <w:tabs>
          <w:tab w:val="left" w:pos="720"/>
          <w:tab w:val="left" w:pos="1440"/>
        </w:tabs>
        <w:rPr>
          <w:sz w:val="22"/>
          <w:szCs w:val="22"/>
        </w:rPr>
      </w:pPr>
      <w:r>
        <w:rPr>
          <w:sz w:val="22"/>
          <w:szCs w:val="22"/>
        </w:rPr>
        <w:t>Tony Lin</w:t>
      </w:r>
      <w:r w:rsidR="00653C86">
        <w:rPr>
          <w:sz w:val="22"/>
          <w:szCs w:val="22"/>
        </w:rPr>
        <w:t>, Esq.</w:t>
      </w:r>
    </w:p>
    <w:p w:rsidR="00765FE4" w:rsidP="000452EE">
      <w:pPr>
        <w:pStyle w:val="Header"/>
        <w:tabs>
          <w:tab w:val="left" w:pos="720"/>
          <w:tab w:val="left" w:pos="1440"/>
        </w:tabs>
        <w:rPr>
          <w:sz w:val="22"/>
          <w:szCs w:val="22"/>
        </w:rPr>
      </w:pPr>
      <w:r>
        <w:rPr>
          <w:sz w:val="22"/>
          <w:szCs w:val="22"/>
        </w:rPr>
        <w:t>David Martin</w:t>
      </w:r>
      <w:r w:rsidR="00653C86">
        <w:rPr>
          <w:sz w:val="22"/>
          <w:szCs w:val="22"/>
        </w:rPr>
        <w:t>, Esq.</w:t>
      </w:r>
    </w:p>
    <w:p w:rsidR="00765FE4" w:rsidP="000452EE">
      <w:pPr>
        <w:pStyle w:val="Header"/>
        <w:tabs>
          <w:tab w:val="left" w:pos="720"/>
          <w:tab w:val="left" w:pos="1440"/>
        </w:tabs>
        <w:rPr>
          <w:sz w:val="22"/>
          <w:szCs w:val="22"/>
        </w:rPr>
      </w:pPr>
      <w:r>
        <w:rPr>
          <w:sz w:val="22"/>
          <w:szCs w:val="22"/>
        </w:rPr>
        <w:t>Wesley Platt</w:t>
      </w:r>
      <w:r w:rsidR="00653C86">
        <w:rPr>
          <w:sz w:val="22"/>
          <w:szCs w:val="22"/>
        </w:rPr>
        <w:t>, Esq.</w:t>
      </w:r>
    </w:p>
    <w:p w:rsidR="00765FE4" w:rsidP="000452EE">
      <w:pPr>
        <w:pStyle w:val="Header"/>
        <w:tabs>
          <w:tab w:val="left" w:pos="720"/>
          <w:tab w:val="left" w:pos="1440"/>
        </w:tabs>
        <w:rPr>
          <w:sz w:val="22"/>
          <w:szCs w:val="22"/>
        </w:rPr>
      </w:pPr>
      <w:r>
        <w:rPr>
          <w:sz w:val="22"/>
          <w:szCs w:val="22"/>
        </w:rPr>
        <w:t>Hogan Lovells US LLP</w:t>
      </w:r>
    </w:p>
    <w:p w:rsidR="00765FE4" w:rsidP="000452EE">
      <w:pPr>
        <w:pStyle w:val="Header"/>
        <w:tabs>
          <w:tab w:val="left" w:pos="720"/>
          <w:tab w:val="left" w:pos="1440"/>
        </w:tabs>
        <w:rPr>
          <w:sz w:val="22"/>
          <w:szCs w:val="22"/>
        </w:rPr>
      </w:pPr>
      <w:r>
        <w:rPr>
          <w:sz w:val="22"/>
          <w:szCs w:val="22"/>
        </w:rPr>
        <w:t>555 12</w:t>
      </w:r>
      <w:r w:rsidRPr="00765FE4">
        <w:rPr>
          <w:sz w:val="22"/>
          <w:szCs w:val="22"/>
          <w:vertAlign w:val="superscript"/>
        </w:rPr>
        <w:t>th</w:t>
      </w:r>
      <w:r>
        <w:rPr>
          <w:sz w:val="22"/>
          <w:szCs w:val="22"/>
        </w:rPr>
        <w:t xml:space="preserve"> St. NW</w:t>
      </w:r>
    </w:p>
    <w:p w:rsidR="00765FE4" w:rsidP="000452EE">
      <w:pPr>
        <w:pStyle w:val="Header"/>
        <w:tabs>
          <w:tab w:val="left" w:pos="720"/>
          <w:tab w:val="left" w:pos="1440"/>
        </w:tabs>
        <w:rPr>
          <w:sz w:val="22"/>
          <w:szCs w:val="22"/>
        </w:rPr>
      </w:pPr>
      <w:r>
        <w:rPr>
          <w:sz w:val="22"/>
          <w:szCs w:val="22"/>
        </w:rPr>
        <w:t>Washington, DC 20004</w:t>
      </w:r>
    </w:p>
    <w:p w:rsidR="00EA439A" w:rsidRPr="004805B9" w:rsidP="002D0D24">
      <w:pPr>
        <w:pStyle w:val="Header"/>
        <w:tabs>
          <w:tab w:val="left" w:pos="720"/>
          <w:tab w:val="left" w:pos="1440"/>
          <w:tab w:val="clear" w:pos="4320"/>
        </w:tabs>
        <w:rPr>
          <w:sz w:val="22"/>
          <w:szCs w:val="22"/>
        </w:rPr>
      </w:pPr>
    </w:p>
    <w:p w:rsidR="003D765C" w:rsidRPr="004805B9" w:rsidP="008D666C">
      <w:pPr>
        <w:pStyle w:val="Header"/>
        <w:tabs>
          <w:tab w:val="left" w:pos="720"/>
          <w:tab w:val="left" w:pos="1440"/>
          <w:tab w:val="clear" w:pos="4320"/>
        </w:tabs>
        <w:ind w:left="1440" w:hanging="720"/>
        <w:rPr>
          <w:spacing w:val="-2"/>
          <w:sz w:val="22"/>
          <w:szCs w:val="22"/>
        </w:rPr>
      </w:pPr>
      <w:r w:rsidRPr="004805B9">
        <w:rPr>
          <w:sz w:val="22"/>
          <w:szCs w:val="22"/>
        </w:rPr>
        <w:t xml:space="preserve">RE:  </w:t>
      </w:r>
      <w:r w:rsidRPr="004805B9" w:rsidR="00FB618B">
        <w:rPr>
          <w:sz w:val="22"/>
          <w:szCs w:val="22"/>
        </w:rPr>
        <w:tab/>
      </w:r>
      <w:r w:rsidRPr="004805B9" w:rsidR="00056F09">
        <w:rPr>
          <w:sz w:val="22"/>
          <w:szCs w:val="22"/>
        </w:rPr>
        <w:t xml:space="preserve">Request </w:t>
      </w:r>
      <w:r w:rsidRPr="004805B9" w:rsidR="00D21344">
        <w:rPr>
          <w:sz w:val="22"/>
          <w:szCs w:val="22"/>
        </w:rPr>
        <w:t xml:space="preserve">for </w:t>
      </w:r>
      <w:r w:rsidRPr="004805B9" w:rsidR="005851D7">
        <w:rPr>
          <w:sz w:val="22"/>
          <w:szCs w:val="22"/>
        </w:rPr>
        <w:t>Extension of Time</w:t>
      </w:r>
      <w:r w:rsidRPr="004805B9" w:rsidR="001D79D0">
        <w:rPr>
          <w:sz w:val="22"/>
          <w:szCs w:val="22"/>
        </w:rPr>
        <w:t xml:space="preserve"> and Waiver</w:t>
      </w:r>
      <w:r w:rsidRPr="004805B9" w:rsidR="008D666C">
        <w:rPr>
          <w:sz w:val="22"/>
          <w:szCs w:val="22"/>
        </w:rPr>
        <w:t xml:space="preserve"> </w:t>
      </w:r>
      <w:r w:rsidRPr="004805B9" w:rsidR="005851D7">
        <w:rPr>
          <w:sz w:val="22"/>
          <w:szCs w:val="22"/>
        </w:rPr>
        <w:t>(</w:t>
      </w:r>
      <w:r w:rsidRPr="004805B9" w:rsidR="008D666C">
        <w:rPr>
          <w:sz w:val="22"/>
          <w:szCs w:val="22"/>
        </w:rPr>
        <w:t>Call S</w:t>
      </w:r>
      <w:r w:rsidRPr="004805B9" w:rsidR="003C4F22">
        <w:rPr>
          <w:sz w:val="22"/>
          <w:szCs w:val="22"/>
        </w:rPr>
        <w:t xml:space="preserve">igns </w:t>
      </w:r>
      <w:r w:rsidRPr="004805B9" w:rsidR="003C4F22">
        <w:rPr>
          <w:spacing w:val="-2"/>
          <w:sz w:val="22"/>
          <w:szCs w:val="22"/>
        </w:rPr>
        <w:t>WQNF697, WQNF698,</w:t>
      </w:r>
      <w:r w:rsidRPr="004805B9" w:rsidR="00507227">
        <w:rPr>
          <w:spacing w:val="-2"/>
          <w:sz w:val="22"/>
          <w:szCs w:val="22"/>
        </w:rPr>
        <w:t xml:space="preserve"> WQNF699, WQNF700, WQNF703, and </w:t>
      </w:r>
      <w:r w:rsidRPr="004805B9" w:rsidR="008D666C">
        <w:rPr>
          <w:spacing w:val="-2"/>
          <w:sz w:val="22"/>
          <w:szCs w:val="22"/>
        </w:rPr>
        <w:t>WQNF705</w:t>
      </w:r>
      <w:r w:rsidRPr="004805B9" w:rsidR="005851D7">
        <w:rPr>
          <w:spacing w:val="-2"/>
          <w:sz w:val="22"/>
          <w:szCs w:val="22"/>
        </w:rPr>
        <w:t>)</w:t>
      </w:r>
      <w:r w:rsidRPr="004805B9" w:rsidR="000452EE">
        <w:rPr>
          <w:spacing w:val="-2"/>
          <w:sz w:val="22"/>
          <w:szCs w:val="22"/>
        </w:rPr>
        <w:t xml:space="preserve"> </w:t>
      </w:r>
    </w:p>
    <w:p w:rsidR="008D666C" w:rsidRPr="008D666C">
      <w:pPr>
        <w:pStyle w:val="Header"/>
        <w:tabs>
          <w:tab w:val="left" w:pos="720"/>
          <w:tab w:val="left" w:pos="1440"/>
          <w:tab w:val="clear" w:pos="4320"/>
        </w:tabs>
        <w:rPr>
          <w:b/>
          <w:spacing w:val="-2"/>
          <w:sz w:val="22"/>
          <w:szCs w:val="22"/>
        </w:rPr>
      </w:pPr>
      <w:r>
        <w:rPr>
          <w:b/>
          <w:spacing w:val="-2"/>
          <w:sz w:val="22"/>
          <w:szCs w:val="22"/>
        </w:rPr>
        <w:tab/>
      </w:r>
      <w:r w:rsidR="00FB618B">
        <w:rPr>
          <w:b/>
          <w:spacing w:val="-2"/>
          <w:sz w:val="22"/>
          <w:szCs w:val="22"/>
        </w:rPr>
        <w:tab/>
      </w:r>
    </w:p>
    <w:p w:rsidR="00056F09" w:rsidRPr="00361351">
      <w:pPr>
        <w:rPr>
          <w:sz w:val="22"/>
          <w:szCs w:val="22"/>
        </w:rPr>
      </w:pPr>
      <w:r w:rsidRPr="00C22544">
        <w:rPr>
          <w:sz w:val="22"/>
          <w:szCs w:val="22"/>
        </w:rPr>
        <w:t>Dear</w:t>
      </w:r>
      <w:r w:rsidRPr="00C22544" w:rsidR="00A64D0C">
        <w:rPr>
          <w:sz w:val="22"/>
          <w:szCs w:val="22"/>
        </w:rPr>
        <w:t xml:space="preserve"> </w:t>
      </w:r>
      <w:r w:rsidR="00653C86">
        <w:rPr>
          <w:sz w:val="22"/>
          <w:szCs w:val="22"/>
        </w:rPr>
        <w:t>Mr. Lin, Mr. Martin, and Mr. Platt</w:t>
      </w:r>
      <w:r w:rsidRPr="00C22544">
        <w:rPr>
          <w:sz w:val="22"/>
          <w:szCs w:val="22"/>
        </w:rPr>
        <w:t>:</w:t>
      </w:r>
    </w:p>
    <w:p w:rsidR="008C36DE" w:rsidRPr="00361351" w:rsidP="002B5667">
      <w:pPr>
        <w:ind w:firstLine="720"/>
        <w:rPr>
          <w:sz w:val="22"/>
          <w:szCs w:val="22"/>
        </w:rPr>
      </w:pPr>
    </w:p>
    <w:p w:rsidR="00A77695" w:rsidP="00AF0281">
      <w:pPr>
        <w:pStyle w:val="ParaNum"/>
      </w:pPr>
      <w:r>
        <w:t xml:space="preserve">This letter addresses the </w:t>
      </w:r>
      <w:r w:rsidR="000452EE">
        <w:t xml:space="preserve">above-referenced request for </w:t>
      </w:r>
      <w:r w:rsidR="001D79D0">
        <w:t>extension of time and waiver</w:t>
      </w:r>
      <w:r w:rsidR="000452EE">
        <w:t xml:space="preserve"> filed by American Samoa Telecommunications Authority (ASTCA</w:t>
      </w:r>
      <w:r w:rsidRPr="00876457" w:rsidR="000452EE">
        <w:t>)</w:t>
      </w:r>
      <w:r w:rsidR="004863AD">
        <w:t xml:space="preserve"> in order to meet its construction requirements</w:t>
      </w:r>
      <w:r w:rsidR="001D79D0">
        <w:t xml:space="preserve"> for the above-referenced PCS licenses (Licenses)</w:t>
      </w:r>
      <w:r w:rsidR="000452EE">
        <w:t>.</w:t>
      </w:r>
      <w:r>
        <w:rPr>
          <w:rStyle w:val="FootnoteReference"/>
        </w:rPr>
        <w:footnoteReference w:id="3"/>
      </w:r>
      <w:r w:rsidR="003478D1">
        <w:t xml:space="preserve">  On August 7, 2017, the Mobility Division (Division) of the Wireless Telecommunications Bureau granted ASTCA a waiver </w:t>
      </w:r>
      <w:r w:rsidR="00130CA8">
        <w:t>of section</w:t>
      </w:r>
      <w:r w:rsidR="001D79D0">
        <w:t xml:space="preserve"> </w:t>
      </w:r>
      <w:r w:rsidR="001D79D0">
        <w:t>24.203</w:t>
      </w:r>
      <w:r>
        <w:rPr>
          <w:rStyle w:val="FootnoteReference"/>
        </w:rPr>
        <w:footnoteReference w:id="4"/>
      </w:r>
      <w:r w:rsidR="001D79D0">
        <w:t xml:space="preserve"> and reinstated its</w:t>
      </w:r>
      <w:r w:rsidR="00130CA8">
        <w:t xml:space="preserve"> </w:t>
      </w:r>
      <w:r w:rsidR="001D79D0">
        <w:t>Licenses, concluding that unique circumstances exist</w:t>
      </w:r>
      <w:r w:rsidR="002765A8">
        <w:t>ed</w:t>
      </w:r>
      <w:r w:rsidR="001D79D0">
        <w:t xml:space="preserve"> in this case</w:t>
      </w:r>
      <w:r w:rsidR="00130CA8">
        <w:t>.</w:t>
      </w:r>
      <w:r w:rsidRPr="00130CA8" w:rsidR="00130CA8">
        <w:rPr>
          <w:rStyle w:val="FootnoteReference"/>
        </w:rPr>
        <w:t xml:space="preserve"> </w:t>
      </w:r>
      <w:r>
        <w:rPr>
          <w:rStyle w:val="FootnoteReference"/>
        </w:rPr>
        <w:footnoteReference w:id="5"/>
      </w:r>
      <w:r w:rsidR="00130CA8">
        <w:t xml:space="preserve">  </w:t>
      </w:r>
      <w:r w:rsidR="001D79D0">
        <w:t>In the Order, t</w:t>
      </w:r>
      <w:r w:rsidR="00130CA8">
        <w:t xml:space="preserve">he Division required that ASTCA file notifications of construction in ULS demonstrating specific levels of coverage </w:t>
      </w:r>
      <w:r w:rsidRPr="00BB7D71" w:rsidR="00130CA8">
        <w:t>by March 7, 2018.</w:t>
      </w:r>
      <w:r>
        <w:rPr>
          <w:rStyle w:val="FootnoteReference"/>
        </w:rPr>
        <w:footnoteReference w:id="6"/>
      </w:r>
      <w:r w:rsidRPr="00BB7D71" w:rsidR="00130CA8">
        <w:t xml:space="preserve">  </w:t>
      </w:r>
      <w:r w:rsidRPr="00BB7D71" w:rsidR="003478D1">
        <w:t xml:space="preserve">In the </w:t>
      </w:r>
      <w:r w:rsidRPr="00BB7D71" w:rsidR="00D319B0">
        <w:t xml:space="preserve">timely-filed </w:t>
      </w:r>
      <w:r w:rsidRPr="00BB7D71" w:rsidR="003478D1">
        <w:t>Request, ASTCA</w:t>
      </w:r>
      <w:r w:rsidRPr="00BB7D71" w:rsidR="00D319B0">
        <w:t xml:space="preserve"> </w:t>
      </w:r>
      <w:r w:rsidRPr="00BB7D71" w:rsidR="0088023D">
        <w:t>asks for</w:t>
      </w:r>
      <w:r w:rsidRPr="00BB7D71" w:rsidR="00D319B0">
        <w:t xml:space="preserve"> a</w:t>
      </w:r>
      <w:r w:rsidRPr="00BB7D71" w:rsidR="00EC54C7">
        <w:t>n additional</w:t>
      </w:r>
      <w:r w:rsidRPr="00BB7D71" w:rsidR="00D319B0">
        <w:t xml:space="preserve"> four months until July 7, 2018 in order to meet its build-out requirements</w:t>
      </w:r>
      <w:r w:rsidRPr="00BB7D71" w:rsidR="0088023D">
        <w:t xml:space="preserve"> because of the effects that Cyclone Gita has had on </w:t>
      </w:r>
      <w:r w:rsidRPr="00BB7D71" w:rsidR="003901B7">
        <w:t>American Samoa</w:t>
      </w:r>
      <w:r w:rsidRPr="00BB7D71" w:rsidR="00D319B0">
        <w:t>.</w:t>
      </w:r>
      <w:r>
        <w:rPr>
          <w:rStyle w:val="FootnoteReference"/>
        </w:rPr>
        <w:footnoteReference w:id="7"/>
      </w:r>
      <w:r w:rsidRPr="00BB7D71" w:rsidR="00D319B0">
        <w:t xml:space="preserve">  For the reasons discussed herein, we find</w:t>
      </w:r>
      <w:r w:rsidRPr="00BB7D71" w:rsidR="003901B7">
        <w:t xml:space="preserve"> that Cyclone Gita has exacerbated the unique circumstances present in this situation and that it is</w:t>
      </w:r>
      <w:r w:rsidRPr="00BB7D71" w:rsidR="00D319B0">
        <w:t xml:space="preserve"> in the public interest to modify ASTCA’s existing waiver by granting the requested </w:t>
      </w:r>
      <w:r w:rsidRPr="00BB7D71" w:rsidR="00D2708A">
        <w:t>additional</w:t>
      </w:r>
      <w:r w:rsidRPr="00BB7D71" w:rsidR="00D319B0">
        <w:t xml:space="preserve"> time</w:t>
      </w:r>
      <w:r w:rsidRPr="00BB7D71" w:rsidR="000452EE">
        <w:t xml:space="preserve"> </w:t>
      </w:r>
      <w:r w:rsidRPr="00BB7D71" w:rsidR="00D319B0">
        <w:t>to</w:t>
      </w:r>
      <w:r w:rsidRPr="00BB7D71" w:rsidR="00062F3D">
        <w:t xml:space="preserve"> meet its </w:t>
      </w:r>
      <w:r w:rsidRPr="00BB7D71" w:rsidR="00B21C6B">
        <w:t>construction</w:t>
      </w:r>
      <w:r w:rsidRPr="00BB7D71" w:rsidR="00062F3D">
        <w:t xml:space="preserve"> requirements</w:t>
      </w:r>
      <w:r w:rsidRPr="00BB7D71" w:rsidR="00161B27">
        <w:t>.</w:t>
      </w:r>
      <w:r w:rsidRPr="00BB7D71" w:rsidR="00062F3D">
        <w:t xml:space="preserve"> </w:t>
      </w:r>
    </w:p>
    <w:p w:rsidR="00D4568E" w:rsidRPr="00BB4E53" w:rsidP="00AF0281">
      <w:pPr>
        <w:pStyle w:val="ParaNum"/>
      </w:pPr>
    </w:p>
    <w:p w:rsidR="004028BD" w:rsidP="00AF0281">
      <w:pPr>
        <w:pStyle w:val="ParaNum"/>
      </w:pPr>
      <w:r w:rsidRPr="00BB4E53">
        <w:rPr>
          <w:i/>
        </w:rPr>
        <w:t>Background</w:t>
      </w:r>
      <w:r w:rsidRPr="00BB4E53">
        <w:t xml:space="preserve">. </w:t>
      </w:r>
      <w:r w:rsidR="005E4989">
        <w:t xml:space="preserve"> </w:t>
      </w:r>
      <w:r>
        <w:t>Pursuant to</w:t>
      </w:r>
      <w:r w:rsidR="00D3366A">
        <w:t xml:space="preserve"> </w:t>
      </w:r>
      <w:r w:rsidR="00D679F8">
        <w:t xml:space="preserve">section 24.203 of </w:t>
      </w:r>
      <w:r w:rsidR="00D3366A">
        <w:t>the</w:t>
      </w:r>
      <w:r>
        <w:t xml:space="preserve"> Commission</w:t>
      </w:r>
      <w:r w:rsidR="002F4C13">
        <w:t>’s</w:t>
      </w:r>
      <w:r>
        <w:t xml:space="preserve"> rules, PCS licensees must</w:t>
      </w:r>
      <w:r w:rsidR="00D3366A">
        <w:t xml:space="preserve"> demonstrate that they are providing service sufficient to</w:t>
      </w:r>
      <w:r>
        <w:t xml:space="preserve"> serve either one-third </w:t>
      </w:r>
      <w:r w:rsidR="00800AB7">
        <w:t>(for licensees of 30 megahertz blocks)</w:t>
      </w:r>
      <w:r>
        <w:rPr>
          <w:rStyle w:val="FootnoteReference"/>
        </w:rPr>
        <w:footnoteReference w:id="8"/>
      </w:r>
      <w:r w:rsidR="00800AB7">
        <w:t xml:space="preserve"> or</w:t>
      </w:r>
      <w:r>
        <w:t xml:space="preserve"> one-fourth </w:t>
      </w:r>
      <w:r w:rsidR="00800AB7">
        <w:t>(for all other licensees)</w:t>
      </w:r>
      <w:r>
        <w:rPr>
          <w:rStyle w:val="FootnoteReference"/>
        </w:rPr>
        <w:footnoteReference w:id="9"/>
      </w:r>
      <w:r w:rsidR="00800AB7">
        <w:t xml:space="preserve"> </w:t>
      </w:r>
      <w:r>
        <w:t xml:space="preserve">of the </w:t>
      </w:r>
      <w:r>
        <w:t>population</w:t>
      </w:r>
      <w:r w:rsidR="00800AB7">
        <w:t xml:space="preserve"> in their licensed market areas</w:t>
      </w:r>
      <w:r>
        <w:t xml:space="preserve"> within five years of the initial license g</w:t>
      </w:r>
      <w:r w:rsidR="00800AB7">
        <w:t xml:space="preserve">rant.  </w:t>
      </w:r>
      <w:r w:rsidR="00D943AD">
        <w:t>Alternatively, l</w:t>
      </w:r>
      <w:r w:rsidR="00800AB7">
        <w:t xml:space="preserve">icensees may </w:t>
      </w:r>
      <w:r>
        <w:t>make a substantial service showing.</w:t>
      </w:r>
      <w:r>
        <w:rPr>
          <w:rStyle w:val="FootnoteReference"/>
        </w:rPr>
        <w:footnoteReference w:id="10"/>
      </w:r>
      <w:r w:rsidR="001E4D4C">
        <w:t xml:space="preserve"> </w:t>
      </w:r>
      <w:r>
        <w:t xml:space="preserve"> A PCS license will automatically terminate as of the construction deadline if the licensee fails to meet the </w:t>
      </w:r>
      <w:r w:rsidR="00800AB7">
        <w:t>requirements of s</w:t>
      </w:r>
      <w:r>
        <w:t xml:space="preserve">ection 24.203 unless the Commission grants an extension or waives the </w:t>
      </w:r>
      <w:r w:rsidR="00D943AD">
        <w:t>applicable construction requirement</w:t>
      </w:r>
      <w:r w:rsidR="00800AB7">
        <w:t>.</w:t>
      </w:r>
      <w:r>
        <w:rPr>
          <w:rStyle w:val="FootnoteReference"/>
        </w:rPr>
        <w:footnoteReference w:id="11"/>
      </w:r>
      <w:r w:rsidR="00800AB7">
        <w:t xml:space="preserve"> </w:t>
      </w:r>
      <w:r>
        <w:t xml:space="preserve"> </w:t>
      </w:r>
      <w:r w:rsidR="00800AB7">
        <w:t>F</w:t>
      </w:r>
      <w:r>
        <w:t>ailure</w:t>
      </w:r>
      <w:r w:rsidR="00800AB7">
        <w:t xml:space="preserve"> to construct as required</w:t>
      </w:r>
      <w:r>
        <w:t xml:space="preserve"> results in forfeiture of the license or non-renewal</w:t>
      </w:r>
      <w:r w:rsidR="00D63B0C">
        <w:t>,</w:t>
      </w:r>
      <w:r>
        <w:t xml:space="preserve"> and the licensee is ineligible to regain the license.</w:t>
      </w:r>
      <w:r>
        <w:rPr>
          <w:rStyle w:val="FootnoteReference"/>
        </w:rPr>
        <w:footnoteReference w:id="12"/>
      </w:r>
      <w:r>
        <w:t xml:space="preserve">    </w:t>
      </w:r>
    </w:p>
    <w:p w:rsidR="004028BD" w:rsidP="00AF0281">
      <w:pPr>
        <w:pStyle w:val="ParaNum"/>
      </w:pPr>
    </w:p>
    <w:p w:rsidR="00853532" w:rsidP="00AF0281">
      <w:pPr>
        <w:pStyle w:val="ParaNum"/>
      </w:pPr>
      <w:r>
        <w:t xml:space="preserve">As explained in the Order, </w:t>
      </w:r>
      <w:r w:rsidR="00D80761">
        <w:t>ASTCA was required to serve either one-third of the population of American</w:t>
      </w:r>
      <w:r w:rsidR="008C57B9">
        <w:t xml:space="preserve"> Samoa for its 30 MHz license</w:t>
      </w:r>
      <w:r>
        <w:rPr>
          <w:rStyle w:val="FootnoteReference"/>
        </w:rPr>
        <w:footnoteReference w:id="13"/>
      </w:r>
      <w:r w:rsidR="00D80761">
        <w:t xml:space="preserve"> </w:t>
      </w:r>
      <w:r w:rsidR="008C57B9">
        <w:t xml:space="preserve">and one-fourth of the population </w:t>
      </w:r>
      <w:r w:rsidR="00D80761">
        <w:t>for its 10 MHz license</w:t>
      </w:r>
      <w:r w:rsidR="008C57B9">
        <w:t>s</w:t>
      </w:r>
      <w:r w:rsidR="00175DC4">
        <w:t>,</w:t>
      </w:r>
      <w:r>
        <w:rPr>
          <w:rStyle w:val="FootnoteReference"/>
        </w:rPr>
        <w:footnoteReference w:id="14"/>
      </w:r>
      <w:r w:rsidR="00175DC4">
        <w:t xml:space="preserve"> o</w:t>
      </w:r>
      <w:r w:rsidR="00D80761">
        <w:t xml:space="preserve">r demonstrate substantial service in </w:t>
      </w:r>
      <w:r w:rsidR="008C57B9">
        <w:t>each</w:t>
      </w:r>
      <w:r w:rsidR="00D80761">
        <w:t xml:space="preserve"> licensed area</w:t>
      </w:r>
      <w:r>
        <w:t xml:space="preserve"> by January 24, 2016</w:t>
      </w:r>
      <w:r w:rsidR="00D80761">
        <w:t>.</w:t>
      </w:r>
      <w:r>
        <w:rPr>
          <w:rStyle w:val="FootnoteReference"/>
        </w:rPr>
        <w:footnoteReference w:id="15"/>
      </w:r>
      <w:r w:rsidR="00D80761">
        <w:t xml:space="preserve">  On March 2, 2016, as a result of ASTCA’s failure to file construction notifications or a request for waiver or extension of time to meet its build-out deadline, the </w:t>
      </w:r>
      <w:r w:rsidR="00223109">
        <w:t>Licenses entered</w:t>
      </w:r>
      <w:r w:rsidRPr="008D666C" w:rsidR="00D80761">
        <w:t xml:space="preserve"> termination pending status.</w:t>
      </w:r>
      <w:r w:rsidRPr="008D666C" w:rsidR="00E706A6">
        <w:t xml:space="preserve"> </w:t>
      </w:r>
      <w:r w:rsidR="00DB11CB">
        <w:t xml:space="preserve"> </w:t>
      </w:r>
      <w:r w:rsidRPr="008D666C" w:rsidR="007739E9">
        <w:t>On April 1, 2016, ASTCA filed</w:t>
      </w:r>
      <w:r w:rsidR="00223109">
        <w:t xml:space="preserve"> a petition for reconsideration, request for waiver, and request for extension of time (</w:t>
      </w:r>
      <w:r w:rsidRPr="008D666C" w:rsidR="007739E9">
        <w:t>Petition</w:t>
      </w:r>
      <w:r w:rsidR="00223109">
        <w:t>) seeking reconsideration of the Licenses’ termination pending status and requesting</w:t>
      </w:r>
      <w:r w:rsidRPr="008D666C" w:rsidR="00860EF8">
        <w:t xml:space="preserve"> an</w:t>
      </w:r>
      <w:r w:rsidRPr="008D666C" w:rsidR="007739E9">
        <w:t xml:space="preserve"> extension of less than </w:t>
      </w:r>
      <w:r w:rsidRPr="008D666C" w:rsidR="007739E9">
        <w:t>o</w:t>
      </w:r>
      <w:r w:rsidRPr="008D666C" w:rsidR="00860EF8">
        <w:t>ne year</w:t>
      </w:r>
      <w:r w:rsidRPr="008D666C" w:rsidR="007739E9">
        <w:t xml:space="preserve"> to meet its </w:t>
      </w:r>
      <w:r w:rsidRPr="008D666C" w:rsidR="00860EF8">
        <w:t>five-year</w:t>
      </w:r>
      <w:r w:rsidRPr="008D666C" w:rsidR="007739E9">
        <w:t xml:space="preserve"> build-out deadline</w:t>
      </w:r>
      <w:r w:rsidRPr="008D666C" w:rsidR="00860EF8">
        <w:t>s</w:t>
      </w:r>
      <w:r w:rsidRPr="008D666C" w:rsidR="007739E9">
        <w:t>.</w:t>
      </w:r>
      <w:r>
        <w:rPr>
          <w:rStyle w:val="FootnoteReference"/>
        </w:rPr>
        <w:footnoteReference w:id="16"/>
      </w:r>
      <w:r w:rsidRPr="008D666C" w:rsidR="007739E9">
        <w:t xml:space="preserve">  In support of its r</w:t>
      </w:r>
      <w:r w:rsidRPr="008D666C" w:rsidR="00EB47AD">
        <w:t xml:space="preserve">equest, </w:t>
      </w:r>
      <w:r w:rsidRPr="008D666C" w:rsidR="00FA2B0D">
        <w:t>ASTCA argued that grant of its petition was</w:t>
      </w:r>
      <w:r w:rsidRPr="008D666C" w:rsidR="00E04F0F">
        <w:t xml:space="preserve"> warranted because</w:t>
      </w:r>
      <w:r w:rsidRPr="008D666C" w:rsidR="00FA2B0D">
        <w:t>:</w:t>
      </w:r>
      <w:r w:rsidRPr="008D666C" w:rsidR="00E04F0F">
        <w:t xml:space="preserve"> </w:t>
      </w:r>
      <w:r w:rsidRPr="008D666C" w:rsidR="002D7C7C">
        <w:t xml:space="preserve">(1) </w:t>
      </w:r>
      <w:r w:rsidRPr="008D666C" w:rsidR="00E04F0F">
        <w:t>it ha</w:t>
      </w:r>
      <w:r w:rsidR="00A37DBD">
        <w:t>d</w:t>
      </w:r>
      <w:r w:rsidRPr="008D666C" w:rsidR="00E04F0F">
        <w:t xml:space="preserve"> been diligent in constructing its system through its involvement in the </w:t>
      </w:r>
      <w:r w:rsidRPr="008D666C" w:rsidR="002D7C7C">
        <w:t>Broadband Linking the American Samoa Territory (</w:t>
      </w:r>
      <w:r w:rsidRPr="008D666C" w:rsidR="00E04F0F">
        <w:t>BLAST</w:t>
      </w:r>
      <w:r w:rsidRPr="008D666C" w:rsidR="002D7C7C">
        <w:t>)</w:t>
      </w:r>
      <w:r w:rsidRPr="008D666C" w:rsidR="00E04F0F">
        <w:t xml:space="preserve"> project</w:t>
      </w:r>
      <w:r w:rsidRPr="008D666C" w:rsidR="00B01500">
        <w:t>,</w:t>
      </w:r>
      <w:r>
        <w:rPr>
          <w:rStyle w:val="FootnoteReference"/>
        </w:rPr>
        <w:footnoteReference w:id="17"/>
      </w:r>
      <w:r w:rsidRPr="008D666C" w:rsidR="00E04F0F">
        <w:t xml:space="preserve"> and </w:t>
      </w:r>
      <w:r w:rsidRPr="008D666C" w:rsidR="00FA2B0D">
        <w:t xml:space="preserve">the </w:t>
      </w:r>
      <w:r w:rsidRPr="008D666C" w:rsidR="00E04F0F">
        <w:t xml:space="preserve">preparations </w:t>
      </w:r>
      <w:r w:rsidRPr="008D666C" w:rsidR="00FA2B0D">
        <w:t xml:space="preserve">it </w:t>
      </w:r>
      <w:r w:rsidRPr="008D666C" w:rsidR="00E04F0F">
        <w:t>made at its cell sites</w:t>
      </w:r>
      <w:r w:rsidRPr="008D666C" w:rsidR="002D7C7C">
        <w:t xml:space="preserve">, including upgraded backhaul capability </w:t>
      </w:r>
      <w:r w:rsidRPr="008D666C" w:rsidR="002A43EE">
        <w:t>as well as</w:t>
      </w:r>
      <w:r w:rsidRPr="008D666C" w:rsidR="002D7C7C">
        <w:t xml:space="preserve"> power systems and transmitter relocation;</w:t>
      </w:r>
      <w:r>
        <w:rPr>
          <w:rStyle w:val="FootnoteReference"/>
        </w:rPr>
        <w:footnoteReference w:id="18"/>
      </w:r>
      <w:r w:rsidRPr="008D666C" w:rsidR="002D7C7C">
        <w:t xml:space="preserve"> (2) delays to construction were beyond its control and resulted from “financial uncertainty and cash flow issues</w:t>
      </w:r>
      <w:r w:rsidR="00A37DBD">
        <w:t>;</w:t>
      </w:r>
      <w:r w:rsidRPr="008D666C" w:rsidR="002D7C7C">
        <w:t>”</w:t>
      </w:r>
      <w:r>
        <w:rPr>
          <w:rStyle w:val="FootnoteReference"/>
        </w:rPr>
        <w:footnoteReference w:id="19"/>
      </w:r>
      <w:r w:rsidRPr="008D666C" w:rsidR="002D7C7C">
        <w:t xml:space="preserve"> and (3)</w:t>
      </w:r>
      <w:r w:rsidRPr="008D666C" w:rsidR="007739E9">
        <w:t xml:space="preserve"> </w:t>
      </w:r>
      <w:r w:rsidRPr="008D666C" w:rsidR="00FD6C74">
        <w:t>grant would further the rules and advance the public interest</w:t>
      </w:r>
      <w:r w:rsidRPr="008D666C" w:rsidR="00E706A6">
        <w:t xml:space="preserve"> </w:t>
      </w:r>
      <w:r w:rsidRPr="008D666C" w:rsidR="00FD6C74">
        <w:t>in that ASTCA is poised to use its spectrum to provide high-speed LTE service to the people of American Samoa.</w:t>
      </w:r>
      <w:r>
        <w:rPr>
          <w:rStyle w:val="FootnoteReference"/>
        </w:rPr>
        <w:footnoteReference w:id="20"/>
      </w:r>
      <w:r w:rsidR="00940C09">
        <w:t xml:space="preserve">  </w:t>
      </w:r>
      <w:r w:rsidRPr="008D666C" w:rsidR="004A20E9">
        <w:t>O</w:t>
      </w:r>
      <w:r w:rsidRPr="008D666C" w:rsidR="001D57F5">
        <w:t xml:space="preserve">n </w:t>
      </w:r>
      <w:r w:rsidRPr="008D666C" w:rsidR="00857691">
        <w:t xml:space="preserve">January 7, 2017, ASTCA filed </w:t>
      </w:r>
      <w:r w:rsidRPr="008D666C" w:rsidR="002A43EE">
        <w:t>a Supplement</w:t>
      </w:r>
      <w:r w:rsidRPr="008D666C" w:rsidR="00857691">
        <w:t xml:space="preserve"> providing </w:t>
      </w:r>
      <w:r w:rsidRPr="008D666C" w:rsidR="00E72C49">
        <w:t>further support for its petition,</w:t>
      </w:r>
      <w:r w:rsidRPr="008D666C" w:rsidR="00E22E88">
        <w:t xml:space="preserve"> including </w:t>
      </w:r>
      <w:r w:rsidRPr="008D666C" w:rsidR="00857691">
        <w:t>detail</w:t>
      </w:r>
      <w:r w:rsidRPr="008D666C" w:rsidR="00E22E88">
        <w:t>s</w:t>
      </w:r>
      <w:r w:rsidRPr="008D666C" w:rsidR="00857691">
        <w:t xml:space="preserve"> regarding</w:t>
      </w:r>
      <w:r w:rsidRPr="008D666C" w:rsidR="00E22E88">
        <w:t xml:space="preserve"> </w:t>
      </w:r>
      <w:r w:rsidRPr="008D666C" w:rsidR="00857691">
        <w:t xml:space="preserve">the </w:t>
      </w:r>
      <w:r w:rsidR="00803CB2">
        <w:t xml:space="preserve">challenges to construction </w:t>
      </w:r>
      <w:r w:rsidR="00160B69">
        <w:t>a</w:t>
      </w:r>
      <w:r w:rsidR="00803CB2">
        <w:t>rising from</w:t>
      </w:r>
      <w:r w:rsidRPr="008D666C" w:rsidR="00857691">
        <w:t xml:space="preserve"> </w:t>
      </w:r>
      <w:r w:rsidRPr="00CF1E8E" w:rsidR="00857691">
        <w:t>American Samoa’s geographic isolation</w:t>
      </w:r>
      <w:r w:rsidRPr="00CF1E8E" w:rsidR="00647315">
        <w:t xml:space="preserve"> and the company’s</w:t>
      </w:r>
      <w:r w:rsidRPr="00CF1E8E" w:rsidR="00756879">
        <w:t xml:space="preserve"> </w:t>
      </w:r>
      <w:r w:rsidRPr="00CF1E8E" w:rsidR="00E22E88">
        <w:t xml:space="preserve">efforts in </w:t>
      </w:r>
      <w:r w:rsidRPr="00CF1E8E" w:rsidR="00756879">
        <w:t>upgrading</w:t>
      </w:r>
      <w:r w:rsidRPr="00CF1E8E" w:rsidR="00857691">
        <w:t xml:space="preserve"> necessary communications infrastructure.</w:t>
      </w:r>
      <w:r>
        <w:rPr>
          <w:rStyle w:val="FootnoteReference"/>
        </w:rPr>
        <w:footnoteReference w:id="21"/>
      </w:r>
      <w:r w:rsidRPr="00CF1E8E" w:rsidR="00857691">
        <w:t xml:space="preserve">  </w:t>
      </w:r>
      <w:r w:rsidRPr="00CF1E8E" w:rsidR="001A3FC4">
        <w:t xml:space="preserve">ASTCA </w:t>
      </w:r>
      <w:r w:rsidR="00940C09">
        <w:t>argued</w:t>
      </w:r>
      <w:r w:rsidRPr="00CF1E8E" w:rsidR="001A3FC4">
        <w:t xml:space="preserve"> that </w:t>
      </w:r>
      <w:r w:rsidRPr="00CF1E8E" w:rsidR="00232271">
        <w:t xml:space="preserve">the replacement of deteriorating legacy copper infrastructure with a fiber network was “a necessary precursor to 4G LTE deployment,” and this process was completed </w:t>
      </w:r>
      <w:r w:rsidRPr="005D2A1A" w:rsidR="00232271">
        <w:t>“only a few months prior</w:t>
      </w:r>
      <w:r w:rsidRPr="00CF1E8E" w:rsidR="00232271">
        <w:t xml:space="preserve"> to the January 2016 construction deadline.”</w:t>
      </w:r>
      <w:r>
        <w:rPr>
          <w:rStyle w:val="FootnoteReference"/>
        </w:rPr>
        <w:footnoteReference w:id="22"/>
      </w:r>
      <w:r w:rsidRPr="00CF1E8E" w:rsidR="00232271">
        <w:t xml:space="preserve">  </w:t>
      </w:r>
    </w:p>
    <w:p w:rsidR="005C24E1" w:rsidP="00AF0281">
      <w:pPr>
        <w:pStyle w:val="ParaNum"/>
      </w:pPr>
    </w:p>
    <w:p w:rsidR="000C1619" w:rsidP="00AF0281">
      <w:pPr>
        <w:pStyle w:val="ParaNum"/>
      </w:pPr>
      <w:r>
        <w:t>In</w:t>
      </w:r>
      <w:r w:rsidR="00767DDD">
        <w:t xml:space="preserve"> the Order, </w:t>
      </w:r>
      <w:r w:rsidR="00C478F8">
        <w:t>the Division</w:t>
      </w:r>
      <w:r w:rsidR="00500820">
        <w:t xml:space="preserve"> found that the geographic and environmental challenges associated with providing coverage to American Samoa constitute</w:t>
      </w:r>
      <w:r w:rsidR="00A37DBD">
        <w:t>d</w:t>
      </w:r>
      <w:r w:rsidR="00500820">
        <w:t xml:space="preserve"> </w:t>
      </w:r>
      <w:r w:rsidR="00A37DBD">
        <w:t xml:space="preserve">unique </w:t>
      </w:r>
      <w:r w:rsidR="00500820">
        <w:t xml:space="preserve">circumstances </w:t>
      </w:r>
      <w:r w:rsidR="00A37DBD">
        <w:t xml:space="preserve">such </w:t>
      </w:r>
      <w:r w:rsidR="00500820">
        <w:t>that strict application of the Commission’s construction rules in this case would be contrary to the public interest.</w:t>
      </w:r>
      <w:r>
        <w:rPr>
          <w:rStyle w:val="FootnoteReference"/>
        </w:rPr>
        <w:footnoteReference w:id="23"/>
      </w:r>
      <w:r w:rsidR="00500820">
        <w:t xml:space="preserve">  In addition, we concluded that granting relief to ASTCA in this situation </w:t>
      </w:r>
      <w:r w:rsidR="00A37DBD">
        <w:t>would</w:t>
      </w:r>
      <w:r w:rsidR="00500820">
        <w:t xml:space="preserve"> result in significant benefit to the American Samoa community.</w:t>
      </w:r>
      <w:r>
        <w:rPr>
          <w:rStyle w:val="FootnoteReference"/>
        </w:rPr>
        <w:footnoteReference w:id="24"/>
      </w:r>
      <w:r w:rsidR="00500820">
        <w:t xml:space="preserve">  Accordingly, we granted ASTCA a waiver pursuant to section 1.925(b)(3) of the Commission’s rules in order to permit the company to provide 4G LTE service to a remote, underserved area that has, to date, lacked advanced broadband services.</w:t>
      </w:r>
      <w:r>
        <w:rPr>
          <w:rStyle w:val="FootnoteReference"/>
        </w:rPr>
        <w:footnoteReference w:id="25"/>
      </w:r>
      <w:r w:rsidR="00500820">
        <w:t xml:space="preserve">  We found that the challenges</w:t>
      </w:r>
      <w:r>
        <w:t xml:space="preserve"> faced by ASTCA in providing service to the islands, combined with the significant public benefit to be achieved from the deployment of advanced wireless services, are unique circumstances that support relief in this case.</w:t>
      </w:r>
      <w:r>
        <w:rPr>
          <w:rStyle w:val="FootnoteReference"/>
        </w:rPr>
        <w:footnoteReference w:id="26"/>
      </w:r>
      <w:r>
        <w:t xml:space="preserve">  Consistent with</w:t>
      </w:r>
      <w:r w:rsidR="00A26B46">
        <w:t xml:space="preserve"> benchmarks identified in</w:t>
      </w:r>
      <w:r>
        <w:t xml:space="preserve"> ASTCA</w:t>
      </w:r>
      <w:r w:rsidR="00254A53">
        <w:t>’s</w:t>
      </w:r>
      <w:r>
        <w:t xml:space="preserve"> request, we required that ASTCA file construction notifications by March 7, 2018, demonstrating that it is providing coverage to 60.42 percent of the American Samoa population on the A and D block channels and to 34.34 percent of the population on the C and F block channels, with a combined coverage to more than 80 percent of the population.</w:t>
      </w:r>
      <w:r>
        <w:rPr>
          <w:rStyle w:val="FootnoteReference"/>
        </w:rPr>
        <w:footnoteReference w:id="27"/>
      </w:r>
      <w:r>
        <w:t xml:space="preserve">  </w:t>
      </w:r>
    </w:p>
    <w:p w:rsidR="000C1619" w:rsidP="00AF0281">
      <w:pPr>
        <w:pStyle w:val="ParaNum"/>
      </w:pPr>
    </w:p>
    <w:p w:rsidR="00631482" w:rsidP="00AF0281">
      <w:pPr>
        <w:pStyle w:val="ParaNum"/>
      </w:pPr>
      <w:r>
        <w:t xml:space="preserve">Prior to the March 7, 2018 deadline, ASTCA filed the Request, asking for a brief extension of four months until July 7, 2018 </w:t>
      </w:r>
      <w:r>
        <w:t>in order to meet its construction build-out requirement</w:t>
      </w:r>
      <w:r w:rsidR="009C5C2B">
        <w:t>s</w:t>
      </w:r>
      <w:r>
        <w:t xml:space="preserve"> for the Licenses, claiming</w:t>
      </w:r>
      <w:r w:rsidR="004F5C3F">
        <w:t xml:space="preserve"> that </w:t>
      </w:r>
      <w:r w:rsidR="00B05066">
        <w:t xml:space="preserve">additional difficulties, </w:t>
      </w:r>
      <w:r w:rsidR="005D31B2">
        <w:t>particularly</w:t>
      </w:r>
      <w:r w:rsidR="00B05066">
        <w:t xml:space="preserve"> </w:t>
      </w:r>
      <w:r w:rsidR="004F5C3F">
        <w:t xml:space="preserve">Cyclone Gita, which struck the </w:t>
      </w:r>
      <w:r w:rsidR="009C5C2B">
        <w:t xml:space="preserve">American Samoa </w:t>
      </w:r>
      <w:r w:rsidR="004F5C3F">
        <w:t>islands on February 9, 2018, have prevented ASTCA from meeting the March 7, 2018 deadline.</w:t>
      </w:r>
      <w:r>
        <w:rPr>
          <w:rStyle w:val="FootnoteReference"/>
        </w:rPr>
        <w:footnoteReference w:id="28"/>
      </w:r>
      <w:r w:rsidR="00F5378A">
        <w:t xml:space="preserve">  In the Request, ASTCA describes the catastrophic impact of Gita</w:t>
      </w:r>
      <w:r w:rsidR="009C5C2B">
        <w:t>, which left</w:t>
      </w:r>
      <w:r w:rsidR="00F5378A">
        <w:t xml:space="preserve"> many areas without power or water, including approximately 90 percent of Tutuila (the largest and main island), downing half of ASTCA’s cell sites, power lines, and communications infrastructure.</w:t>
      </w:r>
      <w:r>
        <w:rPr>
          <w:rStyle w:val="FootnoteReference"/>
        </w:rPr>
        <w:footnoteReference w:id="29"/>
      </w:r>
      <w:r w:rsidR="00F5378A">
        <w:t xml:space="preserve">  ASTCA </w:t>
      </w:r>
      <w:r w:rsidR="00576283">
        <w:t>explains that Gi</w:t>
      </w:r>
      <w:r w:rsidR="009C5C2B">
        <w:t>ta impeded</w:t>
      </w:r>
      <w:r w:rsidR="00576283">
        <w:t xml:space="preserve"> its ability to meet the construction deadline because ASTCA (1) devoted resources to basic communications services as opposed to furthering its LTE deployment; (2)</w:t>
      </w:r>
      <w:r w:rsidR="00C96853">
        <w:t xml:space="preserve"> </w:t>
      </w:r>
      <w:r w:rsidR="00576283">
        <w:t>devoted resources to assist with power restoration at the government’s request; (3) experienced limited access to critical infrastructure</w:t>
      </w:r>
      <w:r w:rsidR="009C5C2B">
        <w:t xml:space="preserve"> for the deployment</w:t>
      </w:r>
      <w:r w:rsidR="00576283">
        <w:t>; and (4) experienced delays in receiving LTE system equipment s</w:t>
      </w:r>
      <w:r w:rsidR="009C5C2B">
        <w:t>hipments because the islands were</w:t>
      </w:r>
      <w:r w:rsidR="00576283">
        <w:t xml:space="preserve"> prioritizing emergency supplies.</w:t>
      </w:r>
      <w:r>
        <w:rPr>
          <w:rStyle w:val="FootnoteReference"/>
        </w:rPr>
        <w:footnoteReference w:id="30"/>
      </w:r>
    </w:p>
    <w:p w:rsidR="00631482" w:rsidP="00AF0281">
      <w:pPr>
        <w:pStyle w:val="ParaNum"/>
      </w:pPr>
    </w:p>
    <w:p w:rsidR="00AF0281" w:rsidP="00E33785">
      <w:pPr>
        <w:pStyle w:val="ParaNum"/>
      </w:pPr>
      <w:r>
        <w:t>In its Request, ASTCA further describes the progress i</w:t>
      </w:r>
      <w:r w:rsidR="00E45D3A">
        <w:t>t has</w:t>
      </w:r>
      <w:r>
        <w:t xml:space="preserve"> made</w:t>
      </w:r>
      <w:r w:rsidR="00E45D3A">
        <w:t xml:space="preserve"> toward meeting its build-out requirement</w:t>
      </w:r>
      <w:r w:rsidR="00BD7173">
        <w:t>s</w:t>
      </w:r>
      <w:r w:rsidR="00E45D3A">
        <w:t xml:space="preserve"> in the months leading up to Cyclone Gita.</w:t>
      </w:r>
      <w:r>
        <w:rPr>
          <w:rStyle w:val="FootnoteReference"/>
        </w:rPr>
        <w:footnoteReference w:id="31"/>
      </w:r>
      <w:r w:rsidR="00E45D3A">
        <w:t xml:space="preserve">  Importantly, ASTCA contracted with Ericsson</w:t>
      </w:r>
      <w:r w:rsidR="009671DD">
        <w:t xml:space="preserve"> for equipment needed for its LTE network, a vendor change that was </w:t>
      </w:r>
      <w:r w:rsidR="00BD7173">
        <w:t xml:space="preserve">required in order to meet AT&amp;T’s FirstNet requirements </w:t>
      </w:r>
      <w:r w:rsidR="00BD7173">
        <w:t xml:space="preserve">and which will benefit American Samoa first </w:t>
      </w:r>
      <w:r w:rsidRPr="00E33785" w:rsidR="00BD7173">
        <w:t>responders, government entities, and citizens.</w:t>
      </w:r>
      <w:r>
        <w:rPr>
          <w:rStyle w:val="FootnoteReference"/>
        </w:rPr>
        <w:footnoteReference w:id="32"/>
      </w:r>
      <w:r w:rsidRPr="00E33785" w:rsidR="00BD7173">
        <w:t xml:space="preserve">  ASTCA also contracted with UNICOM for antennas.</w:t>
      </w:r>
      <w:r>
        <w:rPr>
          <w:rStyle w:val="FootnoteReference"/>
        </w:rPr>
        <w:footnoteReference w:id="33"/>
      </w:r>
      <w:r w:rsidRPr="00E33785" w:rsidR="00E563A7">
        <w:t xml:space="preserve">  </w:t>
      </w:r>
      <w:r w:rsidRPr="00E33785" w:rsidR="00BD7173">
        <w:t>ASTCA claim</w:t>
      </w:r>
      <w:r w:rsidR="00C60A47">
        <w:t>ed</w:t>
      </w:r>
      <w:r w:rsidRPr="00E33785" w:rsidR="00BD7173">
        <w:t xml:space="preserve"> that once it receive</w:t>
      </w:r>
      <w:r w:rsidR="00C60A47">
        <w:t>d</w:t>
      </w:r>
      <w:r w:rsidRPr="00E33785" w:rsidR="00BD7173">
        <w:t xml:space="preserve"> </w:t>
      </w:r>
      <w:r w:rsidRPr="00E33785" w:rsidR="00E33785">
        <w:t xml:space="preserve">necessary </w:t>
      </w:r>
      <w:r w:rsidRPr="00E33785" w:rsidR="00BD7173">
        <w:t xml:space="preserve">equipment, </w:t>
      </w:r>
      <w:r w:rsidRPr="00E33785" w:rsidR="00D63B0C">
        <w:t>which was delayed by</w:t>
      </w:r>
      <w:r w:rsidR="00D63B0C">
        <w:t xml:space="preserve"> Cyclone Gita, </w:t>
      </w:r>
      <w:r w:rsidR="00BD7173">
        <w:t xml:space="preserve">it </w:t>
      </w:r>
      <w:r w:rsidR="00C60A47">
        <w:t>would</w:t>
      </w:r>
      <w:r w:rsidR="00BD7173">
        <w:t xml:space="preserve"> be in position to begin operation of its LTE network in less than one week and satisfy its build-out requirements.</w:t>
      </w:r>
      <w:r>
        <w:rPr>
          <w:rStyle w:val="FootnoteReference"/>
        </w:rPr>
        <w:footnoteReference w:id="34"/>
      </w:r>
      <w:r w:rsidR="00E563A7">
        <w:t xml:space="preserve">  Given the possibility that unexpected events </w:t>
      </w:r>
      <w:r w:rsidR="00C60A47">
        <w:t>might</w:t>
      </w:r>
      <w:r w:rsidR="00E563A7">
        <w:t xml:space="preserve"> prolong the islands’ recovery from Gita</w:t>
      </w:r>
      <w:r w:rsidR="00366DFF">
        <w:t xml:space="preserve"> </w:t>
      </w:r>
      <w:r w:rsidR="00E563A7">
        <w:t>and that there could be transportation delays, ASTCA request</w:t>
      </w:r>
      <w:r w:rsidR="00C60A47">
        <w:t>ed</w:t>
      </w:r>
      <w:r w:rsidR="00E563A7">
        <w:t xml:space="preserve"> a modified </w:t>
      </w:r>
      <w:r w:rsidR="00366DFF">
        <w:t xml:space="preserve">build-out </w:t>
      </w:r>
      <w:r w:rsidR="00E563A7">
        <w:t>deadline</w:t>
      </w:r>
      <w:r w:rsidR="00FB592E">
        <w:t xml:space="preserve"> of July 7, 2018.</w:t>
      </w:r>
      <w:r>
        <w:rPr>
          <w:rStyle w:val="FootnoteReference"/>
        </w:rPr>
        <w:footnoteReference w:id="35"/>
      </w:r>
      <w:r w:rsidR="005C24E1">
        <w:t xml:space="preserve">  </w:t>
      </w:r>
    </w:p>
    <w:p w:rsidR="00D01501" w:rsidP="00E33785">
      <w:pPr>
        <w:pStyle w:val="ParaNum"/>
      </w:pPr>
    </w:p>
    <w:p w:rsidR="00D01501" w:rsidP="00E33785">
      <w:pPr>
        <w:pStyle w:val="ParaNum"/>
      </w:pPr>
      <w:r>
        <w:t xml:space="preserve">On July 2, 2018, ASTCA filed notifications of construction, </w:t>
      </w:r>
      <w:r w:rsidR="00364854">
        <w:t xml:space="preserve">which </w:t>
      </w:r>
      <w:r w:rsidR="008534C0">
        <w:t>were</w:t>
      </w:r>
      <w:r w:rsidR="00364854">
        <w:t xml:space="preserve"> subsequently </w:t>
      </w:r>
      <w:r>
        <w:t>amended on July 24, 2018,</w:t>
      </w:r>
      <w:r>
        <w:rPr>
          <w:rStyle w:val="FootnoteReference"/>
        </w:rPr>
        <w:footnoteReference w:id="36"/>
      </w:r>
      <w:r>
        <w:t xml:space="preserve"> indicating that </w:t>
      </w:r>
      <w:r w:rsidR="00C12165">
        <w:t>ASTCA</w:t>
      </w:r>
      <w:r>
        <w:t xml:space="preserve"> is providing the required levels of coverage specified in the 2017 Order.</w:t>
      </w:r>
      <w:r>
        <w:rPr>
          <w:rStyle w:val="FootnoteReference"/>
        </w:rPr>
        <w:footnoteReference w:id="37"/>
      </w:r>
      <w:r>
        <w:t xml:space="preserve">  Division Staff is currently reviewing the notifications to </w:t>
      </w:r>
      <w:r w:rsidR="00ED59F3">
        <w:t>determine</w:t>
      </w:r>
      <w:r w:rsidR="00C92EE3">
        <w:t xml:space="preserve"> compliance with the coverage conditions.</w:t>
      </w:r>
      <w:r>
        <w:t xml:space="preserve"> </w:t>
      </w:r>
    </w:p>
    <w:p w:rsidR="003712DB">
      <w:pPr>
        <w:rPr>
          <w:snapToGrid w:val="0"/>
          <w:color w:val="000000"/>
          <w:kern w:val="28"/>
          <w:sz w:val="22"/>
          <w:szCs w:val="22"/>
        </w:rPr>
      </w:pPr>
    </w:p>
    <w:p w:rsidR="000C10D8" w:rsidP="00AF0281">
      <w:pPr>
        <w:pStyle w:val="ParaNum"/>
      </w:pPr>
      <w:r w:rsidRPr="00D4568E">
        <w:rPr>
          <w:i/>
        </w:rPr>
        <w:t>Discussion</w:t>
      </w:r>
      <w:r>
        <w:t xml:space="preserve">.  The </w:t>
      </w:r>
      <w:r w:rsidR="00921201">
        <w:t>Commission may grant a waiver</w:t>
      </w:r>
      <w:r w:rsidR="00F85A71">
        <w:t xml:space="preserve"> pursuant to </w:t>
      </w:r>
      <w:r w:rsidR="00160B69">
        <w:t xml:space="preserve">section </w:t>
      </w:r>
      <w:r w:rsidR="00F85A71">
        <w:t>1.925(b)(3)</w:t>
      </w:r>
      <w:r w:rsidR="00921201">
        <w:t xml:space="preserve"> when: (</w:t>
      </w:r>
      <w:r w:rsidR="00921201">
        <w:t>i</w:t>
      </w:r>
      <w:r w:rsidR="00921201">
        <w:t xml:space="preserve">) the underlying purpose of the rules(s) would not be served or would be frustrated by application to the instant case, and a grant of the requested waiver would be in the public interest; or (ii) in view of the unique or unusual factual circumstances of the instant case, application of the rule(s) would </w:t>
      </w:r>
      <w:r w:rsidR="00921201">
        <w:t>be inequitable, unduly burdensome, or contrary to the public interest, or the applicant has no reasonable alternative.</w:t>
      </w:r>
      <w:r>
        <w:rPr>
          <w:rStyle w:val="FootnoteReference"/>
        </w:rPr>
        <w:footnoteReference w:id="38"/>
      </w:r>
      <w:r>
        <w:t xml:space="preserve">  As we explained in the Order, waiver requests must meet a high hurdle at the outset and are evaluated on a case-by-case basis.</w:t>
      </w:r>
      <w:r>
        <w:rPr>
          <w:rStyle w:val="FootnoteReference"/>
        </w:rPr>
        <w:footnoteReference w:id="39"/>
      </w:r>
      <w:r w:rsidR="009E2341">
        <w:t xml:space="preserve">  </w:t>
      </w:r>
      <w:r>
        <w:t xml:space="preserve">After evaluating the </w:t>
      </w:r>
      <w:r w:rsidR="0070745C">
        <w:t xml:space="preserve">geographic </w:t>
      </w:r>
      <w:r w:rsidR="002657B7">
        <w:t xml:space="preserve">and environmental </w:t>
      </w:r>
      <w:r w:rsidR="0070745C">
        <w:t>challenges associated with providing coverage to American Samoa</w:t>
      </w:r>
      <w:r w:rsidR="002657B7">
        <w:t>,</w:t>
      </w:r>
      <w:r>
        <w:t xml:space="preserve"> we</w:t>
      </w:r>
      <w:r w:rsidR="00F52430">
        <w:t xml:space="preserve"> found the</w:t>
      </w:r>
      <w:r w:rsidR="00C60A47">
        <w:t xml:space="preserve"> unique</w:t>
      </w:r>
      <w:r w:rsidR="00F52430">
        <w:t xml:space="preserve"> circumstances in this case to be sufficient to warrant relief</w:t>
      </w:r>
      <w:r w:rsidR="00C60A47">
        <w:t xml:space="preserve"> in 2017</w:t>
      </w:r>
      <w:r w:rsidR="00F52430">
        <w:t>.</w:t>
      </w:r>
      <w:r>
        <w:rPr>
          <w:rStyle w:val="FootnoteReference"/>
        </w:rPr>
        <w:footnoteReference w:id="40"/>
      </w:r>
      <w:r w:rsidR="00055056">
        <w:t xml:space="preserve">  </w:t>
      </w:r>
      <w:r w:rsidR="00AE515F">
        <w:t>After a careful review of the new facts in this case, w</w:t>
      </w:r>
      <w:r w:rsidR="00055056">
        <w:t>e find that</w:t>
      </w:r>
      <w:r w:rsidR="00F376AC">
        <w:t xml:space="preserve"> Cyclone Gita has compounded the unique circumstances and challenges that exist</w:t>
      </w:r>
      <w:r w:rsidR="00AE515F">
        <w:t xml:space="preserve"> for ASTCA in meeting its</w:t>
      </w:r>
      <w:r w:rsidR="00F376AC">
        <w:t xml:space="preserve"> coverage</w:t>
      </w:r>
      <w:r w:rsidR="00AE515F">
        <w:t xml:space="preserve"> requirements in</w:t>
      </w:r>
      <w:r w:rsidR="004F41DA">
        <w:t xml:space="preserve"> American Samoa</w:t>
      </w:r>
      <w:r w:rsidR="00F376AC">
        <w:t>.</w:t>
      </w:r>
      <w:r w:rsidR="0041521C">
        <w:t xml:space="preserve">  Moreover, ASTCA resources were diverted to assist with basic community power and communications needs following the cyclone.</w:t>
      </w:r>
      <w:r>
        <w:rPr>
          <w:rStyle w:val="FootnoteReference"/>
        </w:rPr>
        <w:footnoteReference w:id="41"/>
      </w:r>
      <w:r w:rsidR="0041521C">
        <w:t xml:space="preserve"> </w:t>
      </w:r>
      <w:r w:rsidR="00F376AC">
        <w:t xml:space="preserve"> </w:t>
      </w:r>
      <w:r w:rsidR="001F6953">
        <w:t>Th</w:t>
      </w:r>
      <w:r w:rsidR="00AE515F">
        <w:t>e</w:t>
      </w:r>
      <w:r w:rsidR="0062767E">
        <w:t xml:space="preserve"> delays caused by</w:t>
      </w:r>
      <w:r w:rsidR="00AE515F">
        <w:t xml:space="preserve"> th</w:t>
      </w:r>
      <w:r w:rsidR="001F6953">
        <w:t>is unforeseen weather event</w:t>
      </w:r>
      <w:r w:rsidR="00604750">
        <w:t xml:space="preserve"> justify</w:t>
      </w:r>
      <w:r w:rsidR="00AE515F">
        <w:t xml:space="preserve"> </w:t>
      </w:r>
      <w:r w:rsidR="00CB2E8C">
        <w:t>modifying</w:t>
      </w:r>
      <w:r w:rsidR="00F376AC">
        <w:t xml:space="preserve"> ASTCA</w:t>
      </w:r>
      <w:r w:rsidR="00CB2E8C">
        <w:t>’s</w:t>
      </w:r>
      <w:r w:rsidR="00F376AC">
        <w:t xml:space="preserve"> build-out </w:t>
      </w:r>
      <w:r w:rsidR="00CB2E8C">
        <w:t>deadline</w:t>
      </w:r>
      <w:r w:rsidR="00F376AC">
        <w:t>.</w:t>
      </w:r>
      <w:r>
        <w:rPr>
          <w:rStyle w:val="FootnoteReference"/>
        </w:rPr>
        <w:footnoteReference w:id="42"/>
      </w:r>
    </w:p>
    <w:p w:rsidR="007A0E4C" w:rsidP="00AF0281">
      <w:pPr>
        <w:pStyle w:val="ParaNum"/>
      </w:pPr>
      <w:r>
        <w:t xml:space="preserve"> </w:t>
      </w:r>
    </w:p>
    <w:p w:rsidR="003712DB" w:rsidP="00AF0281">
      <w:pPr>
        <w:pStyle w:val="ParaNum"/>
      </w:pPr>
      <w:r w:rsidRPr="002B2FBE">
        <w:t>Accordingly,</w:t>
      </w:r>
      <w:r w:rsidRPr="002B2FBE" w:rsidR="000E38C0">
        <w:t xml:space="preserve"> </w:t>
      </w:r>
      <w:r w:rsidR="004706DA">
        <w:t>we</w:t>
      </w:r>
      <w:r w:rsidR="008133BB">
        <w:t xml:space="preserve"> grant the requested relief, conditioned on ASTCA’s </w:t>
      </w:r>
      <w:r w:rsidR="003A116D">
        <w:t xml:space="preserve">satisfactory </w:t>
      </w:r>
      <w:r w:rsidR="008133BB">
        <w:t>demonstration</w:t>
      </w:r>
      <w:r w:rsidRPr="002B2FBE" w:rsidR="008133BB">
        <w:t xml:space="preserve"> </w:t>
      </w:r>
      <w:r w:rsidRPr="002B2FBE">
        <w:t>that</w:t>
      </w:r>
      <w:r w:rsidR="009B3245">
        <w:t xml:space="preserve">, </w:t>
      </w:r>
      <w:r w:rsidR="00F56A4F">
        <w:t xml:space="preserve">as of </w:t>
      </w:r>
      <w:r w:rsidR="008133BB">
        <w:t>July 7, 2018</w:t>
      </w:r>
      <w:r w:rsidR="009B3245">
        <w:t>,</w:t>
      </w:r>
      <w:r w:rsidRPr="002B2FBE">
        <w:t xml:space="preserve"> it is providing the </w:t>
      </w:r>
      <w:r w:rsidR="00FD257A">
        <w:t xml:space="preserve">required </w:t>
      </w:r>
      <w:r w:rsidRPr="002B2FBE">
        <w:t xml:space="preserve">level of coverage </w:t>
      </w:r>
      <w:r w:rsidRPr="002B2FBE" w:rsidR="00A04B90">
        <w:t>for each of its Licenses</w:t>
      </w:r>
      <w:r w:rsidRPr="002B2FBE">
        <w:t>.</w:t>
      </w:r>
      <w:r w:rsidRPr="002B2FBE" w:rsidR="00A04B90">
        <w:t xml:space="preserve">  </w:t>
      </w:r>
      <w:r w:rsidR="00FD257A">
        <w:t xml:space="preserve">Consistent with </w:t>
      </w:r>
      <w:r w:rsidR="00E52679">
        <w:t xml:space="preserve">the conditions </w:t>
      </w:r>
      <w:r w:rsidR="00B44107">
        <w:t>set forth</w:t>
      </w:r>
      <w:r w:rsidR="00E52679">
        <w:t xml:space="preserve"> in the Order</w:t>
      </w:r>
      <w:r w:rsidR="00FD257A">
        <w:t>, ASTCA</w:t>
      </w:r>
      <w:r w:rsidR="008133BB">
        <w:t>’s notifications of construction</w:t>
      </w:r>
      <w:r w:rsidR="00FD257A">
        <w:t xml:space="preserve"> must demonstrate that it is providing coverage to 60.42 percent of the American Samoa population on the A </w:t>
      </w:r>
      <w:r w:rsidR="00FD257A">
        <w:t>and D block channels and to 34.34 percent of the population on the C and F block channels, with a combined coverage to more than 80 percent of the population.</w:t>
      </w:r>
      <w:r>
        <w:rPr>
          <w:rStyle w:val="FootnoteReference"/>
        </w:rPr>
        <w:footnoteReference w:id="43"/>
      </w:r>
      <w:r w:rsidR="00FD257A">
        <w:t xml:space="preserve">  </w:t>
      </w:r>
      <w:r w:rsidR="00D93554">
        <w:t xml:space="preserve">We </w:t>
      </w:r>
      <w:r w:rsidR="009B3245">
        <w:t xml:space="preserve">also </w:t>
      </w:r>
      <w:r w:rsidR="00D93554">
        <w:t xml:space="preserve">reiterate </w:t>
      </w:r>
      <w:r w:rsidRPr="002B2FBE" w:rsidR="000E38C0">
        <w:t xml:space="preserve">that ASTCA </w:t>
      </w:r>
      <w:r w:rsidRPr="002B2FBE" w:rsidR="005D1D17">
        <w:t>must demonstrate at renewal that</w:t>
      </w:r>
      <w:r w:rsidRPr="002B2FBE" w:rsidR="008D666C">
        <w:t>,</w:t>
      </w:r>
      <w:r w:rsidRPr="002B2FBE" w:rsidR="005D1D17">
        <w:t xml:space="preserve"> for each of its </w:t>
      </w:r>
      <w:r w:rsidR="009B3245">
        <w:t>licenses</w:t>
      </w:r>
      <w:r w:rsidRPr="002B2FBE" w:rsidR="005D1D17">
        <w:t>, it has maintained or increased the</w:t>
      </w:r>
      <w:r w:rsidRPr="002B2FBE" w:rsidR="00381840">
        <w:t xml:space="preserve"> level of</w:t>
      </w:r>
      <w:r w:rsidRPr="002B2FBE" w:rsidR="005D1D17">
        <w:t xml:space="preserve"> service coverage identified in the construction notifications.</w:t>
      </w:r>
      <w:r>
        <w:rPr>
          <w:rStyle w:val="FootnoteReference"/>
        </w:rPr>
        <w:footnoteReference w:id="44"/>
      </w:r>
      <w:r w:rsidRPr="002B2FBE" w:rsidR="005D1D17">
        <w:t xml:space="preserve">  </w:t>
      </w:r>
      <w:r w:rsidRPr="002B2FBE" w:rsidR="008D666C">
        <w:t>W</w:t>
      </w:r>
      <w:r w:rsidRPr="002B2FBE" w:rsidR="00C22A74">
        <w:t xml:space="preserve">e remind ASTCA that </w:t>
      </w:r>
      <w:r w:rsidR="008133BB">
        <w:t xml:space="preserve">the </w:t>
      </w:r>
      <w:r w:rsidRPr="002B2FBE" w:rsidR="00C22A74">
        <w:t xml:space="preserve">failure </w:t>
      </w:r>
      <w:r w:rsidRPr="002B2FBE" w:rsidR="00A04B90">
        <w:t xml:space="preserve">to </w:t>
      </w:r>
      <w:r w:rsidR="005031FD">
        <w:t xml:space="preserve">demonstrate the requisite </w:t>
      </w:r>
      <w:r w:rsidRPr="002B2FBE" w:rsidR="00A04B90">
        <w:t>construct</w:t>
      </w:r>
      <w:r w:rsidR="005031FD">
        <w:t>ion</w:t>
      </w:r>
      <w:r w:rsidR="005D31B2">
        <w:t>,</w:t>
      </w:r>
      <w:r w:rsidRPr="008D666C" w:rsidR="00C22A74">
        <w:t xml:space="preserve"> </w:t>
      </w:r>
      <w:r w:rsidR="00CB6E53">
        <w:t>or</w:t>
      </w:r>
      <w:r w:rsidR="009B3245">
        <w:t xml:space="preserve"> to maintain or exceed its July 7, 2018 level of service at renewal</w:t>
      </w:r>
      <w:r w:rsidR="005D31B2">
        <w:t>,</w:t>
      </w:r>
      <w:r w:rsidR="009B3245">
        <w:t xml:space="preserve"> </w:t>
      </w:r>
      <w:r w:rsidRPr="008D666C" w:rsidR="00C22A74">
        <w:t>will result in</w:t>
      </w:r>
      <w:r w:rsidR="00692F69">
        <w:t xml:space="preserve"> automatic</w:t>
      </w:r>
      <w:r w:rsidRPr="008D666C" w:rsidR="00C22A74">
        <w:t xml:space="preserve"> termination </w:t>
      </w:r>
      <w:r w:rsidR="003C311F">
        <w:t xml:space="preserve">or non-renewal, respectively, </w:t>
      </w:r>
      <w:r w:rsidRPr="008D666C" w:rsidR="00C22A74">
        <w:t>of the Licenses.</w:t>
      </w:r>
      <w:r w:rsidRPr="008D666C" w:rsidR="00AE7F2C">
        <w:t xml:space="preserve">  </w:t>
      </w:r>
    </w:p>
    <w:p w:rsidR="008133BB" w:rsidRPr="008D666C" w:rsidP="00AF0281">
      <w:pPr>
        <w:pStyle w:val="ParaNum"/>
      </w:pPr>
    </w:p>
    <w:p w:rsidR="00D4568E" w:rsidRPr="00BB4E53" w:rsidP="00AB08E0">
      <w:pPr>
        <w:pStyle w:val="ParaNum"/>
      </w:pPr>
      <w:r w:rsidRPr="00BB4E53">
        <w:t xml:space="preserve">Accordingly, IT IS </w:t>
      </w:r>
      <w:r w:rsidRPr="00381FD8">
        <w:t>ORDERED that, pursuant to Section 4(</w:t>
      </w:r>
      <w:r w:rsidRPr="00381FD8">
        <w:t>i</w:t>
      </w:r>
      <w:r w:rsidRPr="00381FD8">
        <w:t>) of the Communications Act of 1934, as amended, 47 U.S.C. § 154(</w:t>
      </w:r>
      <w:r w:rsidRPr="00381FD8">
        <w:t>i</w:t>
      </w:r>
      <w:r w:rsidRPr="00381FD8">
        <w:t xml:space="preserve">), and </w:t>
      </w:r>
      <w:r w:rsidRPr="00381FD8" w:rsidR="008D666C">
        <w:t>s</w:t>
      </w:r>
      <w:r w:rsidRPr="00381FD8">
        <w:t>ection 1.925(b)</w:t>
      </w:r>
      <w:r w:rsidRPr="00381FD8" w:rsidR="00655DAF">
        <w:t>(3)(ii)</w:t>
      </w:r>
      <w:r w:rsidRPr="00381FD8">
        <w:t xml:space="preserve"> </w:t>
      </w:r>
      <w:r w:rsidRPr="00381FD8" w:rsidR="002F7497">
        <w:t>of the Commission’s rules, 47 C</w:t>
      </w:r>
      <w:r w:rsidRPr="00381FD8">
        <w:t>F</w:t>
      </w:r>
      <w:r w:rsidRPr="00381FD8" w:rsidR="002F7497">
        <w:t>R</w:t>
      </w:r>
      <w:r w:rsidRPr="00381FD8">
        <w:t xml:space="preserve"> § 1.925</w:t>
      </w:r>
      <w:r w:rsidRPr="00381FD8" w:rsidR="00D53A66">
        <w:t>(b)</w:t>
      </w:r>
      <w:r w:rsidRPr="00381FD8" w:rsidR="00655DAF">
        <w:t>(3)(ii)</w:t>
      </w:r>
      <w:r w:rsidRPr="00381FD8" w:rsidR="00D53A66">
        <w:t xml:space="preserve">, </w:t>
      </w:r>
      <w:r w:rsidRPr="00381FD8" w:rsidR="008A5AFF">
        <w:t xml:space="preserve">the </w:t>
      </w:r>
      <w:r w:rsidRPr="00381FD8" w:rsidR="00B63CDB">
        <w:t>waiver of section</w:t>
      </w:r>
      <w:r w:rsidRPr="00381FD8" w:rsidR="00415AA7">
        <w:t xml:space="preserve"> 24.203(a) and (b) of t</w:t>
      </w:r>
      <w:r w:rsidRPr="00381FD8" w:rsidR="00B63CDB">
        <w:t>he Commission’s rules, 47 CFR §</w:t>
      </w:r>
      <w:r w:rsidRPr="00381FD8" w:rsidR="00415AA7">
        <w:t xml:space="preserve"> 24.203(a)-(b), </w:t>
      </w:r>
      <w:r w:rsidRPr="00381FD8" w:rsidR="00954CBF">
        <w:t xml:space="preserve">granted to American Samoa Telecommunications Authority </w:t>
      </w:r>
      <w:r w:rsidRPr="00381FD8" w:rsidR="008A5AFF">
        <w:t>on August 7, 2017</w:t>
      </w:r>
      <w:r w:rsidRPr="00381FD8" w:rsidR="0006239C">
        <w:t>,</w:t>
      </w:r>
      <w:r w:rsidRPr="00381FD8" w:rsidR="008A5AFF">
        <w:t xml:space="preserve"> IS MODIFIED </w:t>
      </w:r>
      <w:r w:rsidRPr="00381FD8" w:rsidR="00CB2E8C">
        <w:t>as</w:t>
      </w:r>
      <w:r w:rsidRPr="00381FD8" w:rsidR="008A5AFF">
        <w:t xml:space="preserve"> set forth herein</w:t>
      </w:r>
      <w:r w:rsidRPr="00381FD8" w:rsidR="00B63CDB">
        <w:t>.</w:t>
      </w:r>
      <w:r w:rsidR="00415AA7">
        <w:t xml:space="preserve"> </w:t>
      </w:r>
    </w:p>
    <w:p w:rsidR="00FD1914" w:rsidP="00FD1914">
      <w:pPr>
        <w:ind w:firstLine="720"/>
      </w:pPr>
    </w:p>
    <w:p w:rsidR="007E009B" w:rsidRPr="00FD1914" w:rsidP="00FD1914">
      <w:pPr>
        <w:ind w:firstLine="720"/>
        <w:rPr>
          <w:snapToGrid w:val="0"/>
          <w:color w:val="000000"/>
          <w:kern w:val="28"/>
          <w:sz w:val="22"/>
          <w:szCs w:val="22"/>
        </w:rPr>
      </w:pPr>
      <w:r w:rsidRPr="00FD1914">
        <w:rPr>
          <w:sz w:val="22"/>
          <w:szCs w:val="22"/>
        </w:rPr>
        <w:t xml:space="preserve">These actions are taken under delegated authority pursuant to Sections 0.131 and 0.331 </w:t>
      </w:r>
      <w:r w:rsidRPr="00FD1914" w:rsidR="002F7497">
        <w:rPr>
          <w:sz w:val="22"/>
          <w:szCs w:val="22"/>
        </w:rPr>
        <w:t>of the Commission’s rules, 47 CFR</w:t>
      </w:r>
      <w:r w:rsidRPr="00FD1914">
        <w:rPr>
          <w:sz w:val="22"/>
          <w:szCs w:val="22"/>
        </w:rPr>
        <w:t xml:space="preserve"> §§ 0.131, 0.331.</w:t>
      </w:r>
      <w:r w:rsidRPr="00FD1914" w:rsidR="00FB618B">
        <w:rPr>
          <w:sz w:val="22"/>
          <w:szCs w:val="22"/>
        </w:rPr>
        <w:t xml:space="preserve"> </w:t>
      </w:r>
    </w:p>
    <w:p w:rsidR="00E235BC" w:rsidRPr="002D0D24" w:rsidP="00AF0281">
      <w:pPr>
        <w:pStyle w:val="ParaNum"/>
      </w:pPr>
    </w:p>
    <w:p w:rsidR="007E009B" w:rsidRPr="002D0D24" w:rsidP="00DF1688">
      <w:pPr>
        <w:pStyle w:val="ParaNum"/>
        <w:ind w:left="4320"/>
      </w:pPr>
      <w:r w:rsidRPr="002D0D24">
        <w:t>Sincerely,</w:t>
      </w:r>
    </w:p>
    <w:p w:rsidR="007E009B" w:rsidP="00DF1688">
      <w:pPr>
        <w:pStyle w:val="ParaNum"/>
        <w:ind w:left="4320"/>
      </w:pPr>
    </w:p>
    <w:p w:rsidR="00A25BCD" w:rsidRPr="002D0D24" w:rsidP="00DF1688">
      <w:pPr>
        <w:pStyle w:val="ParaNum"/>
        <w:ind w:left="4320"/>
      </w:pPr>
    </w:p>
    <w:p w:rsidR="007E009B" w:rsidRPr="002D0D24" w:rsidP="00DF1688">
      <w:pPr>
        <w:pStyle w:val="ParaNum"/>
        <w:ind w:left="4320"/>
      </w:pPr>
    </w:p>
    <w:p w:rsidR="007E009B" w:rsidRPr="002D0D24" w:rsidP="00DF1688">
      <w:pPr>
        <w:pStyle w:val="ParaNum"/>
        <w:ind w:left="4320"/>
      </w:pPr>
      <w:r w:rsidRPr="002D0D24">
        <w:t>Roger S. Noel</w:t>
      </w:r>
    </w:p>
    <w:p w:rsidR="007E009B" w:rsidRPr="00C22544" w:rsidP="00DF1688">
      <w:pPr>
        <w:pStyle w:val="ParaNum"/>
        <w:ind w:left="4320"/>
      </w:pPr>
      <w:r w:rsidRPr="00C22544">
        <w:t>Chief, Mobility Division</w:t>
      </w:r>
    </w:p>
    <w:p w:rsidR="00A917FA" w:rsidP="00DF1688">
      <w:pPr>
        <w:pStyle w:val="ParaNum"/>
        <w:ind w:left="4320"/>
      </w:pPr>
      <w:r w:rsidRPr="00C22544">
        <w:t>Wireless Telecommunications Bureau</w:t>
      </w:r>
    </w:p>
    <w:p w:rsidR="00A917FA" w:rsidP="00AF0281">
      <w:pPr>
        <w:pStyle w:val="ParaNum"/>
      </w:pPr>
    </w:p>
    <w:p w:rsidR="005E4989" w:rsidRPr="00177D42" w:rsidP="00AF0281">
      <w:pPr>
        <w:pStyle w:val="ParaNum"/>
      </w:pPr>
    </w:p>
    <w:sectPr w:rsidSect="002B5667">
      <w:headerReference w:type="default" r:id="rId5"/>
      <w:footerReference w:type="default" r:id="rId6"/>
      <w:headerReference w:type="first" r:id="rId7"/>
      <w:pgSz w:w="12240" w:h="15840" w:code="1"/>
      <w:pgMar w:top="1440" w:right="1440" w:bottom="720" w:left="1440" w:header="720" w:footer="432"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AFF">
    <w:pPr>
      <w:pStyle w:val="Footer"/>
      <w:jc w:val="center"/>
    </w:pPr>
  </w:p>
  <w:p w:rsidR="008A5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7458">
      <w:r>
        <w:separator/>
      </w:r>
    </w:p>
  </w:footnote>
  <w:footnote w:type="continuationSeparator" w:id="1">
    <w:p w:rsidR="00997458">
      <w:r>
        <w:t xml:space="preserve">(Continued from previous page) </w:t>
      </w:r>
      <w:r>
        <w:separator/>
      </w:r>
    </w:p>
  </w:footnote>
  <w:footnote w:type="continuationNotice" w:id="2">
    <w:p w:rsidR="00997458" w:rsidP="001E4D4C"/>
  </w:footnote>
  <w:footnote w:id="3">
    <w:p w:rsidR="008A5AFF" w:rsidP="00E734E4">
      <w:pPr>
        <w:pStyle w:val="FootnoteText"/>
        <w:jc w:val="left"/>
      </w:pPr>
      <w:r>
        <w:rPr>
          <w:rStyle w:val="FootnoteReference"/>
        </w:rPr>
        <w:footnoteRef/>
      </w:r>
      <w:r>
        <w:t xml:space="preserve"> </w:t>
      </w:r>
      <w:r w:rsidRPr="00AC7C45">
        <w:t xml:space="preserve">American Samoa Telecommunications Authority </w:t>
      </w:r>
      <w:r>
        <w:t>Request for Extension of Time and Waiver,</w:t>
      </w:r>
      <w:r w:rsidRPr="002F4C13">
        <w:t xml:space="preserve"> Call Signs WQNF697, WQNF698, WQNF699, WQNF700,</w:t>
      </w:r>
      <w:r>
        <w:t xml:space="preserve"> WQNF703, and WQNF705 (filed March 6, 2018) (Request).     </w:t>
      </w:r>
    </w:p>
  </w:footnote>
  <w:footnote w:id="4">
    <w:p w:rsidR="008A5AFF">
      <w:pPr>
        <w:pStyle w:val="FootnoteText"/>
      </w:pPr>
      <w:r>
        <w:rPr>
          <w:rStyle w:val="FootnoteReference"/>
        </w:rPr>
        <w:footnoteRef/>
      </w:r>
      <w:r>
        <w:t xml:space="preserve"> 47 CFR § 24.203(a), (b).  The build-out requirements for PCS </w:t>
      </w:r>
      <w:r>
        <w:t>licensees</w:t>
      </w:r>
      <w:r>
        <w:t xml:space="preserve"> are located in this rule section, as described herein.</w:t>
      </w:r>
    </w:p>
  </w:footnote>
  <w:footnote w:id="5">
    <w:p w:rsidR="008A5AFF" w:rsidP="00E734E4">
      <w:pPr>
        <w:pStyle w:val="FootnoteText"/>
        <w:jc w:val="left"/>
      </w:pPr>
      <w:r>
        <w:rPr>
          <w:rStyle w:val="FootnoteReference"/>
        </w:rPr>
        <w:footnoteRef/>
      </w:r>
      <w:r>
        <w:t xml:space="preserve"> </w:t>
      </w:r>
      <w:r w:rsidRPr="006D4D99">
        <w:rPr>
          <w:i/>
        </w:rPr>
        <w:t xml:space="preserve">See </w:t>
      </w:r>
      <w:r>
        <w:t xml:space="preserve">Letter to Mr. Alex </w:t>
      </w:r>
      <w:r>
        <w:t>Sene</w:t>
      </w:r>
      <w:r>
        <w:t>, Acting CEO, ASTCA from Roger S. Noel, Chief, Mobility Division, Wireless Telecommunications Bureau, Letter Order, 32 FCC Rcd 6436 (WTB MD 2017) (Order).  The Licenses had been in Termination Pending status because of ASTCA’s failure to file construction notifications or a request for waiver or extension of time by its original build-out deadline.</w:t>
      </w:r>
    </w:p>
  </w:footnote>
  <w:footnote w:id="6">
    <w:p w:rsidR="008A5AFF" w:rsidP="00E734E4">
      <w:pPr>
        <w:pStyle w:val="FootnoteText"/>
        <w:jc w:val="left"/>
      </w:pPr>
      <w:r>
        <w:rPr>
          <w:rStyle w:val="FootnoteReference"/>
        </w:rPr>
        <w:footnoteRef/>
      </w:r>
      <w:r>
        <w:t xml:space="preserve"> Order at 8.</w:t>
      </w:r>
    </w:p>
  </w:footnote>
  <w:footnote w:id="7">
    <w:p w:rsidR="008A5AFF" w:rsidP="00E734E4">
      <w:pPr>
        <w:pStyle w:val="FootnoteText"/>
        <w:jc w:val="left"/>
      </w:pPr>
      <w:r>
        <w:rPr>
          <w:rStyle w:val="FootnoteReference"/>
        </w:rPr>
        <w:footnoteRef/>
      </w:r>
      <w:r>
        <w:t xml:space="preserve"> </w:t>
      </w:r>
      <w:r w:rsidRPr="00D319B0">
        <w:rPr>
          <w:i/>
        </w:rPr>
        <w:t>See</w:t>
      </w:r>
      <w:r>
        <w:rPr>
          <w:i/>
        </w:rPr>
        <w:t xml:space="preserve"> </w:t>
      </w:r>
      <w:r>
        <w:t>Request.</w:t>
      </w:r>
    </w:p>
  </w:footnote>
  <w:footnote w:id="8">
    <w:p w:rsidR="008A5AFF" w:rsidRPr="00860EF8" w:rsidP="00E734E4">
      <w:pPr>
        <w:pStyle w:val="FootnoteText"/>
        <w:jc w:val="left"/>
        <w:rPr>
          <w:i/>
        </w:rPr>
      </w:pPr>
      <w:r>
        <w:rPr>
          <w:rStyle w:val="FootnoteReference"/>
        </w:rPr>
        <w:footnoteRef/>
      </w:r>
      <w:r>
        <w:t xml:space="preserve"> 47 CFR §</w:t>
      </w:r>
      <w:r w:rsidRPr="00D679F8">
        <w:t xml:space="preserve"> 24.203(a</w:t>
      </w:r>
      <w:r>
        <w:t xml:space="preserve">).  Section 24.203(a) also requires licenses of 30 megahertz PCS blocks to demonstrate that they are serving with a signal level sufficient to provide service to at least two-thirds of the population in the applicable license area within ten years of license grant.  </w:t>
      </w:r>
      <w:r>
        <w:rPr>
          <w:i/>
        </w:rPr>
        <w:t>Id.</w:t>
      </w:r>
    </w:p>
  </w:footnote>
  <w:footnote w:id="9">
    <w:p w:rsidR="008A5AFF" w:rsidP="00E734E4">
      <w:pPr>
        <w:pStyle w:val="FootnoteText"/>
        <w:jc w:val="left"/>
      </w:pPr>
      <w:r>
        <w:rPr>
          <w:rStyle w:val="FootnoteReference"/>
        </w:rPr>
        <w:footnoteRef/>
      </w:r>
      <w:r>
        <w:t xml:space="preserve"> 47 CFR §</w:t>
      </w:r>
      <w:r w:rsidRPr="00D679F8">
        <w:t xml:space="preserve"> 24.203(</w:t>
      </w:r>
      <w:r>
        <w:t xml:space="preserve">b).  </w:t>
      </w:r>
    </w:p>
  </w:footnote>
  <w:footnote w:id="10">
    <w:p w:rsidR="008A5AFF" w:rsidP="00E734E4">
      <w:pPr>
        <w:pStyle w:val="FootnoteText"/>
        <w:jc w:val="left"/>
      </w:pPr>
      <w:r>
        <w:rPr>
          <w:rStyle w:val="FootnoteReference"/>
        </w:rPr>
        <w:footnoteRef/>
      </w:r>
      <w:r>
        <w:t xml:space="preserve"> </w:t>
      </w:r>
      <w:r w:rsidRPr="00786650">
        <w:rPr>
          <w:i/>
        </w:rPr>
        <w:t xml:space="preserve">See </w:t>
      </w:r>
      <w:r>
        <w:t xml:space="preserve">47 CFR §§ 24.203(a), (b).  </w:t>
      </w:r>
    </w:p>
  </w:footnote>
  <w:footnote w:id="11">
    <w:p w:rsidR="008A5AFF" w:rsidRPr="00800AB7" w:rsidP="00E734E4">
      <w:pPr>
        <w:pStyle w:val="FootnoteText"/>
        <w:jc w:val="left"/>
        <w:rPr>
          <w:i/>
        </w:rPr>
      </w:pPr>
      <w:r>
        <w:rPr>
          <w:rStyle w:val="FootnoteReference"/>
        </w:rPr>
        <w:footnoteRef/>
      </w:r>
      <w:r>
        <w:t xml:space="preserve"> </w:t>
      </w:r>
      <w:r>
        <w:rPr>
          <w:i/>
        </w:rPr>
        <w:t>Id.</w:t>
      </w:r>
    </w:p>
  </w:footnote>
  <w:footnote w:id="12">
    <w:p w:rsidR="008A5AFF" w:rsidP="00E734E4">
      <w:pPr>
        <w:pStyle w:val="FootnoteText"/>
        <w:jc w:val="left"/>
      </w:pPr>
      <w:r>
        <w:rPr>
          <w:rStyle w:val="FootnoteReference"/>
        </w:rPr>
        <w:footnoteRef/>
      </w:r>
      <w:r>
        <w:t xml:space="preserve"> </w:t>
      </w:r>
      <w:r w:rsidRPr="005424B6">
        <w:rPr>
          <w:i/>
        </w:rPr>
        <w:t>See</w:t>
      </w:r>
      <w:r>
        <w:t xml:space="preserve"> 47 CFR §§ 1.946(c), 1.955(a)(2), and 24.203(a), (b).</w:t>
      </w:r>
    </w:p>
  </w:footnote>
  <w:footnote w:id="13">
    <w:p w:rsidR="008A5AFF" w:rsidP="00E734E4">
      <w:pPr>
        <w:pStyle w:val="FootnoteText"/>
        <w:jc w:val="left"/>
      </w:pPr>
      <w:r>
        <w:rPr>
          <w:rStyle w:val="FootnoteReference"/>
        </w:rPr>
        <w:footnoteRef/>
      </w:r>
      <w:r>
        <w:t xml:space="preserve"> Call Sign </w:t>
      </w:r>
      <w:r w:rsidRPr="007A666F">
        <w:t>WQNF700</w:t>
      </w:r>
      <w:r>
        <w:t>.</w:t>
      </w:r>
    </w:p>
  </w:footnote>
  <w:footnote w:id="14">
    <w:p w:rsidR="008A5AFF" w:rsidP="00E734E4">
      <w:pPr>
        <w:pStyle w:val="FootnoteText"/>
        <w:jc w:val="left"/>
      </w:pPr>
      <w:r>
        <w:rPr>
          <w:rStyle w:val="FootnoteReference"/>
        </w:rPr>
        <w:footnoteRef/>
      </w:r>
      <w:r>
        <w:t xml:space="preserve"> Call Signs </w:t>
      </w:r>
      <w:r w:rsidRPr="00E37224">
        <w:t>WQN</w:t>
      </w:r>
      <w:r>
        <w:t>F697, WQNF698, WQNF699,</w:t>
      </w:r>
      <w:r w:rsidRPr="00E37224">
        <w:t xml:space="preserve"> WQNF703, and WQNF705</w:t>
      </w:r>
      <w:r>
        <w:t>.</w:t>
      </w:r>
    </w:p>
  </w:footnote>
  <w:footnote w:id="15">
    <w:p w:rsidR="008A5AFF">
      <w:pPr>
        <w:pStyle w:val="FootnoteText"/>
      </w:pPr>
      <w:r>
        <w:rPr>
          <w:rStyle w:val="FootnoteReference"/>
        </w:rPr>
        <w:footnoteRef/>
      </w:r>
      <w:r>
        <w:t xml:space="preserve"> Order at 2.</w:t>
      </w:r>
    </w:p>
  </w:footnote>
  <w:footnote w:id="16">
    <w:p w:rsidR="008A5AFF" w:rsidP="00E734E4">
      <w:pPr>
        <w:pStyle w:val="FootnoteText"/>
        <w:jc w:val="left"/>
      </w:pPr>
      <w:r>
        <w:rPr>
          <w:rStyle w:val="FootnoteReference"/>
        </w:rPr>
        <w:footnoteRef/>
      </w:r>
      <w:r>
        <w:t xml:space="preserve"> </w:t>
      </w:r>
      <w:r w:rsidRPr="00940C09">
        <w:rPr>
          <w:i/>
        </w:rPr>
        <w:t xml:space="preserve">See </w:t>
      </w:r>
      <w:r>
        <w:t>American Samoa Telecommunications Authority Petition for Reconsideration, Request for Waiver, and Request for Extension of Time (filed Apr. 1, 2016) (Petition).</w:t>
      </w:r>
    </w:p>
  </w:footnote>
  <w:footnote w:id="17">
    <w:p w:rsidR="008A5AFF" w:rsidP="00E734E4">
      <w:pPr>
        <w:pStyle w:val="FootnoteText"/>
        <w:jc w:val="left"/>
      </w:pPr>
      <w:r>
        <w:rPr>
          <w:rStyle w:val="FootnoteReference"/>
        </w:rPr>
        <w:footnoteRef/>
      </w:r>
      <w:r>
        <w:t xml:space="preserve"> </w:t>
      </w:r>
      <w:r>
        <w:rPr>
          <w:i/>
        </w:rPr>
        <w:t>Id.</w:t>
      </w:r>
      <w:r>
        <w:t xml:space="preserve"> at 2-3.</w:t>
      </w:r>
    </w:p>
  </w:footnote>
  <w:footnote w:id="18">
    <w:p w:rsidR="008A5AFF" w:rsidP="00E734E4">
      <w:pPr>
        <w:pStyle w:val="FootnoteText"/>
        <w:jc w:val="left"/>
      </w:pPr>
      <w:r>
        <w:rPr>
          <w:rStyle w:val="FootnoteReference"/>
        </w:rPr>
        <w:footnoteRef/>
      </w:r>
      <w:r>
        <w:t xml:space="preserve"> </w:t>
      </w:r>
      <w:r w:rsidRPr="00E04F0F">
        <w:rPr>
          <w:i/>
        </w:rPr>
        <w:t>See</w:t>
      </w:r>
      <w:r>
        <w:t xml:space="preserve"> </w:t>
      </w:r>
      <w:r w:rsidRPr="00673C5E">
        <w:rPr>
          <w:i/>
        </w:rPr>
        <w:t>id.</w:t>
      </w:r>
      <w:r>
        <w:t xml:space="preserve"> at 3-4.</w:t>
      </w:r>
    </w:p>
  </w:footnote>
  <w:footnote w:id="19">
    <w:p w:rsidR="008A5AFF" w:rsidP="00E734E4">
      <w:pPr>
        <w:pStyle w:val="FootnoteText"/>
        <w:jc w:val="left"/>
      </w:pPr>
      <w:r>
        <w:rPr>
          <w:rStyle w:val="FootnoteReference"/>
        </w:rPr>
        <w:footnoteRef/>
      </w:r>
      <w:r>
        <w:t xml:space="preserve"> </w:t>
      </w:r>
      <w:r w:rsidRPr="00783859">
        <w:rPr>
          <w:i/>
        </w:rPr>
        <w:t>Id.</w:t>
      </w:r>
      <w:r>
        <w:t xml:space="preserve"> at 5-6.</w:t>
      </w:r>
    </w:p>
  </w:footnote>
  <w:footnote w:id="20">
    <w:p w:rsidR="008A5AFF" w:rsidP="00E734E4">
      <w:pPr>
        <w:pStyle w:val="FootnoteText"/>
        <w:jc w:val="left"/>
      </w:pPr>
      <w:r>
        <w:rPr>
          <w:rStyle w:val="FootnoteReference"/>
        </w:rPr>
        <w:footnoteRef/>
      </w:r>
      <w:r>
        <w:t xml:space="preserve"> </w:t>
      </w:r>
      <w:r w:rsidRPr="00FD6C74">
        <w:rPr>
          <w:i/>
        </w:rPr>
        <w:t>Id.</w:t>
      </w:r>
      <w:r>
        <w:t xml:space="preserve"> at 7-9.</w:t>
      </w:r>
    </w:p>
  </w:footnote>
  <w:footnote w:id="21">
    <w:p w:rsidR="008A5AFF" w:rsidP="00E734E4">
      <w:pPr>
        <w:pStyle w:val="FootnoteText"/>
        <w:jc w:val="left"/>
      </w:pPr>
      <w:r>
        <w:rPr>
          <w:rStyle w:val="FootnoteReference"/>
        </w:rPr>
        <w:footnoteRef/>
      </w:r>
      <w:r>
        <w:t xml:space="preserve"> </w:t>
      </w:r>
      <w:r w:rsidRPr="00940C09">
        <w:rPr>
          <w:i/>
        </w:rPr>
        <w:t xml:space="preserve">See </w:t>
      </w:r>
      <w:r w:rsidRPr="00BB3916">
        <w:t>American Samoa Telecommunications Authority</w:t>
      </w:r>
      <w:r>
        <w:t>,</w:t>
      </w:r>
      <w:r w:rsidRPr="00BB3916">
        <w:t xml:space="preserve"> Supplement (filed Jan. 7, 2017)</w:t>
      </w:r>
      <w:r>
        <w:t xml:space="preserve"> (Supplement).</w:t>
      </w:r>
    </w:p>
  </w:footnote>
  <w:footnote w:id="22">
    <w:p w:rsidR="008A5AFF" w:rsidP="00E734E4">
      <w:pPr>
        <w:pStyle w:val="FootnoteText"/>
        <w:jc w:val="left"/>
      </w:pPr>
      <w:r>
        <w:rPr>
          <w:rStyle w:val="FootnoteReference"/>
        </w:rPr>
        <w:footnoteRef/>
      </w:r>
      <w:r>
        <w:t xml:space="preserve"> </w:t>
      </w:r>
      <w:r w:rsidRPr="00232271">
        <w:rPr>
          <w:i/>
        </w:rPr>
        <w:t>Id.</w:t>
      </w:r>
      <w:r>
        <w:t xml:space="preserve"> at 4-5.</w:t>
      </w:r>
    </w:p>
  </w:footnote>
  <w:footnote w:id="23">
    <w:p w:rsidR="008A5AFF">
      <w:pPr>
        <w:pStyle w:val="FootnoteText"/>
      </w:pPr>
      <w:r>
        <w:rPr>
          <w:rStyle w:val="FootnoteReference"/>
        </w:rPr>
        <w:footnoteRef/>
      </w:r>
      <w:r>
        <w:t xml:space="preserve"> </w:t>
      </w:r>
      <w:r w:rsidRPr="00500820">
        <w:rPr>
          <w:i/>
        </w:rPr>
        <w:t>See</w:t>
      </w:r>
      <w:r>
        <w:t xml:space="preserve"> Order at 4-6.</w:t>
      </w:r>
    </w:p>
  </w:footnote>
  <w:footnote w:id="24">
    <w:p w:rsidR="008A5AFF">
      <w:pPr>
        <w:pStyle w:val="FootnoteText"/>
      </w:pPr>
      <w:r>
        <w:rPr>
          <w:rStyle w:val="FootnoteReference"/>
        </w:rPr>
        <w:footnoteRef/>
      </w:r>
      <w:r>
        <w:t xml:space="preserve"> </w:t>
      </w:r>
      <w:r w:rsidRPr="00500820">
        <w:rPr>
          <w:i/>
        </w:rPr>
        <w:t>Id.</w:t>
      </w:r>
      <w:r>
        <w:t xml:space="preserve"> at 6-7.</w:t>
      </w:r>
    </w:p>
  </w:footnote>
  <w:footnote w:id="25">
    <w:p w:rsidR="008A5AFF">
      <w:pPr>
        <w:pStyle w:val="FootnoteText"/>
      </w:pPr>
      <w:r>
        <w:rPr>
          <w:rStyle w:val="FootnoteReference"/>
        </w:rPr>
        <w:footnoteRef/>
      </w:r>
      <w:r>
        <w:t xml:space="preserve"> </w:t>
      </w:r>
      <w:r w:rsidRPr="00500820">
        <w:rPr>
          <w:i/>
        </w:rPr>
        <w:t>Id.</w:t>
      </w:r>
      <w:r>
        <w:t xml:space="preserve"> at 4.</w:t>
      </w:r>
    </w:p>
  </w:footnote>
  <w:footnote w:id="26">
    <w:p w:rsidR="008A5AFF">
      <w:pPr>
        <w:pStyle w:val="FootnoteText"/>
      </w:pPr>
      <w:r>
        <w:rPr>
          <w:rStyle w:val="FootnoteReference"/>
        </w:rPr>
        <w:footnoteRef/>
      </w:r>
      <w:r>
        <w:t xml:space="preserve"> </w:t>
      </w:r>
      <w:r w:rsidRPr="000C1619">
        <w:rPr>
          <w:i/>
        </w:rPr>
        <w:t>Id.</w:t>
      </w:r>
      <w:r>
        <w:t xml:space="preserve"> at 7.</w:t>
      </w:r>
    </w:p>
  </w:footnote>
  <w:footnote w:id="27">
    <w:p w:rsidR="008A5AFF">
      <w:pPr>
        <w:pStyle w:val="FootnoteText"/>
      </w:pPr>
      <w:r>
        <w:rPr>
          <w:rStyle w:val="FootnoteReference"/>
        </w:rPr>
        <w:footnoteRef/>
      </w:r>
      <w:r>
        <w:t xml:space="preserve"> </w:t>
      </w:r>
      <w:r w:rsidRPr="003712DB">
        <w:rPr>
          <w:i/>
        </w:rPr>
        <w:t>Id.</w:t>
      </w:r>
      <w:r>
        <w:t xml:space="preserve"> at 7-8.</w:t>
      </w:r>
    </w:p>
  </w:footnote>
  <w:footnote w:id="28">
    <w:p w:rsidR="008A5AFF">
      <w:pPr>
        <w:pStyle w:val="FootnoteText"/>
      </w:pPr>
      <w:r>
        <w:rPr>
          <w:rStyle w:val="FootnoteReference"/>
        </w:rPr>
        <w:footnoteRef/>
      </w:r>
      <w:r>
        <w:t xml:space="preserve"> Request at 1.</w:t>
      </w:r>
    </w:p>
  </w:footnote>
  <w:footnote w:id="29">
    <w:p w:rsidR="008A5AFF">
      <w:pPr>
        <w:pStyle w:val="FootnoteText"/>
      </w:pPr>
      <w:r>
        <w:rPr>
          <w:rStyle w:val="FootnoteReference"/>
        </w:rPr>
        <w:footnoteRef/>
      </w:r>
      <w:r>
        <w:t xml:space="preserve"> </w:t>
      </w:r>
      <w:r w:rsidRPr="006968B4">
        <w:rPr>
          <w:i/>
        </w:rPr>
        <w:t>Id.</w:t>
      </w:r>
      <w:r>
        <w:t xml:space="preserve"> at 3.</w:t>
      </w:r>
    </w:p>
  </w:footnote>
  <w:footnote w:id="30">
    <w:p w:rsidR="008A5AFF">
      <w:pPr>
        <w:pStyle w:val="FootnoteText"/>
      </w:pPr>
      <w:r>
        <w:rPr>
          <w:rStyle w:val="FootnoteReference"/>
        </w:rPr>
        <w:footnoteRef/>
      </w:r>
      <w:r>
        <w:t xml:space="preserve"> </w:t>
      </w:r>
      <w:r w:rsidRPr="006968B4">
        <w:rPr>
          <w:i/>
        </w:rPr>
        <w:t>Id.</w:t>
      </w:r>
      <w:r>
        <w:t xml:space="preserve"> at 3-4.</w:t>
      </w:r>
    </w:p>
  </w:footnote>
  <w:footnote w:id="31">
    <w:p w:rsidR="008A5AFF">
      <w:pPr>
        <w:pStyle w:val="FootnoteText"/>
      </w:pPr>
      <w:r>
        <w:rPr>
          <w:rStyle w:val="FootnoteReference"/>
        </w:rPr>
        <w:footnoteRef/>
      </w:r>
      <w:r>
        <w:t xml:space="preserve"> </w:t>
      </w:r>
      <w:r w:rsidRPr="00E45D3A">
        <w:rPr>
          <w:i/>
        </w:rPr>
        <w:t>Id.</w:t>
      </w:r>
      <w:r>
        <w:t xml:space="preserve"> at 4-6.</w:t>
      </w:r>
    </w:p>
  </w:footnote>
  <w:footnote w:id="32">
    <w:p w:rsidR="008A5AFF">
      <w:pPr>
        <w:pStyle w:val="FootnoteText"/>
      </w:pPr>
      <w:r>
        <w:rPr>
          <w:rStyle w:val="FootnoteReference"/>
        </w:rPr>
        <w:footnoteRef/>
      </w:r>
      <w:r>
        <w:t xml:space="preserve"> </w:t>
      </w:r>
      <w:r w:rsidRPr="00BD7173">
        <w:rPr>
          <w:i/>
        </w:rPr>
        <w:t>Id.</w:t>
      </w:r>
      <w:r>
        <w:t xml:space="preserve"> </w:t>
      </w:r>
    </w:p>
  </w:footnote>
  <w:footnote w:id="33">
    <w:p w:rsidR="008A5AFF">
      <w:pPr>
        <w:pStyle w:val="FootnoteText"/>
      </w:pPr>
      <w:r>
        <w:rPr>
          <w:rStyle w:val="FootnoteReference"/>
        </w:rPr>
        <w:footnoteRef/>
      </w:r>
      <w:r>
        <w:t xml:space="preserve"> </w:t>
      </w:r>
      <w:r w:rsidRPr="00BD7173">
        <w:rPr>
          <w:i/>
        </w:rPr>
        <w:t>Id.</w:t>
      </w:r>
      <w:r>
        <w:t xml:space="preserve"> at 4-5.</w:t>
      </w:r>
    </w:p>
  </w:footnote>
  <w:footnote w:id="34">
    <w:p w:rsidR="008A5AFF">
      <w:pPr>
        <w:pStyle w:val="FootnoteText"/>
      </w:pPr>
      <w:r>
        <w:rPr>
          <w:rStyle w:val="FootnoteReference"/>
        </w:rPr>
        <w:footnoteRef/>
      </w:r>
      <w:r>
        <w:t xml:space="preserve"> </w:t>
      </w:r>
      <w:r w:rsidRPr="00BD7173">
        <w:rPr>
          <w:i/>
        </w:rPr>
        <w:t>Id.</w:t>
      </w:r>
      <w:r>
        <w:t xml:space="preserve"> at 5.</w:t>
      </w:r>
    </w:p>
  </w:footnote>
  <w:footnote w:id="35">
    <w:p w:rsidR="008A5AFF">
      <w:pPr>
        <w:pStyle w:val="FootnoteText"/>
      </w:pPr>
      <w:r>
        <w:rPr>
          <w:rStyle w:val="FootnoteReference"/>
        </w:rPr>
        <w:footnoteRef/>
      </w:r>
      <w:r>
        <w:t xml:space="preserve"> </w:t>
      </w:r>
      <w:r w:rsidRPr="00FB592E">
        <w:rPr>
          <w:i/>
        </w:rPr>
        <w:t>Id.</w:t>
      </w:r>
      <w:r>
        <w:t xml:space="preserve"> at 7.</w:t>
      </w:r>
    </w:p>
  </w:footnote>
  <w:footnote w:id="36">
    <w:p w:rsidR="00C92EE3">
      <w:pPr>
        <w:pStyle w:val="FootnoteText"/>
      </w:pPr>
      <w:r>
        <w:rPr>
          <w:rStyle w:val="FootnoteReference"/>
        </w:rPr>
        <w:footnoteRef/>
      </w:r>
      <w:r>
        <w:t xml:space="preserve"> </w:t>
      </w:r>
      <w:r w:rsidRPr="00BA7286" w:rsidR="00BA7286">
        <w:rPr>
          <w:i/>
        </w:rPr>
        <w:t>See</w:t>
      </w:r>
      <w:r w:rsidR="00BA7286">
        <w:t xml:space="preserve"> ULS File Nos. 0008270872, 0008270878, 0008270882, 0008270884, 0008270887, and 0008270889.</w:t>
      </w:r>
    </w:p>
  </w:footnote>
  <w:footnote w:id="37">
    <w:p w:rsidR="00FC021D">
      <w:pPr>
        <w:pStyle w:val="FootnoteText"/>
      </w:pPr>
      <w:r>
        <w:rPr>
          <w:rStyle w:val="FootnoteReference"/>
        </w:rPr>
        <w:footnoteRef/>
      </w:r>
      <w:r>
        <w:t xml:space="preserve"> Order at 7-8.</w:t>
      </w:r>
    </w:p>
  </w:footnote>
  <w:footnote w:id="38">
    <w:p w:rsidR="008A5AFF" w:rsidRPr="009D378D" w:rsidP="00E734E4">
      <w:pPr>
        <w:pStyle w:val="FootnoteText"/>
        <w:jc w:val="left"/>
      </w:pPr>
      <w:r>
        <w:rPr>
          <w:rStyle w:val="FootnoteReference"/>
        </w:rPr>
        <w:footnoteRef/>
      </w:r>
      <w:r>
        <w:t xml:space="preserve"> 47 CFR § 1.925(b)(3).</w:t>
      </w:r>
    </w:p>
  </w:footnote>
  <w:footnote w:id="39">
    <w:p w:rsidR="008A5AFF">
      <w:pPr>
        <w:pStyle w:val="FootnoteText"/>
      </w:pPr>
      <w:r>
        <w:rPr>
          <w:rStyle w:val="FootnoteReference"/>
        </w:rPr>
        <w:footnoteRef/>
      </w:r>
      <w:r>
        <w:t xml:space="preserve"> </w:t>
      </w:r>
      <w:r w:rsidRPr="00AE515F">
        <w:rPr>
          <w:i/>
        </w:rPr>
        <w:t xml:space="preserve">See </w:t>
      </w:r>
      <w:r>
        <w:t>Order at 4.</w:t>
      </w:r>
    </w:p>
  </w:footnote>
  <w:footnote w:id="40">
    <w:p w:rsidR="008A5AFF">
      <w:pPr>
        <w:pStyle w:val="FootnoteText"/>
      </w:pPr>
      <w:r>
        <w:rPr>
          <w:rStyle w:val="FootnoteReference"/>
        </w:rPr>
        <w:footnoteRef/>
      </w:r>
      <w:r>
        <w:t xml:space="preserve"> </w:t>
      </w:r>
      <w:r w:rsidRPr="00B55F65">
        <w:rPr>
          <w:i/>
        </w:rPr>
        <w:t>Id.</w:t>
      </w:r>
      <w:r>
        <w:t xml:space="preserve"> at 4-6.</w:t>
      </w:r>
    </w:p>
  </w:footnote>
  <w:footnote w:id="41">
    <w:p w:rsidR="008A5AFF">
      <w:pPr>
        <w:pStyle w:val="FootnoteText"/>
      </w:pPr>
      <w:r>
        <w:rPr>
          <w:rStyle w:val="FootnoteReference"/>
        </w:rPr>
        <w:footnoteRef/>
      </w:r>
      <w:r>
        <w:t xml:space="preserve"> Request at 3-4.</w:t>
      </w:r>
    </w:p>
  </w:footnote>
  <w:footnote w:id="42">
    <w:p w:rsidR="00B05066" w:rsidP="00B05066">
      <w:pPr>
        <w:pStyle w:val="FootnoteText"/>
        <w:jc w:val="left"/>
      </w:pPr>
      <w:r>
        <w:rPr>
          <w:rStyle w:val="FootnoteReference"/>
        </w:rPr>
        <w:footnoteRef/>
      </w:r>
      <w:r>
        <w:t xml:space="preserve"> As we noted in the Order, this waiver applies only to the interim deadline for ASTCA’s A Block license, Call Sign WQNF700, and does not affect the final construction deadline for that license.  Therefore, ASTCA must demonstrate that it is providing coverage </w:t>
      </w:r>
      <w:r w:rsidRPr="005D31B2">
        <w:t>sufficient to serve at least two-thirds of the population applicable to Call Sign WQNF700</w:t>
      </w:r>
      <w:r>
        <w:t xml:space="preserve"> </w:t>
      </w:r>
      <w:r w:rsidRPr="005D31B2">
        <w:t>by January 24, 2021.</w:t>
      </w:r>
      <w:r>
        <w:t xml:space="preserve">  </w:t>
      </w:r>
    </w:p>
  </w:footnote>
  <w:footnote w:id="43">
    <w:p w:rsidR="008A5AFF">
      <w:pPr>
        <w:pStyle w:val="FootnoteText"/>
      </w:pPr>
      <w:r>
        <w:rPr>
          <w:rStyle w:val="FootnoteReference"/>
        </w:rPr>
        <w:footnoteRef/>
      </w:r>
      <w:r>
        <w:t xml:space="preserve"> Order at 7-8.</w:t>
      </w:r>
    </w:p>
  </w:footnote>
  <w:footnote w:id="44">
    <w:p w:rsidR="008A5AFF">
      <w:pPr>
        <w:pStyle w:val="FootnoteText"/>
      </w:pPr>
      <w:r>
        <w:rPr>
          <w:rStyle w:val="FootnoteReference"/>
        </w:rPr>
        <w:footnoteRef/>
      </w:r>
      <w:r>
        <w:t xml:space="preserve"> Order 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AFF">
    <w:pPr>
      <w:pStyle w:val="Header"/>
      <w:rPr>
        <w:sz w:val="22"/>
        <w:szCs w:val="22"/>
      </w:rPr>
    </w:pPr>
    <w:r>
      <w:rPr>
        <w:sz w:val="22"/>
        <w:szCs w:val="22"/>
      </w:rPr>
      <w:t>Tony Lin, Esq.</w:t>
    </w:r>
  </w:p>
  <w:p w:rsidR="00653C86">
    <w:pPr>
      <w:pStyle w:val="Header"/>
      <w:rPr>
        <w:sz w:val="22"/>
        <w:szCs w:val="22"/>
      </w:rPr>
    </w:pPr>
    <w:r>
      <w:rPr>
        <w:sz w:val="22"/>
        <w:szCs w:val="22"/>
      </w:rPr>
      <w:t>David Martin, Esq.</w:t>
    </w:r>
  </w:p>
  <w:p w:rsidR="00653C86" w:rsidRPr="00751F41">
    <w:pPr>
      <w:pStyle w:val="Header"/>
      <w:rPr>
        <w:sz w:val="22"/>
        <w:szCs w:val="22"/>
      </w:rPr>
    </w:pPr>
    <w:r>
      <w:rPr>
        <w:sz w:val="22"/>
        <w:szCs w:val="22"/>
      </w:rPr>
      <w:t>Wesley Platt, Esq.</w:t>
    </w:r>
  </w:p>
  <w:p w:rsidR="008A5AFF">
    <w:pPr>
      <w:pStyle w:val="Header"/>
      <w:rPr>
        <w:noProof/>
        <w:sz w:val="22"/>
        <w:szCs w:val="22"/>
      </w:rPr>
    </w:pPr>
    <w:r w:rsidRPr="00751F41">
      <w:rPr>
        <w:sz w:val="22"/>
        <w:szCs w:val="22"/>
      </w:rPr>
      <w:t xml:space="preserve">Page </w:t>
    </w:r>
    <w:r w:rsidRPr="00751F41">
      <w:rPr>
        <w:sz w:val="22"/>
        <w:szCs w:val="22"/>
      </w:rPr>
      <w:fldChar w:fldCharType="begin"/>
    </w:r>
    <w:r w:rsidRPr="00751F41">
      <w:rPr>
        <w:sz w:val="22"/>
        <w:szCs w:val="22"/>
      </w:rPr>
      <w:instrText xml:space="preserve"> PAGE   \* MERGEFORMAT </w:instrText>
    </w:r>
    <w:r w:rsidRPr="00751F41">
      <w:rPr>
        <w:sz w:val="22"/>
        <w:szCs w:val="22"/>
      </w:rPr>
      <w:fldChar w:fldCharType="separate"/>
    </w:r>
    <w:r w:rsidR="001D0D85">
      <w:rPr>
        <w:noProof/>
        <w:sz w:val="22"/>
        <w:szCs w:val="22"/>
      </w:rPr>
      <w:t>5</w:t>
    </w:r>
    <w:r w:rsidRPr="00751F41">
      <w:rPr>
        <w:noProof/>
        <w:sz w:val="22"/>
        <w:szCs w:val="22"/>
      </w:rPr>
      <w:fldChar w:fldCharType="end"/>
    </w:r>
  </w:p>
  <w:p w:rsidR="00653C86">
    <w:pPr>
      <w:pStyle w:val="Header"/>
      <w:rPr>
        <w:sz w:val="22"/>
        <w:szCs w:val="22"/>
      </w:rPr>
    </w:pPr>
  </w:p>
  <w:p w:rsidR="002A3074" w:rsidRPr="00751F41">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AFF">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95145520" r:id="rId2"/>
      </w:pict>
    </w:r>
    <w:r>
      <w:rPr>
        <w:rFonts w:ascii="CG Times (W1)" w:hAnsi="CG Times (W1)"/>
        <w:sz w:val="28"/>
      </w:rPr>
      <w:t>Federal Communications Commission</w:t>
    </w:r>
  </w:p>
  <w:p w:rsidR="008A5AFF">
    <w:pPr>
      <w:jc w:val="center"/>
    </w:pPr>
    <w:r>
      <w:rPr>
        <w:rFonts w:ascii="CG Times (W1)" w:hAnsi="CG Times (W1)"/>
        <w:sz w:val="28"/>
      </w:rPr>
      <w:t>Washington, D.C. 20554</w:t>
    </w:r>
  </w:p>
  <w:p w:rsidR="008A5AFF">
    <w:pPr>
      <w:pStyle w:val="Header"/>
      <w:tabs>
        <w:tab w:val="clear" w:pos="4320"/>
      </w:tabs>
      <w:jc w:val="center"/>
      <w:rPr>
        <w:sz w:val="22"/>
      </w:rPr>
    </w:pPr>
  </w:p>
  <w:p w:rsidR="008A5AFF" w:rsidRPr="00E30660" w:rsidP="008209C9">
    <w:pPr>
      <w:pStyle w:val="Header"/>
      <w:tabs>
        <w:tab w:val="clear" w:pos="4320"/>
      </w:tabs>
      <w:jc w:val="center"/>
      <w:rPr>
        <w:sz w:val="22"/>
        <w:szCs w:val="22"/>
      </w:rPr>
    </w:pPr>
    <w:r>
      <w:rPr>
        <w:sz w:val="22"/>
        <w:szCs w:val="22"/>
      </w:rPr>
      <w:t>August 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071E873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1BE"/>
    <w:multiLevelType w:val="hybridMultilevel"/>
    <w:tmpl w:val="A26C8556"/>
    <w:lvl w:ilvl="0">
      <w:start w:val="1"/>
      <w:numFmt w:val="decimal"/>
      <w:lvlText w:val="%1."/>
      <w:lvlJc w:val="left"/>
      <w:pPr>
        <w:ind w:left="1080" w:hanging="360"/>
      </w:pPr>
      <w:rPr>
        <w:rFonts w:hint="default"/>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E832D9"/>
    <w:multiLevelType w:val="hybridMultilevel"/>
    <w:tmpl w:val="CD34C8FC"/>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3">
    <w:nsid w:val="065C3375"/>
    <w:multiLevelType w:val="hybridMultilevel"/>
    <w:tmpl w:val="BA8C11B6"/>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4">
    <w:nsid w:val="0C862C21"/>
    <w:multiLevelType w:val="hybridMultilevel"/>
    <w:tmpl w:val="A03A74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317119"/>
    <w:multiLevelType w:val="hybridMultilevel"/>
    <w:tmpl w:val="1D62A5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687405"/>
    <w:multiLevelType w:val="hybridMultilevel"/>
    <w:tmpl w:val="6136D1E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1697756"/>
    <w:multiLevelType w:val="hybridMultilevel"/>
    <w:tmpl w:val="2DB287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927631"/>
    <w:multiLevelType w:val="hybridMultilevel"/>
    <w:tmpl w:val="8990039E"/>
    <w:lvl w:ilvl="0">
      <w:start w:val="1"/>
      <w:numFmt w:val="upperRoman"/>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132869"/>
    <w:multiLevelType w:val="hybridMultilevel"/>
    <w:tmpl w:val="0C6E1B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490F030C"/>
    <w:multiLevelType w:val="hybridMultilevel"/>
    <w:tmpl w:val="3EEA1F16"/>
    <w:lvl w:ilvl="0">
      <w:start w:val="1"/>
      <w:numFmt w:val="bullet"/>
      <w:lvlText w:val=""/>
      <w:lvlJc w:val="left"/>
      <w:pPr>
        <w:ind w:left="3804" w:hanging="360"/>
      </w:pPr>
      <w:rPr>
        <w:rFonts w:ascii="Symbol" w:hAnsi="Symbol" w:hint="default"/>
      </w:rPr>
    </w:lvl>
    <w:lvl w:ilvl="1" w:tentative="1">
      <w:start w:val="1"/>
      <w:numFmt w:val="bullet"/>
      <w:lvlText w:val="o"/>
      <w:lvlJc w:val="left"/>
      <w:pPr>
        <w:ind w:left="4524" w:hanging="360"/>
      </w:pPr>
      <w:rPr>
        <w:rFonts w:ascii="Courier New" w:hAnsi="Courier New" w:cs="Courier New" w:hint="default"/>
      </w:rPr>
    </w:lvl>
    <w:lvl w:ilvl="2" w:tentative="1">
      <w:start w:val="1"/>
      <w:numFmt w:val="bullet"/>
      <w:lvlText w:val=""/>
      <w:lvlJc w:val="left"/>
      <w:pPr>
        <w:ind w:left="5244" w:hanging="360"/>
      </w:pPr>
      <w:rPr>
        <w:rFonts w:ascii="Wingdings" w:hAnsi="Wingdings" w:hint="default"/>
      </w:rPr>
    </w:lvl>
    <w:lvl w:ilvl="3" w:tentative="1">
      <w:start w:val="1"/>
      <w:numFmt w:val="bullet"/>
      <w:lvlText w:val=""/>
      <w:lvlJc w:val="left"/>
      <w:pPr>
        <w:ind w:left="5964" w:hanging="360"/>
      </w:pPr>
      <w:rPr>
        <w:rFonts w:ascii="Symbol" w:hAnsi="Symbol" w:hint="default"/>
      </w:rPr>
    </w:lvl>
    <w:lvl w:ilvl="4" w:tentative="1">
      <w:start w:val="1"/>
      <w:numFmt w:val="bullet"/>
      <w:lvlText w:val="o"/>
      <w:lvlJc w:val="left"/>
      <w:pPr>
        <w:ind w:left="6684" w:hanging="360"/>
      </w:pPr>
      <w:rPr>
        <w:rFonts w:ascii="Courier New" w:hAnsi="Courier New" w:cs="Courier New" w:hint="default"/>
      </w:rPr>
    </w:lvl>
    <w:lvl w:ilvl="5" w:tentative="1">
      <w:start w:val="1"/>
      <w:numFmt w:val="bullet"/>
      <w:lvlText w:val=""/>
      <w:lvlJc w:val="left"/>
      <w:pPr>
        <w:ind w:left="7404" w:hanging="360"/>
      </w:pPr>
      <w:rPr>
        <w:rFonts w:ascii="Wingdings" w:hAnsi="Wingdings" w:hint="default"/>
      </w:rPr>
    </w:lvl>
    <w:lvl w:ilvl="6" w:tentative="1">
      <w:start w:val="1"/>
      <w:numFmt w:val="bullet"/>
      <w:lvlText w:val=""/>
      <w:lvlJc w:val="left"/>
      <w:pPr>
        <w:ind w:left="8124" w:hanging="360"/>
      </w:pPr>
      <w:rPr>
        <w:rFonts w:ascii="Symbol" w:hAnsi="Symbol" w:hint="default"/>
      </w:rPr>
    </w:lvl>
    <w:lvl w:ilvl="7" w:tentative="1">
      <w:start w:val="1"/>
      <w:numFmt w:val="bullet"/>
      <w:lvlText w:val="o"/>
      <w:lvlJc w:val="left"/>
      <w:pPr>
        <w:ind w:left="8844" w:hanging="360"/>
      </w:pPr>
      <w:rPr>
        <w:rFonts w:ascii="Courier New" w:hAnsi="Courier New" w:cs="Courier New" w:hint="default"/>
      </w:rPr>
    </w:lvl>
    <w:lvl w:ilvl="8" w:tentative="1">
      <w:start w:val="1"/>
      <w:numFmt w:val="bullet"/>
      <w:lvlText w:val=""/>
      <w:lvlJc w:val="left"/>
      <w:pPr>
        <w:ind w:left="9564" w:hanging="360"/>
      </w:pPr>
      <w:rPr>
        <w:rFonts w:ascii="Wingdings" w:hAnsi="Wingdings" w:hint="default"/>
      </w:rPr>
    </w:lvl>
  </w:abstractNum>
  <w:abstractNum w:abstractNumId="14">
    <w:nsid w:val="519504DA"/>
    <w:multiLevelType w:val="hybridMultilevel"/>
    <w:tmpl w:val="D4066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906B5E"/>
    <w:multiLevelType w:val="hybridMultilevel"/>
    <w:tmpl w:val="6114BA5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821744"/>
    <w:multiLevelType w:val="hybridMultilevel"/>
    <w:tmpl w:val="83E2067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E8503F"/>
    <w:multiLevelType w:val="hybridMultilevel"/>
    <w:tmpl w:val="9F5AE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CF62D7"/>
    <w:multiLevelType w:val="hybridMultilevel"/>
    <w:tmpl w:val="2554698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182925"/>
    <w:multiLevelType w:val="singleLevel"/>
    <w:tmpl w:val="E89EA4A4"/>
    <w:lvl w:ilvl="0">
      <w:start w:val="1"/>
      <w:numFmt w:val="decimal"/>
      <w:lvlText w:val="%1."/>
      <w:lvlJc w:val="left"/>
      <w:pPr>
        <w:tabs>
          <w:tab w:val="num" w:pos="1080"/>
        </w:tabs>
        <w:ind w:left="0" w:firstLine="720"/>
      </w:pPr>
      <w:rPr>
        <w:b w:val="0"/>
      </w:rPr>
    </w:lvl>
  </w:abstractNum>
  <w:abstractNum w:abstractNumId="21">
    <w:nsid w:val="6E6A18E2"/>
    <w:multiLevelType w:val="hybridMultilevel"/>
    <w:tmpl w:val="519411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7A4217E0"/>
    <w:multiLevelType w:val="hybridMultilevel"/>
    <w:tmpl w:val="12F0BDEA"/>
    <w:lvl w:ilvl="0">
      <w:start w:val="1"/>
      <w:numFmt w:val="decimal"/>
      <w:lvlText w:val="%1)"/>
      <w:lvlJc w:val="left"/>
      <w:pPr>
        <w:ind w:left="720" w:hanging="360"/>
      </w:pPr>
    </w:lvl>
    <w:lvl w:ilvl="1">
      <w:start w:val="1"/>
      <w:numFmt w:val="decimal"/>
      <w:lvlText w:val="%2)"/>
      <w:lvlJc w:val="left"/>
      <w:pPr>
        <w:ind w:left="1440" w:hanging="360"/>
      </w:pPr>
    </w:lvl>
    <w:lvl w:ilvl="2">
      <w:start w:val="5"/>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A444365"/>
    <w:multiLevelType w:val="hybridMultilevel"/>
    <w:tmpl w:val="682CD08A"/>
    <w:lvl w:ilvl="0">
      <w:start w:val="1"/>
      <w:numFmt w:val="bullet"/>
      <w:lvlText w:val=""/>
      <w:lvlJc w:val="left"/>
      <w:pPr>
        <w:ind w:left="-180" w:hanging="360"/>
      </w:pPr>
      <w:rPr>
        <w:rFonts w:ascii="Symbol" w:hAnsi="Symbol" w:hint="default"/>
      </w:rPr>
    </w:lvl>
    <w:lvl w:ilvl="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num w:numId="1">
    <w:abstractNumId w:val="12"/>
  </w:num>
  <w:num w:numId="2">
    <w:abstractNumId w:val="20"/>
  </w:num>
  <w:num w:numId="3">
    <w:abstractNumId w:val="8"/>
  </w:num>
  <w:num w:numId="4">
    <w:abstractNumId w:val="1"/>
  </w:num>
  <w:num w:numId="5">
    <w:abstractNumId w:val="23"/>
  </w:num>
  <w:num w:numId="6">
    <w:abstractNumId w:val="17"/>
  </w:num>
  <w:num w:numId="7">
    <w:abstractNumId w:val="10"/>
  </w:num>
  <w:num w:numId="8">
    <w:abstractNumId w:val="9"/>
  </w:num>
  <w:num w:numId="9">
    <w:abstractNumId w:val="15"/>
  </w:num>
  <w:num w:numId="10">
    <w:abstractNumId w:val="22"/>
  </w:num>
  <w:num w:numId="11">
    <w:abstractNumId w:val="0"/>
  </w:num>
  <w:num w:numId="12">
    <w:abstractNumId w:val="11"/>
  </w:num>
  <w:num w:numId="13">
    <w:abstractNumId w:val="20"/>
    <w:lvlOverride w:ilvl="0">
      <w:startOverride w:val="1"/>
    </w:lvlOverride>
  </w:num>
  <w:num w:numId="14">
    <w:abstractNumId w:val="20"/>
    <w:lvlOverride w:ilvl="0">
      <w:startOverride w:val="1"/>
    </w:lvlOverride>
  </w:num>
  <w:num w:numId="15">
    <w:abstractNumId w:val="13"/>
  </w:num>
  <w:num w:numId="16">
    <w:abstractNumId w:val="3"/>
  </w:num>
  <w:num w:numId="17">
    <w:abstractNumId w:val="20"/>
    <w:lvlOverride w:ilvl="0">
      <w:startOverride w:val="1"/>
    </w:lvlOverride>
  </w:num>
  <w:num w:numId="18">
    <w:abstractNumId w:val="24"/>
  </w:num>
  <w:num w:numId="19">
    <w:abstractNumId w:val="4"/>
  </w:num>
  <w:num w:numId="20">
    <w:abstractNumId w:val="14"/>
  </w:num>
  <w:num w:numId="21">
    <w:abstractNumId w:val="21"/>
  </w:num>
  <w:num w:numId="22">
    <w:abstractNumId w:val="17"/>
    <w:lvlOverride w:ilvl="0">
      <w:startOverride w:val="1"/>
    </w:lvlOverride>
  </w:num>
  <w:num w:numId="23">
    <w:abstractNumId w:val="6"/>
  </w:num>
  <w:num w:numId="24">
    <w:abstractNumId w:val="7"/>
  </w:num>
  <w:num w:numId="25">
    <w:abstractNumId w:val="17"/>
  </w:num>
  <w:num w:numId="26">
    <w:abstractNumId w:val="16"/>
  </w:num>
  <w:num w:numId="27">
    <w:abstractNumId w:val="19"/>
  </w:num>
  <w:num w:numId="28">
    <w:abstractNumId w:val="18"/>
  </w:num>
  <w:num w:numId="29">
    <w:abstractNumId w:val="5"/>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ALTS FOOTNOTE,Footnote Text Char Char,Footnote Text Char Char Char Char,Footnote Text Char1,Footnote Text Char1 Char Char,Footnote Text Char1 Char1,Footnote Text Char2,Footnote Text Char2 Char Char Char1,Footnote Text Char3 Char Char1,f,fn"/>
    <w:basedOn w:val="Normal"/>
    <w:link w:val="FootnoteTextChar"/>
    <w:uiPriority w:val="99"/>
    <w:qFormat/>
    <w:rsid w:val="00F6122A"/>
    <w:pPr>
      <w:tabs>
        <w:tab w:val="left" w:pos="180"/>
        <w:tab w:val="left" w:pos="720"/>
        <w:tab w:val="left" w:pos="1440"/>
        <w:tab w:val="left" w:pos="2160"/>
      </w:tabs>
      <w:spacing w:after="120"/>
      <w:jc w:val="both"/>
    </w:pPr>
  </w:style>
  <w:style w:type="character" w:styleId="FootnoteReference">
    <w:name w:val="footnote reference"/>
    <w:aliases w:val="(NECG) Footnote Reference,Appel note de bas de p,FR,Footnote Reference/,Footnote Reference1,Style 12,Style 124,Style 13,Style 17,Style 3,Style 34,Style 4,Style 6,Style 7,Style 9,fr,o"/>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AF0281"/>
    <w:pPr>
      <w:widowControl w:val="0"/>
      <w:ind w:firstLine="720"/>
    </w:pPr>
    <w:rPr>
      <w:snapToGrid w:val="0"/>
      <w:color w:val="000000"/>
      <w:kern w:val="28"/>
      <w:sz w:val="22"/>
      <w:szCs w:val="22"/>
    </w:rPr>
  </w:style>
  <w:style w:type="character" w:customStyle="1" w:styleId="FootnoteTextChar">
    <w:name w:val="Footnote Text Char"/>
    <w:aliases w:val="ALTS FOOTNOTE Char,Footnote Text Char Char Char,Footnote Text Char Char Char Char Char,Footnote Text Char1 Char,Footnote Text Char1 Char Char Char,Footnote Text Char1 Char1 Char,Footnote Text Char3 Char Char1 Char,f Char,fn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iPriority w:val="99"/>
    <w:unhideWhenUsed/>
    <w:rsid w:val="006D310E"/>
  </w:style>
  <w:style w:type="character" w:customStyle="1" w:styleId="CommentTextChar">
    <w:name w:val="Comment Text Char"/>
    <w:basedOn w:val="DefaultParagraphFont"/>
    <w:link w:val="CommentText"/>
    <w:uiPriority w:val="99"/>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