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AC05DD" w:rsidRPr="00647124" w:rsidP="00970DB5">
      <w:pPr>
        <w:jc w:val="center"/>
        <w:rPr>
          <w:b/>
          <w:szCs w:val="22"/>
        </w:rPr>
      </w:pPr>
      <w:r w:rsidRPr="00647124">
        <w:rPr>
          <w:b/>
          <w:szCs w:val="22"/>
        </w:rPr>
        <w:t>Before the</w:t>
      </w:r>
    </w:p>
    <w:p w:rsidR="00AC05DD" w:rsidRPr="00647124" w:rsidP="00970DB5">
      <w:pPr>
        <w:jc w:val="center"/>
        <w:rPr>
          <w:b/>
          <w:szCs w:val="22"/>
        </w:rPr>
      </w:pPr>
      <w:r w:rsidRPr="00647124">
        <w:rPr>
          <w:b/>
          <w:szCs w:val="22"/>
        </w:rPr>
        <w:t>Federal Communications Commission</w:t>
      </w:r>
    </w:p>
    <w:p w:rsidR="00AC05DD" w:rsidRPr="00647124" w:rsidP="00970DB5">
      <w:pPr>
        <w:jc w:val="center"/>
        <w:rPr>
          <w:b/>
          <w:szCs w:val="22"/>
        </w:rPr>
      </w:pPr>
      <w:r w:rsidRPr="00647124">
        <w:rPr>
          <w:b/>
          <w:szCs w:val="22"/>
        </w:rPr>
        <w:t>Washington, D.C. 20554</w:t>
      </w:r>
    </w:p>
    <w:p w:rsidR="00AC05DD" w:rsidRPr="00647124" w:rsidP="00647124">
      <w:pPr>
        <w:rPr>
          <w:szCs w:val="22"/>
        </w:rPr>
      </w:pPr>
    </w:p>
    <w:p w:rsidR="00AC05DD" w:rsidRPr="00647124" w:rsidP="00647124">
      <w:pPr>
        <w:rPr>
          <w:szCs w:val="22"/>
        </w:rPr>
      </w:pPr>
    </w:p>
    <w:tbl>
      <w:tblPr>
        <w:tblW w:w="0" w:type="auto"/>
        <w:tblLayout w:type="fixed"/>
        <w:tblLook w:val="0000"/>
      </w:tblPr>
      <w:tblGrid>
        <w:gridCol w:w="4698"/>
        <w:gridCol w:w="720"/>
        <w:gridCol w:w="4230"/>
      </w:tblGrid>
      <w:tr>
        <w:tblPrEx>
          <w:tblW w:w="0" w:type="auto"/>
          <w:tblLayout w:type="fixed"/>
          <w:tblLook w:val="0000"/>
        </w:tblPrEx>
        <w:tc>
          <w:tcPr>
            <w:tcW w:w="4698" w:type="dxa"/>
          </w:tcPr>
          <w:p w:rsidR="00AC05DD" w:rsidRPr="00647124" w:rsidP="00647124">
            <w:pPr>
              <w:ind w:right="-18"/>
              <w:rPr>
                <w:szCs w:val="22"/>
              </w:rPr>
            </w:pPr>
            <w:r w:rsidRPr="00647124">
              <w:rPr>
                <w:szCs w:val="22"/>
              </w:rPr>
              <w:t>In the matter of</w:t>
            </w:r>
          </w:p>
          <w:p w:rsidR="00AC05DD" w:rsidRPr="00647124" w:rsidP="00647124">
            <w:pPr>
              <w:ind w:right="-18"/>
              <w:rPr>
                <w:szCs w:val="22"/>
              </w:rPr>
            </w:pPr>
          </w:p>
          <w:p w:rsidR="00AC05DD" w:rsidRPr="00647124" w:rsidP="00647124">
            <w:pPr>
              <w:ind w:right="-18"/>
              <w:rPr>
                <w:szCs w:val="22"/>
              </w:rPr>
            </w:pPr>
            <w:r w:rsidRPr="00647124">
              <w:rPr>
                <w:szCs w:val="22"/>
              </w:rPr>
              <w:t>COMMNET SUPPLY, LLC, CROSSROADS L</w:t>
            </w:r>
            <w:r w:rsidRPr="00647124" w:rsidR="006D4964">
              <w:rPr>
                <w:szCs w:val="22"/>
              </w:rPr>
              <w:t>ICENSE HOLDING SUB A, and their</w:t>
            </w:r>
            <w:r w:rsidRPr="00647124">
              <w:rPr>
                <w:szCs w:val="22"/>
              </w:rPr>
              <w:t xml:space="preserve"> successors in interest</w:t>
            </w:r>
          </w:p>
          <w:p w:rsidR="00AC05DD" w:rsidRPr="00647124" w:rsidP="00647124">
            <w:pPr>
              <w:ind w:right="-18"/>
              <w:rPr>
                <w:szCs w:val="22"/>
              </w:rPr>
            </w:pPr>
          </w:p>
          <w:p w:rsidR="00AC05DD" w:rsidRPr="00647124" w:rsidP="00647124">
            <w:pPr>
              <w:ind w:right="-18"/>
              <w:rPr>
                <w:szCs w:val="22"/>
              </w:rPr>
            </w:pPr>
            <w:r w:rsidRPr="00647124">
              <w:rPr>
                <w:szCs w:val="22"/>
              </w:rPr>
              <w:t>Request for Waiver and Extension of PCS Construction Requirements</w:t>
            </w:r>
          </w:p>
          <w:p w:rsidR="00AC05DD" w:rsidRPr="00647124" w:rsidP="00647124">
            <w:pPr>
              <w:ind w:right="-18"/>
              <w:rPr>
                <w:szCs w:val="22"/>
              </w:rPr>
            </w:pPr>
          </w:p>
          <w:p w:rsidR="00AC05DD" w:rsidRPr="00647124" w:rsidP="00647124">
            <w:pPr>
              <w:ind w:right="-18"/>
              <w:rPr>
                <w:szCs w:val="22"/>
              </w:rPr>
            </w:pPr>
            <w:r w:rsidRPr="00647124">
              <w:rPr>
                <w:szCs w:val="22"/>
              </w:rPr>
              <w:t>Request for Renewal of PCS License</w:t>
            </w:r>
          </w:p>
          <w:p w:rsidR="00AC05DD" w:rsidRPr="00647124" w:rsidP="00647124">
            <w:pPr>
              <w:ind w:right="-18"/>
              <w:rPr>
                <w:szCs w:val="22"/>
              </w:rPr>
            </w:pPr>
          </w:p>
        </w:tc>
        <w:tc>
          <w:tcPr>
            <w:tcW w:w="720" w:type="dxa"/>
          </w:tcPr>
          <w:p w:rsidR="00AC05DD" w:rsidRPr="00647124" w:rsidP="00647124">
            <w:pPr>
              <w:rPr>
                <w:b/>
                <w:szCs w:val="22"/>
              </w:rPr>
            </w:pPr>
            <w:r w:rsidRPr="00647124">
              <w:rPr>
                <w:b/>
                <w:szCs w:val="22"/>
              </w:rPr>
              <w:t>)</w:t>
            </w:r>
          </w:p>
          <w:p w:rsidR="00AC05DD" w:rsidRPr="00647124" w:rsidP="00647124">
            <w:pPr>
              <w:rPr>
                <w:b/>
                <w:szCs w:val="22"/>
              </w:rPr>
            </w:pPr>
            <w:r w:rsidRPr="00647124">
              <w:rPr>
                <w:b/>
                <w:szCs w:val="22"/>
              </w:rPr>
              <w:t>)</w:t>
            </w:r>
          </w:p>
          <w:p w:rsidR="00AC05DD" w:rsidRPr="00647124" w:rsidP="00647124">
            <w:pPr>
              <w:rPr>
                <w:b/>
                <w:szCs w:val="22"/>
              </w:rPr>
            </w:pPr>
            <w:r w:rsidRPr="00647124">
              <w:rPr>
                <w:b/>
                <w:szCs w:val="22"/>
              </w:rPr>
              <w:t>)</w:t>
            </w:r>
          </w:p>
          <w:p w:rsidR="00AC05DD" w:rsidRPr="00647124" w:rsidP="00647124">
            <w:pPr>
              <w:rPr>
                <w:b/>
                <w:szCs w:val="22"/>
              </w:rPr>
            </w:pPr>
            <w:r w:rsidRPr="00647124">
              <w:rPr>
                <w:b/>
                <w:szCs w:val="22"/>
              </w:rPr>
              <w:t>)</w:t>
            </w:r>
          </w:p>
          <w:p w:rsidR="00AC05DD" w:rsidRPr="00647124" w:rsidP="00647124">
            <w:pPr>
              <w:rPr>
                <w:b/>
                <w:szCs w:val="22"/>
              </w:rPr>
            </w:pPr>
            <w:r w:rsidRPr="00647124">
              <w:rPr>
                <w:b/>
                <w:szCs w:val="22"/>
              </w:rPr>
              <w:t>)</w:t>
            </w:r>
          </w:p>
          <w:p w:rsidR="00AC05DD" w:rsidRPr="00647124" w:rsidP="00647124">
            <w:pPr>
              <w:rPr>
                <w:b/>
                <w:szCs w:val="22"/>
              </w:rPr>
            </w:pPr>
            <w:r w:rsidRPr="00647124">
              <w:rPr>
                <w:b/>
                <w:szCs w:val="22"/>
              </w:rPr>
              <w:t>)</w:t>
            </w:r>
          </w:p>
          <w:p w:rsidR="00AC05DD" w:rsidRPr="00647124" w:rsidP="00647124">
            <w:pPr>
              <w:rPr>
                <w:b/>
                <w:szCs w:val="22"/>
              </w:rPr>
            </w:pPr>
            <w:r w:rsidRPr="00647124">
              <w:rPr>
                <w:b/>
                <w:szCs w:val="22"/>
              </w:rPr>
              <w:t>)</w:t>
            </w:r>
          </w:p>
          <w:p w:rsidR="00AC05DD" w:rsidRPr="00647124" w:rsidP="00647124">
            <w:pPr>
              <w:rPr>
                <w:b/>
                <w:szCs w:val="22"/>
              </w:rPr>
            </w:pPr>
            <w:r w:rsidRPr="00647124">
              <w:rPr>
                <w:b/>
                <w:szCs w:val="22"/>
              </w:rPr>
              <w:t>)</w:t>
            </w:r>
          </w:p>
          <w:p w:rsidR="00AC05DD" w:rsidRPr="00647124" w:rsidP="00647124">
            <w:pPr>
              <w:rPr>
                <w:b/>
                <w:szCs w:val="22"/>
              </w:rPr>
            </w:pPr>
            <w:r w:rsidRPr="00647124">
              <w:rPr>
                <w:b/>
                <w:szCs w:val="22"/>
              </w:rPr>
              <w:t>)</w:t>
            </w:r>
          </w:p>
          <w:p w:rsidR="00AC05DD" w:rsidRPr="00647124" w:rsidP="00647124">
            <w:pPr>
              <w:rPr>
                <w:b/>
                <w:szCs w:val="22"/>
              </w:rPr>
            </w:pPr>
            <w:r w:rsidRPr="00647124">
              <w:rPr>
                <w:b/>
                <w:szCs w:val="22"/>
              </w:rPr>
              <w:t>)</w:t>
            </w:r>
          </w:p>
        </w:tc>
        <w:tc>
          <w:tcPr>
            <w:tcW w:w="4230" w:type="dxa"/>
          </w:tcPr>
          <w:p w:rsidR="00AC05DD" w:rsidRPr="00647124" w:rsidP="00647124">
            <w:pPr>
              <w:rPr>
                <w:szCs w:val="22"/>
              </w:rPr>
            </w:pPr>
          </w:p>
          <w:p w:rsidR="00AC05DD" w:rsidRPr="00647124" w:rsidP="00647124">
            <w:pPr>
              <w:rPr>
                <w:szCs w:val="22"/>
              </w:rPr>
            </w:pPr>
          </w:p>
          <w:p w:rsidR="00AC05DD" w:rsidRPr="00647124" w:rsidP="00647124">
            <w:pPr>
              <w:rPr>
                <w:szCs w:val="22"/>
              </w:rPr>
            </w:pPr>
            <w:r w:rsidRPr="00647124">
              <w:rPr>
                <w:szCs w:val="22"/>
              </w:rPr>
              <w:t>Call Sign WQGH652</w:t>
            </w:r>
          </w:p>
          <w:p w:rsidR="00AC05DD" w:rsidRPr="00647124" w:rsidP="00647124">
            <w:pPr>
              <w:rPr>
                <w:szCs w:val="22"/>
              </w:rPr>
            </w:pPr>
            <w:r w:rsidRPr="00647124">
              <w:rPr>
                <w:szCs w:val="22"/>
              </w:rPr>
              <w:t>ULS File Nos. 0003818184</w:t>
            </w:r>
          </w:p>
          <w:p w:rsidR="00AC05DD" w:rsidRPr="00647124" w:rsidP="00647124">
            <w:pPr>
              <w:rPr>
                <w:szCs w:val="22"/>
              </w:rPr>
            </w:pPr>
            <w:r w:rsidRPr="00647124">
              <w:rPr>
                <w:szCs w:val="22"/>
              </w:rPr>
              <w:t xml:space="preserve">                </w:t>
            </w:r>
            <w:r w:rsidRPr="00647124" w:rsidR="005467F2">
              <w:rPr>
                <w:szCs w:val="22"/>
              </w:rPr>
              <w:t xml:space="preserve">        </w:t>
            </w:r>
            <w:r w:rsidRPr="00647124">
              <w:rPr>
                <w:szCs w:val="22"/>
              </w:rPr>
              <w:t>0003805569</w:t>
            </w:r>
          </w:p>
        </w:tc>
      </w:tr>
    </w:tbl>
    <w:p w:rsidR="00AC05DD" w:rsidRPr="00647124" w:rsidP="00647124">
      <w:pPr>
        <w:rPr>
          <w:szCs w:val="22"/>
        </w:rPr>
      </w:pPr>
    </w:p>
    <w:p w:rsidR="00AC05DD" w:rsidRPr="00647124" w:rsidP="000C1B9F">
      <w:pPr>
        <w:spacing w:before="120"/>
        <w:jc w:val="center"/>
        <w:rPr>
          <w:b/>
          <w:szCs w:val="22"/>
        </w:rPr>
      </w:pPr>
      <w:r w:rsidRPr="00647124">
        <w:rPr>
          <w:b/>
          <w:spacing w:val="-2"/>
          <w:szCs w:val="22"/>
        </w:rPr>
        <w:t>ORDER</w:t>
      </w:r>
    </w:p>
    <w:p w:rsidR="00AC05DD" w:rsidRPr="00647124" w:rsidP="00647124">
      <w:pPr>
        <w:rPr>
          <w:szCs w:val="22"/>
        </w:rPr>
      </w:pPr>
    </w:p>
    <w:p w:rsidR="00AC05DD" w:rsidRPr="00647124" w:rsidP="00647124">
      <w:pPr>
        <w:tabs>
          <w:tab w:val="left" w:pos="5760"/>
        </w:tabs>
        <w:rPr>
          <w:b/>
          <w:szCs w:val="22"/>
        </w:rPr>
      </w:pPr>
      <w:r w:rsidRPr="00647124">
        <w:rPr>
          <w:b/>
          <w:szCs w:val="22"/>
        </w:rPr>
        <w:t xml:space="preserve">   Adopted:  </w:t>
      </w:r>
      <w:r w:rsidR="00B12E0B">
        <w:rPr>
          <w:b/>
          <w:szCs w:val="22"/>
        </w:rPr>
        <w:t>August 7, 2018</w:t>
      </w:r>
      <w:r w:rsidRPr="00647124">
        <w:rPr>
          <w:b/>
          <w:szCs w:val="22"/>
        </w:rPr>
        <w:tab/>
        <w:t xml:space="preserve">Released:  </w:t>
      </w:r>
      <w:r w:rsidR="00B12E0B">
        <w:rPr>
          <w:b/>
          <w:szCs w:val="22"/>
        </w:rPr>
        <w:t>August 7, 2018</w:t>
      </w:r>
      <w:bookmarkStart w:id="0" w:name="_GoBack"/>
      <w:bookmarkEnd w:id="0"/>
    </w:p>
    <w:p w:rsidR="00AC05DD" w:rsidRPr="00647124" w:rsidP="00647124">
      <w:pPr>
        <w:tabs>
          <w:tab w:val="left" w:pos="5760"/>
        </w:tabs>
        <w:rPr>
          <w:b/>
          <w:szCs w:val="22"/>
        </w:rPr>
      </w:pPr>
    </w:p>
    <w:p w:rsidR="00AC05DD" w:rsidRPr="00647124" w:rsidP="00647124">
      <w:pPr>
        <w:tabs>
          <w:tab w:val="left" w:pos="5760"/>
        </w:tabs>
        <w:rPr>
          <w:szCs w:val="22"/>
        </w:rPr>
      </w:pPr>
      <w:r w:rsidRPr="00647124">
        <w:rPr>
          <w:szCs w:val="22"/>
        </w:rPr>
        <w:t>By the</w:t>
      </w:r>
      <w:r w:rsidRPr="00647124">
        <w:rPr>
          <w:spacing w:val="-2"/>
          <w:szCs w:val="22"/>
        </w:rPr>
        <w:t xml:space="preserve"> Chief, Mobility Division, Wireless Telecommunications Bureau:</w:t>
      </w:r>
    </w:p>
    <w:p w:rsidR="00AC05DD" w:rsidRPr="00647124" w:rsidP="00647124">
      <w:pPr>
        <w:tabs>
          <w:tab w:val="left" w:pos="5760"/>
        </w:tabs>
        <w:rPr>
          <w:b/>
          <w:szCs w:val="22"/>
        </w:rPr>
      </w:pPr>
    </w:p>
    <w:p w:rsidR="00AC05DD" w:rsidRPr="00647124" w:rsidP="00647124">
      <w:pPr>
        <w:pStyle w:val="Heading1"/>
        <w:jc w:val="left"/>
        <w:rPr>
          <w:szCs w:val="22"/>
        </w:rPr>
      </w:pPr>
      <w:r w:rsidRPr="00647124">
        <w:rPr>
          <w:szCs w:val="22"/>
        </w:rPr>
        <w:t>introduction</w:t>
      </w:r>
    </w:p>
    <w:p w:rsidR="00AC05DD" w:rsidRPr="00DA554A" w:rsidP="00647124">
      <w:pPr>
        <w:pStyle w:val="ParaNum"/>
        <w:jc w:val="left"/>
        <w:rPr>
          <w:szCs w:val="22"/>
        </w:rPr>
      </w:pPr>
      <w:r w:rsidRPr="00DA554A">
        <w:rPr>
          <w:szCs w:val="22"/>
        </w:rPr>
        <w:t>Crossroads Wireless Liquidating Trust (Crossroads Trustee) and NTCH, Inc. (NTCH) (together, Petitioners)</w:t>
      </w:r>
      <w:r>
        <w:rPr>
          <w:rStyle w:val="FootnoteReference"/>
          <w:szCs w:val="22"/>
        </w:rPr>
        <w:footnoteReference w:id="3"/>
      </w:r>
      <w:r w:rsidR="0067727A">
        <w:rPr>
          <w:szCs w:val="22"/>
        </w:rPr>
        <w:t xml:space="preserve"> filed </w:t>
      </w:r>
      <w:r w:rsidRPr="00DA554A" w:rsidR="00B873F8">
        <w:rPr>
          <w:szCs w:val="22"/>
        </w:rPr>
        <w:t>a Petition for Reconsideration</w:t>
      </w:r>
      <w:r w:rsidRPr="00DA554A" w:rsidR="000112C5">
        <w:rPr>
          <w:szCs w:val="22"/>
        </w:rPr>
        <w:t xml:space="preserve"> (Petition)</w:t>
      </w:r>
      <w:r w:rsidR="0067727A">
        <w:rPr>
          <w:szCs w:val="22"/>
        </w:rPr>
        <w:t xml:space="preserve"> </w:t>
      </w:r>
      <w:r w:rsidRPr="00DA554A" w:rsidR="00B873F8">
        <w:rPr>
          <w:szCs w:val="22"/>
        </w:rPr>
        <w:t xml:space="preserve">of </w:t>
      </w:r>
      <w:r w:rsidRPr="00DA554A" w:rsidR="00C64047">
        <w:rPr>
          <w:szCs w:val="22"/>
        </w:rPr>
        <w:t>a</w:t>
      </w:r>
      <w:r w:rsidRPr="00DA554A" w:rsidR="00AD4925">
        <w:rPr>
          <w:szCs w:val="22"/>
        </w:rPr>
        <w:t xml:space="preserve"> Mobility Division (Divisio</w:t>
      </w:r>
      <w:r w:rsidR="005368E6">
        <w:rPr>
          <w:szCs w:val="22"/>
        </w:rPr>
        <w:t>n</w:t>
      </w:r>
      <w:r w:rsidRPr="00DA554A" w:rsidR="00AD4925">
        <w:rPr>
          <w:szCs w:val="22"/>
        </w:rPr>
        <w:t xml:space="preserve">) </w:t>
      </w:r>
      <w:r w:rsidRPr="00DA554A" w:rsidR="00C64047">
        <w:rPr>
          <w:szCs w:val="22"/>
        </w:rPr>
        <w:t>order</w:t>
      </w:r>
      <w:r w:rsidR="0067727A">
        <w:rPr>
          <w:szCs w:val="22"/>
        </w:rPr>
        <w:t>.</w:t>
      </w:r>
      <w:r>
        <w:rPr>
          <w:rStyle w:val="FootnoteReference"/>
          <w:szCs w:val="22"/>
        </w:rPr>
        <w:footnoteReference w:id="4"/>
      </w:r>
      <w:r w:rsidR="0067727A">
        <w:rPr>
          <w:szCs w:val="22"/>
        </w:rPr>
        <w:t xml:space="preserve">  In the Denial Order, the Division </w:t>
      </w:r>
      <w:r w:rsidRPr="00DA554A" w:rsidR="00C64047">
        <w:rPr>
          <w:szCs w:val="22"/>
        </w:rPr>
        <w:t xml:space="preserve">denied </w:t>
      </w:r>
      <w:r w:rsidR="0067727A">
        <w:rPr>
          <w:szCs w:val="22"/>
        </w:rPr>
        <w:t xml:space="preserve">a </w:t>
      </w:r>
      <w:r w:rsidRPr="00DA554A">
        <w:rPr>
          <w:szCs w:val="22"/>
        </w:rPr>
        <w:t>request for waiver and extension of time for construction</w:t>
      </w:r>
      <w:r w:rsidRPr="00DA554A" w:rsidR="00DD346D">
        <w:rPr>
          <w:szCs w:val="22"/>
        </w:rPr>
        <w:t xml:space="preserve"> </w:t>
      </w:r>
      <w:r w:rsidR="00031BFB">
        <w:rPr>
          <w:szCs w:val="22"/>
        </w:rPr>
        <w:t xml:space="preserve">of </w:t>
      </w:r>
      <w:r w:rsidRPr="00DA554A" w:rsidR="00031BFB">
        <w:rPr>
          <w:szCs w:val="22"/>
        </w:rPr>
        <w:t>the Jefferson City, MO Basic Trading Area (BTA) PCS C-Block License (Call Sign WQGH652) (License</w:t>
      </w:r>
      <w:r w:rsidR="00031BFB">
        <w:rPr>
          <w:szCs w:val="22"/>
        </w:rPr>
        <w:t>)</w:t>
      </w:r>
      <w:r w:rsidRPr="00031BFB" w:rsidR="00031BFB">
        <w:rPr>
          <w:szCs w:val="22"/>
        </w:rPr>
        <w:t xml:space="preserve"> </w:t>
      </w:r>
      <w:r w:rsidRPr="00DA554A" w:rsidR="00031BFB">
        <w:rPr>
          <w:szCs w:val="22"/>
        </w:rPr>
        <w:t>and dismissed the</w:t>
      </w:r>
      <w:r w:rsidR="00031BFB">
        <w:rPr>
          <w:szCs w:val="22"/>
        </w:rPr>
        <w:t xml:space="preserve"> related</w:t>
      </w:r>
      <w:r w:rsidRPr="00DA554A" w:rsidR="00031BFB">
        <w:rPr>
          <w:szCs w:val="22"/>
        </w:rPr>
        <w:t xml:space="preserve"> Renewal Request.</w:t>
      </w:r>
      <w:r>
        <w:rPr>
          <w:rStyle w:val="FootnoteReference"/>
          <w:szCs w:val="22"/>
        </w:rPr>
        <w:footnoteReference w:id="5"/>
      </w:r>
      <w:r w:rsidRPr="00DA554A" w:rsidR="00031BFB">
        <w:rPr>
          <w:szCs w:val="22"/>
        </w:rPr>
        <w:t xml:space="preserve">  </w:t>
      </w:r>
      <w:r w:rsidR="00031BFB">
        <w:rPr>
          <w:szCs w:val="22"/>
        </w:rPr>
        <w:t xml:space="preserve">Those requests were </w:t>
      </w:r>
      <w:r w:rsidRPr="00031BFB" w:rsidR="00DD346D">
        <w:rPr>
          <w:szCs w:val="22"/>
        </w:rPr>
        <w:t xml:space="preserve">filed by </w:t>
      </w:r>
      <w:r w:rsidRPr="00031BFB" w:rsidR="00DD346D">
        <w:rPr>
          <w:szCs w:val="22"/>
        </w:rPr>
        <w:t>Commnet</w:t>
      </w:r>
      <w:r w:rsidRPr="00031BFB" w:rsidR="00DD346D">
        <w:rPr>
          <w:szCs w:val="22"/>
        </w:rPr>
        <w:t xml:space="preserve"> Supply, LLC (</w:t>
      </w:r>
      <w:r w:rsidRPr="00031BFB">
        <w:rPr>
          <w:szCs w:val="22"/>
        </w:rPr>
        <w:t>Commnet</w:t>
      </w:r>
      <w:r w:rsidRPr="00031BFB">
        <w:rPr>
          <w:szCs w:val="22"/>
        </w:rPr>
        <w:t>) and its wholly owned subsidiary, Crossroads License Holding Sub A Inc. (Crossroads Sub)</w:t>
      </w:r>
      <w:r w:rsidR="00031BFB">
        <w:rPr>
          <w:szCs w:val="22"/>
        </w:rPr>
        <w:t>.</w:t>
      </w:r>
      <w:r>
        <w:rPr>
          <w:rStyle w:val="FootnoteReference"/>
          <w:szCs w:val="22"/>
        </w:rPr>
        <w:footnoteReference w:id="6"/>
      </w:r>
      <w:r w:rsidRPr="00DA554A" w:rsidR="0061406E">
        <w:rPr>
          <w:szCs w:val="22"/>
        </w:rPr>
        <w:t xml:space="preserve"> </w:t>
      </w:r>
      <w:r w:rsidR="0013368B">
        <w:rPr>
          <w:szCs w:val="22"/>
        </w:rPr>
        <w:t xml:space="preserve"> </w:t>
      </w:r>
      <w:r w:rsidR="0067727A">
        <w:rPr>
          <w:szCs w:val="22"/>
        </w:rPr>
        <w:t xml:space="preserve">As discussed below, we deny </w:t>
      </w:r>
      <w:r w:rsidRPr="00DA554A" w:rsidR="00DA554A">
        <w:rPr>
          <w:szCs w:val="22"/>
        </w:rPr>
        <w:t>the Petition</w:t>
      </w:r>
      <w:r w:rsidR="0067727A">
        <w:rPr>
          <w:szCs w:val="22"/>
        </w:rPr>
        <w:t xml:space="preserve"> and </w:t>
      </w:r>
      <w:r w:rsidRPr="00DA554A" w:rsidR="001322A1">
        <w:rPr>
          <w:szCs w:val="22"/>
        </w:rPr>
        <w:t xml:space="preserve">affirm that </w:t>
      </w:r>
      <w:r w:rsidRPr="00DA554A">
        <w:rPr>
          <w:szCs w:val="22"/>
        </w:rPr>
        <w:t>the License automatically terminated on June 30, 2009.</w:t>
      </w:r>
    </w:p>
    <w:p w:rsidR="00AC05DD" w:rsidRPr="00647124" w:rsidP="00647124">
      <w:pPr>
        <w:pStyle w:val="Heading1"/>
        <w:jc w:val="left"/>
        <w:rPr>
          <w:szCs w:val="22"/>
        </w:rPr>
      </w:pPr>
      <w:r w:rsidRPr="00647124">
        <w:rPr>
          <w:szCs w:val="22"/>
        </w:rPr>
        <w:t>Background</w:t>
      </w:r>
    </w:p>
    <w:p w:rsidR="00AC05DD" w:rsidRPr="00647124" w:rsidP="00647124">
      <w:pPr>
        <w:pStyle w:val="ParaNum"/>
        <w:jc w:val="left"/>
        <w:rPr>
          <w:szCs w:val="22"/>
        </w:rPr>
      </w:pPr>
      <w:r w:rsidRPr="00647124">
        <w:rPr>
          <w:szCs w:val="22"/>
        </w:rPr>
        <w:t xml:space="preserve">The License was created on October 21, 2006 by a disaggregation of </w:t>
      </w:r>
      <w:r w:rsidR="00DC716F">
        <w:rPr>
          <w:szCs w:val="22"/>
        </w:rPr>
        <w:t xml:space="preserve">10 megahertz of spectrum from </w:t>
      </w:r>
      <w:r w:rsidRPr="00647124">
        <w:rPr>
          <w:szCs w:val="22"/>
        </w:rPr>
        <w:t>call sign WPOJ715</w:t>
      </w:r>
      <w:r w:rsidR="00186824">
        <w:rPr>
          <w:szCs w:val="22"/>
        </w:rPr>
        <w:t xml:space="preserve">, a 30 megahertz PCS license held by </w:t>
      </w:r>
      <w:r w:rsidR="00186824">
        <w:t>Chariton Valley Communications Corp. (Chariton), the original licensee in the market</w:t>
      </w:r>
      <w:r w:rsidR="00DA554A">
        <w:rPr>
          <w:szCs w:val="22"/>
        </w:rPr>
        <w:t>.</w:t>
      </w:r>
      <w:r>
        <w:rPr>
          <w:rStyle w:val="FootnoteReference"/>
          <w:szCs w:val="22"/>
        </w:rPr>
        <w:footnoteReference w:id="7"/>
      </w:r>
      <w:r w:rsidR="00DA554A">
        <w:rPr>
          <w:szCs w:val="22"/>
        </w:rPr>
        <w:t xml:space="preserve">  A</w:t>
      </w:r>
      <w:r w:rsidRPr="00647124">
        <w:rPr>
          <w:szCs w:val="22"/>
        </w:rPr>
        <w:t xml:space="preserve">t the time of the disaggregation, </w:t>
      </w:r>
      <w:r w:rsidR="0013368B">
        <w:rPr>
          <w:szCs w:val="22"/>
        </w:rPr>
        <w:t xml:space="preserve">Chariton </w:t>
      </w:r>
      <w:r w:rsidRPr="00647124">
        <w:rPr>
          <w:szCs w:val="22"/>
        </w:rPr>
        <w:t>was in compliance with its first</w:t>
      </w:r>
      <w:r w:rsidRPr="00647124" w:rsidR="009B035B">
        <w:rPr>
          <w:szCs w:val="22"/>
        </w:rPr>
        <w:t xml:space="preserve"> five-year</w:t>
      </w:r>
      <w:r w:rsidRPr="00647124">
        <w:rPr>
          <w:szCs w:val="22"/>
        </w:rPr>
        <w:t xml:space="preserve"> construction requirement under Section 24.203(a)</w:t>
      </w:r>
      <w:r>
        <w:rPr>
          <w:rStyle w:val="FootnoteReference"/>
          <w:szCs w:val="22"/>
        </w:rPr>
        <w:footnoteReference w:id="8"/>
      </w:r>
      <w:r w:rsidRPr="00647124">
        <w:rPr>
          <w:szCs w:val="22"/>
        </w:rPr>
        <w:t xml:space="preserve"> of the Commission’s rules.</w:t>
      </w:r>
      <w:r>
        <w:rPr>
          <w:rStyle w:val="FootnoteReference"/>
          <w:szCs w:val="22"/>
        </w:rPr>
        <w:footnoteReference w:id="9"/>
      </w:r>
      <w:r w:rsidRPr="00647124">
        <w:rPr>
          <w:szCs w:val="22"/>
        </w:rPr>
        <w:t xml:space="preserve">  On April 27, 2007, the License was acquired by Crossroads Wireless, Inc. (Crossroads Wireless).</w:t>
      </w:r>
      <w:r>
        <w:rPr>
          <w:rStyle w:val="FootnoteReference"/>
          <w:szCs w:val="22"/>
        </w:rPr>
        <w:footnoteReference w:id="10"/>
      </w:r>
      <w:r w:rsidRPr="00647124" w:rsidR="00614F3C">
        <w:rPr>
          <w:szCs w:val="22"/>
        </w:rPr>
        <w:t xml:space="preserve">  Pursuant to S</w:t>
      </w:r>
      <w:r w:rsidRPr="00647124">
        <w:rPr>
          <w:szCs w:val="22"/>
        </w:rPr>
        <w:t>ection 24.203(a) of the Commission’s rules, the License’s second construction deadline was June 30, 2009, by which time the licensee would have had to demonstrate that it was providing “adequate service” to at least two-thirds of the population in its license area.</w:t>
      </w:r>
      <w:r>
        <w:rPr>
          <w:rStyle w:val="FootnoteReference"/>
          <w:szCs w:val="22"/>
        </w:rPr>
        <w:footnoteReference w:id="11"/>
      </w:r>
      <w:r w:rsidRPr="00647124">
        <w:rPr>
          <w:szCs w:val="22"/>
        </w:rPr>
        <w:t xml:space="preserve">  </w:t>
      </w:r>
    </w:p>
    <w:p w:rsidR="00AC05DD" w:rsidRPr="00647124" w:rsidP="00647124">
      <w:pPr>
        <w:pStyle w:val="ParaNum"/>
        <w:jc w:val="left"/>
        <w:rPr>
          <w:szCs w:val="22"/>
        </w:rPr>
      </w:pPr>
      <w:r w:rsidRPr="00647124">
        <w:rPr>
          <w:szCs w:val="22"/>
        </w:rPr>
        <w:t>On August 6, 2008, Crossroads Wireless filed a pro forma notification to advise the Commission that it had assigned the License, along with certain other wireless licenses, to a newly formed, wholly owned subsidiary, Crossroads Sub.</w:t>
      </w:r>
      <w:r>
        <w:rPr>
          <w:rStyle w:val="FootnoteReference"/>
          <w:szCs w:val="22"/>
        </w:rPr>
        <w:footnoteReference w:id="12"/>
      </w:r>
      <w:r w:rsidRPr="00647124">
        <w:rPr>
          <w:szCs w:val="22"/>
        </w:rPr>
        <w:t xml:space="preserve">  At the same time, Crossroads Wireless pledged all of the equity in Crossroads Sub as collateral for debts owed to </w:t>
      </w:r>
      <w:r w:rsidRPr="00647124">
        <w:rPr>
          <w:szCs w:val="22"/>
        </w:rPr>
        <w:t>Commnet</w:t>
      </w:r>
      <w:r w:rsidRPr="00647124">
        <w:rPr>
          <w:szCs w:val="22"/>
        </w:rPr>
        <w:t>.</w:t>
      </w:r>
      <w:r>
        <w:rPr>
          <w:rStyle w:val="FootnoteReference"/>
          <w:szCs w:val="22"/>
        </w:rPr>
        <w:footnoteReference w:id="13"/>
      </w:r>
      <w:r w:rsidRPr="00647124">
        <w:rPr>
          <w:szCs w:val="22"/>
        </w:rPr>
        <w:t xml:space="preserve">  On November 18, 2008, Crossroads Wireless and </w:t>
      </w:r>
      <w:r w:rsidRPr="00647124">
        <w:rPr>
          <w:szCs w:val="22"/>
        </w:rPr>
        <w:t>Commnet</w:t>
      </w:r>
      <w:r w:rsidRPr="00647124">
        <w:rPr>
          <w:szCs w:val="22"/>
        </w:rPr>
        <w:t xml:space="preserve"> filed an application for consent to transfer </w:t>
      </w:r>
      <w:r w:rsidR="005205F5">
        <w:rPr>
          <w:szCs w:val="22"/>
        </w:rPr>
        <w:t>control of</w:t>
      </w:r>
      <w:r w:rsidRPr="00647124">
        <w:rPr>
          <w:szCs w:val="22"/>
        </w:rPr>
        <w:t xml:space="preserve"> Crossroads Sub to </w:t>
      </w:r>
      <w:r w:rsidRPr="00647124">
        <w:rPr>
          <w:szCs w:val="22"/>
        </w:rPr>
        <w:t>Commnet</w:t>
      </w:r>
      <w:r w:rsidRPr="00647124">
        <w:rPr>
          <w:szCs w:val="22"/>
        </w:rPr>
        <w:t xml:space="preserve"> in partial satisfaction of that debt.</w:t>
      </w:r>
      <w:r>
        <w:rPr>
          <w:rStyle w:val="FootnoteReference"/>
          <w:szCs w:val="22"/>
        </w:rPr>
        <w:footnoteReference w:id="14"/>
      </w:r>
      <w:r w:rsidRPr="00647124">
        <w:rPr>
          <w:szCs w:val="22"/>
        </w:rPr>
        <w:t xml:space="preserve">  At the time of the transfer, the License was operational, with a single cell site providing roam-only service to an area covering more than one-third of the BTA population.</w:t>
      </w:r>
      <w:r>
        <w:rPr>
          <w:rStyle w:val="FootnoteReference"/>
          <w:szCs w:val="22"/>
        </w:rPr>
        <w:footnoteReference w:id="15"/>
      </w:r>
      <w:r w:rsidRPr="00647124">
        <w:rPr>
          <w:szCs w:val="22"/>
        </w:rPr>
        <w:t xml:space="preserve">  Subsequently, the site ceased providing service.</w:t>
      </w:r>
      <w:r>
        <w:rPr>
          <w:rStyle w:val="FootnoteReference"/>
          <w:szCs w:val="22"/>
        </w:rPr>
        <w:footnoteReference w:id="16"/>
      </w:r>
    </w:p>
    <w:p w:rsidR="00AC05DD" w:rsidRPr="00647124" w:rsidP="00647124">
      <w:pPr>
        <w:pStyle w:val="ParaNum"/>
        <w:jc w:val="left"/>
        <w:rPr>
          <w:szCs w:val="22"/>
        </w:rPr>
      </w:pPr>
      <w:r w:rsidRPr="00647124">
        <w:rPr>
          <w:szCs w:val="22"/>
        </w:rPr>
        <w:t>In February 2009, several of Crossroad Wireless’ creditors filed an involuntary petition under Chapter 7 of the Bankruptcy Code to force its operating subsidiary into bankruptcy.</w:t>
      </w:r>
      <w:r>
        <w:rPr>
          <w:rStyle w:val="FootnoteReference"/>
          <w:szCs w:val="22"/>
        </w:rPr>
        <w:footnoteReference w:id="17"/>
      </w:r>
      <w:r w:rsidRPr="00647124">
        <w:rPr>
          <w:szCs w:val="22"/>
        </w:rPr>
        <w:t xml:space="preserve">  On February 20, 2009, Crossroads Wireless filed a voluntary bankruptcy petition under Chapter 11 of the Bankruptcy Code</w:t>
      </w:r>
      <w:r w:rsidR="00FA6BB3">
        <w:rPr>
          <w:szCs w:val="22"/>
        </w:rPr>
        <w:t>,</w:t>
      </w:r>
      <w:r w:rsidRPr="00647124">
        <w:rPr>
          <w:szCs w:val="22"/>
        </w:rPr>
        <w:t xml:space="preserve"> and its operating subsidiary converted its Chapter 7 case into one under Chapter 11.  Subsequently, the cases were consolidated under the jurisdiction of the Bankruptcy Court.</w:t>
      </w:r>
      <w:r>
        <w:rPr>
          <w:rStyle w:val="FootnoteReference"/>
          <w:szCs w:val="22"/>
        </w:rPr>
        <w:footnoteReference w:id="18"/>
      </w:r>
      <w:r w:rsidRPr="00647124">
        <w:rPr>
          <w:szCs w:val="22"/>
        </w:rPr>
        <w:t xml:space="preserve">  The Bankruptcy Court later authorized the bankruptcy estate to sell substantially all of the assets of Crossroads Wireless, including its wireless licenses, to satisfy its debts.</w:t>
      </w:r>
      <w:r>
        <w:rPr>
          <w:rStyle w:val="FootnoteReference"/>
          <w:szCs w:val="22"/>
        </w:rPr>
        <w:footnoteReference w:id="19"/>
      </w:r>
    </w:p>
    <w:p w:rsidR="00AC05DD" w:rsidRPr="0057769E" w:rsidP="00647124">
      <w:pPr>
        <w:pStyle w:val="ParaNum"/>
        <w:jc w:val="left"/>
        <w:rPr>
          <w:szCs w:val="22"/>
        </w:rPr>
      </w:pPr>
      <w:r w:rsidRPr="00647124">
        <w:rPr>
          <w:szCs w:val="22"/>
        </w:rPr>
        <w:t xml:space="preserve">According to </w:t>
      </w:r>
      <w:r w:rsidRPr="00647124">
        <w:rPr>
          <w:szCs w:val="22"/>
        </w:rPr>
        <w:t>Commnet</w:t>
      </w:r>
      <w:r w:rsidRPr="00647124">
        <w:rPr>
          <w:szCs w:val="22"/>
        </w:rPr>
        <w:t xml:space="preserve"> and Crossroads Sub, immediately after the bankruptcy petitions were </w:t>
      </w:r>
      <w:r w:rsidRPr="00647124">
        <w:rPr>
          <w:szCs w:val="22"/>
        </w:rPr>
        <w:t xml:space="preserve">filed, the question arose as to whether the transfer of </w:t>
      </w:r>
      <w:r w:rsidR="005205F5">
        <w:rPr>
          <w:szCs w:val="22"/>
        </w:rPr>
        <w:t>control</w:t>
      </w:r>
      <w:r w:rsidRPr="00647124">
        <w:rPr>
          <w:szCs w:val="22"/>
        </w:rPr>
        <w:t xml:space="preserve"> </w:t>
      </w:r>
      <w:r w:rsidR="00A71E2C">
        <w:rPr>
          <w:szCs w:val="22"/>
        </w:rPr>
        <w:t xml:space="preserve">to </w:t>
      </w:r>
      <w:r w:rsidR="00A71E2C">
        <w:rPr>
          <w:szCs w:val="22"/>
        </w:rPr>
        <w:t>Commnet</w:t>
      </w:r>
      <w:r w:rsidR="00A71E2C">
        <w:rPr>
          <w:szCs w:val="22"/>
        </w:rPr>
        <w:t xml:space="preserve"> </w:t>
      </w:r>
      <w:r w:rsidRPr="00647124">
        <w:rPr>
          <w:szCs w:val="22"/>
        </w:rPr>
        <w:t>was “avoidable as a preference” and, as such, whether the transfer should be invalidated</w:t>
      </w:r>
      <w:r w:rsidR="00FA6BB3">
        <w:rPr>
          <w:szCs w:val="22"/>
        </w:rPr>
        <w:t>,</w:t>
      </w:r>
      <w:r w:rsidRPr="00647124">
        <w:rPr>
          <w:szCs w:val="22"/>
        </w:rPr>
        <w:t xml:space="preserve"> and the License included in the bankruptcy estate with the remainder of Crossroads Wireless’ assets.</w:t>
      </w:r>
      <w:r>
        <w:rPr>
          <w:rStyle w:val="FootnoteReference"/>
          <w:szCs w:val="22"/>
        </w:rPr>
        <w:footnoteReference w:id="20"/>
      </w:r>
      <w:r w:rsidRPr="00647124">
        <w:rPr>
          <w:szCs w:val="22"/>
        </w:rPr>
        <w:t xml:space="preserve"> </w:t>
      </w:r>
      <w:r w:rsidR="004F3821">
        <w:rPr>
          <w:szCs w:val="22"/>
        </w:rPr>
        <w:t xml:space="preserve"> </w:t>
      </w:r>
      <w:r w:rsidRPr="00647124">
        <w:rPr>
          <w:szCs w:val="22"/>
        </w:rPr>
        <w:t xml:space="preserve">In response to this threatened “avoidance action,” </w:t>
      </w:r>
      <w:r w:rsidRPr="00647124">
        <w:rPr>
          <w:szCs w:val="22"/>
        </w:rPr>
        <w:t>Commnet</w:t>
      </w:r>
      <w:r w:rsidRPr="00647124">
        <w:rPr>
          <w:szCs w:val="22"/>
        </w:rPr>
        <w:t xml:space="preserve"> and Crossroads Sub filed the Original Waiver Request </w:t>
      </w:r>
      <w:r w:rsidRPr="0057769E">
        <w:rPr>
          <w:szCs w:val="22"/>
        </w:rPr>
        <w:t xml:space="preserve">on April 24, 2009.  In the Request, </w:t>
      </w:r>
      <w:r w:rsidRPr="0057769E">
        <w:rPr>
          <w:szCs w:val="22"/>
        </w:rPr>
        <w:t>Commnet</w:t>
      </w:r>
      <w:r w:rsidRPr="0057769E">
        <w:rPr>
          <w:szCs w:val="22"/>
        </w:rPr>
        <w:t xml:space="preserve"> and Crossroads Sub request</w:t>
      </w:r>
      <w:r w:rsidRPr="0057769E" w:rsidR="0009719D">
        <w:rPr>
          <w:szCs w:val="22"/>
        </w:rPr>
        <w:t>ed</w:t>
      </w:r>
      <w:r w:rsidRPr="0057769E">
        <w:rPr>
          <w:szCs w:val="22"/>
        </w:rPr>
        <w:t xml:space="preserve"> a waiver of Section 24.203</w:t>
      </w:r>
      <w:r>
        <w:rPr>
          <w:rStyle w:val="FootnoteReference"/>
          <w:szCs w:val="22"/>
        </w:rPr>
        <w:footnoteReference w:id="21"/>
      </w:r>
      <w:r w:rsidRPr="0057769E" w:rsidR="00585CBC">
        <w:rPr>
          <w:szCs w:val="22"/>
        </w:rPr>
        <w:t xml:space="preserve"> of the Commission’s r</w:t>
      </w:r>
      <w:r w:rsidRPr="0057769E">
        <w:rPr>
          <w:szCs w:val="22"/>
        </w:rPr>
        <w:t>ules and a</w:t>
      </w:r>
      <w:r w:rsidR="00A71E2C">
        <w:rPr>
          <w:szCs w:val="22"/>
        </w:rPr>
        <w:t>n</w:t>
      </w:r>
      <w:r w:rsidRPr="0057769E">
        <w:rPr>
          <w:szCs w:val="22"/>
        </w:rPr>
        <w:t xml:space="preserve"> extension of time to complete construction </w:t>
      </w:r>
      <w:r w:rsidR="00A71E2C">
        <w:rPr>
          <w:szCs w:val="22"/>
        </w:rPr>
        <w:t>to six months following</w:t>
      </w:r>
      <w:r w:rsidRPr="0057769E">
        <w:rPr>
          <w:szCs w:val="22"/>
        </w:rPr>
        <w:t xml:space="preserve"> resolution of the threatened avoidance action.</w:t>
      </w:r>
      <w:r>
        <w:rPr>
          <w:rStyle w:val="FootnoteReference"/>
          <w:szCs w:val="22"/>
        </w:rPr>
        <w:footnoteReference w:id="22"/>
      </w:r>
      <w:r w:rsidRPr="0057769E">
        <w:rPr>
          <w:szCs w:val="22"/>
        </w:rPr>
        <w:t xml:space="preserve">  According to </w:t>
      </w:r>
      <w:r w:rsidRPr="0057769E">
        <w:rPr>
          <w:szCs w:val="22"/>
        </w:rPr>
        <w:t>Commnet</w:t>
      </w:r>
      <w:r w:rsidRPr="0057769E">
        <w:rPr>
          <w:szCs w:val="22"/>
        </w:rPr>
        <w:t xml:space="preserve"> and Crossroads Sub, the th</w:t>
      </w:r>
      <w:r w:rsidRPr="0057769E" w:rsidR="0009719D">
        <w:rPr>
          <w:szCs w:val="22"/>
        </w:rPr>
        <w:t>reatened avoidance action placed</w:t>
      </w:r>
      <w:r w:rsidRPr="0057769E">
        <w:rPr>
          <w:szCs w:val="22"/>
        </w:rPr>
        <w:t xml:space="preserve"> “a substantial cloud</w:t>
      </w:r>
      <w:r w:rsidR="006B15BB">
        <w:rPr>
          <w:szCs w:val="22"/>
        </w:rPr>
        <w:t>”</w:t>
      </w:r>
      <w:r w:rsidRPr="0057769E">
        <w:rPr>
          <w:szCs w:val="22"/>
        </w:rPr>
        <w:t xml:space="preserve"> over the ownership of the</w:t>
      </w:r>
      <w:r w:rsidR="006B15BB">
        <w:rPr>
          <w:szCs w:val="22"/>
        </w:rPr>
        <w:t xml:space="preserve"> </w:t>
      </w:r>
      <w:r w:rsidRPr="0057769E">
        <w:rPr>
          <w:szCs w:val="22"/>
        </w:rPr>
        <w:t>License</w:t>
      </w:r>
      <w:r w:rsidR="00FA6BB3">
        <w:rPr>
          <w:szCs w:val="22"/>
        </w:rPr>
        <w:t>,</w:t>
      </w:r>
      <w:r w:rsidR="00392259">
        <w:rPr>
          <w:szCs w:val="22"/>
        </w:rPr>
        <w:t xml:space="preserve"> </w:t>
      </w:r>
      <w:r w:rsidRPr="0057769E">
        <w:rPr>
          <w:szCs w:val="22"/>
        </w:rPr>
        <w:t>which would not be resolved until August 2009 at the earliest</w:t>
      </w:r>
      <w:r w:rsidR="009F10BD">
        <w:rPr>
          <w:szCs w:val="22"/>
        </w:rPr>
        <w:t xml:space="preserve">.  Accordingly, </w:t>
      </w:r>
      <w:r w:rsidR="009F10BD">
        <w:rPr>
          <w:szCs w:val="22"/>
        </w:rPr>
        <w:t>Commnet</w:t>
      </w:r>
      <w:r w:rsidR="009F10BD">
        <w:rPr>
          <w:szCs w:val="22"/>
        </w:rPr>
        <w:t xml:space="preserve"> and Crossroads Sub argued that </w:t>
      </w:r>
      <w:r w:rsidRPr="0057769E">
        <w:rPr>
          <w:szCs w:val="22"/>
        </w:rPr>
        <w:t xml:space="preserve">it would be unreasonable to require either </w:t>
      </w:r>
      <w:r w:rsidRPr="0057769E">
        <w:rPr>
          <w:szCs w:val="22"/>
        </w:rPr>
        <w:t>Commnet</w:t>
      </w:r>
      <w:r w:rsidRPr="0057769E">
        <w:rPr>
          <w:szCs w:val="22"/>
        </w:rPr>
        <w:t xml:space="preserve"> or Crossroads Sub to complete construction by the June 30, 2009 deadline.</w:t>
      </w:r>
      <w:r>
        <w:rPr>
          <w:rStyle w:val="FootnoteReference"/>
          <w:szCs w:val="22"/>
        </w:rPr>
        <w:footnoteReference w:id="23"/>
      </w:r>
      <w:r w:rsidRPr="0057769E">
        <w:rPr>
          <w:szCs w:val="22"/>
        </w:rPr>
        <w:t xml:space="preserve">  </w:t>
      </w:r>
    </w:p>
    <w:p w:rsidR="00AC05DD" w:rsidRPr="00647124" w:rsidP="00647124">
      <w:pPr>
        <w:pStyle w:val="ParaNum"/>
        <w:jc w:val="left"/>
        <w:rPr>
          <w:szCs w:val="22"/>
        </w:rPr>
      </w:pPr>
      <w:r w:rsidRPr="0057769E">
        <w:rPr>
          <w:szCs w:val="22"/>
        </w:rPr>
        <w:t xml:space="preserve">In the First Supplement, filed on May 18, 2009, </w:t>
      </w:r>
      <w:r w:rsidRPr="0057769E">
        <w:rPr>
          <w:szCs w:val="22"/>
        </w:rPr>
        <w:t>Commnet</w:t>
      </w:r>
      <w:r w:rsidRPr="0057769E">
        <w:rPr>
          <w:szCs w:val="22"/>
        </w:rPr>
        <w:t xml:space="preserve"> and Crossroads Sub state</w:t>
      </w:r>
      <w:r w:rsidRPr="0057769E" w:rsidR="0007146B">
        <w:rPr>
          <w:szCs w:val="22"/>
        </w:rPr>
        <w:t>d</w:t>
      </w:r>
      <w:r w:rsidRPr="0057769E">
        <w:rPr>
          <w:szCs w:val="22"/>
        </w:rPr>
        <w:t xml:space="preserve"> that th</w:t>
      </w:r>
      <w:r w:rsidRPr="0057769E" w:rsidR="0007146B">
        <w:rPr>
          <w:szCs w:val="22"/>
        </w:rPr>
        <w:t>ey had</w:t>
      </w:r>
      <w:r w:rsidRPr="0057769E">
        <w:rPr>
          <w:szCs w:val="22"/>
        </w:rPr>
        <w:t xml:space="preserve"> “agreed in principle to allow the broker retained by the Creditors’ Committee in the ‘Crossroads’ bankruptcy cases to include Applicant’s [Crossroads Sub] licenses as being offered for sale together with the licenses held by Crossroads DIP,</w:t>
      </w:r>
      <w:r>
        <w:rPr>
          <w:rStyle w:val="FootnoteReference"/>
          <w:szCs w:val="22"/>
        </w:rPr>
        <w:footnoteReference w:id="24"/>
      </w:r>
      <w:r w:rsidRPr="0057769E">
        <w:rPr>
          <w:szCs w:val="22"/>
        </w:rPr>
        <w:t xml:space="preserve"> so as to increase the number of licenses to be offered and therefore increase outside bidding interest.”</w:t>
      </w:r>
      <w:r>
        <w:rPr>
          <w:rStyle w:val="FootnoteReference"/>
          <w:szCs w:val="22"/>
        </w:rPr>
        <w:footnoteReference w:id="25"/>
      </w:r>
      <w:r w:rsidRPr="0057769E">
        <w:rPr>
          <w:szCs w:val="22"/>
        </w:rPr>
        <w:t xml:space="preserve">  They claim</w:t>
      </w:r>
      <w:r w:rsidRPr="0057769E" w:rsidR="0007146B">
        <w:rPr>
          <w:szCs w:val="22"/>
        </w:rPr>
        <w:t>ed</w:t>
      </w:r>
      <w:r w:rsidRPr="0057769E">
        <w:rPr>
          <w:szCs w:val="22"/>
        </w:rPr>
        <w:t xml:space="preserve"> that any such sale would be without prejudice to any</w:t>
      </w:r>
      <w:r w:rsidRPr="00647124">
        <w:rPr>
          <w:szCs w:val="22"/>
        </w:rPr>
        <w:t xml:space="preserve"> avoidance action filed by Crossroads DIP.  They also amended their request to extend the </w:t>
      </w:r>
      <w:r w:rsidR="00FB6F45">
        <w:rPr>
          <w:szCs w:val="22"/>
        </w:rPr>
        <w:t xml:space="preserve">construction </w:t>
      </w:r>
      <w:r w:rsidRPr="00647124">
        <w:rPr>
          <w:szCs w:val="22"/>
        </w:rPr>
        <w:t xml:space="preserve">deadline to January 23, 2010 while reserving the option to request a further extension if the </w:t>
      </w:r>
      <w:r w:rsidR="003418CA">
        <w:rPr>
          <w:szCs w:val="22"/>
        </w:rPr>
        <w:t xml:space="preserve">alleged </w:t>
      </w:r>
      <w:r w:rsidRPr="00647124">
        <w:rPr>
          <w:szCs w:val="22"/>
        </w:rPr>
        <w:t>disputed ownership of the License was not resolved by July 23, 2009.</w:t>
      </w:r>
      <w:r>
        <w:rPr>
          <w:rStyle w:val="FootnoteReference"/>
          <w:szCs w:val="22"/>
        </w:rPr>
        <w:footnoteReference w:id="26"/>
      </w:r>
    </w:p>
    <w:p w:rsidR="00AC05DD" w:rsidRPr="00647124" w:rsidP="00647124">
      <w:pPr>
        <w:pStyle w:val="ParaNum"/>
        <w:jc w:val="left"/>
        <w:rPr>
          <w:szCs w:val="22"/>
        </w:rPr>
      </w:pPr>
      <w:r w:rsidRPr="00647124">
        <w:rPr>
          <w:szCs w:val="22"/>
        </w:rPr>
        <w:t xml:space="preserve">On July 8, 2009, </w:t>
      </w:r>
      <w:r w:rsidRPr="00647124">
        <w:rPr>
          <w:szCs w:val="22"/>
        </w:rPr>
        <w:t>Commnet</w:t>
      </w:r>
      <w:r w:rsidRPr="00647124">
        <w:rPr>
          <w:szCs w:val="22"/>
        </w:rPr>
        <w:t xml:space="preserve"> and Crossroads Sub filed the Second Supplement, which they assert</w:t>
      </w:r>
      <w:r w:rsidRPr="00647124" w:rsidR="0007146B">
        <w:rPr>
          <w:szCs w:val="22"/>
        </w:rPr>
        <w:t>ed was</w:t>
      </w:r>
      <w:r w:rsidRPr="00647124">
        <w:rPr>
          <w:szCs w:val="22"/>
        </w:rPr>
        <w:t xml:space="preserve"> responsive to concerns raised by Commission staff in informal meetings with the parties.  In the Second Supplement, the parties </w:t>
      </w:r>
      <w:r w:rsidR="00F10079">
        <w:rPr>
          <w:szCs w:val="22"/>
        </w:rPr>
        <w:t xml:space="preserve">stated </w:t>
      </w:r>
      <w:r w:rsidRPr="00647124">
        <w:rPr>
          <w:szCs w:val="22"/>
        </w:rPr>
        <w:t>that the avoidance action “remains threatened but as yet unfiled in the bankruptcy court.”</w:t>
      </w:r>
      <w:r>
        <w:rPr>
          <w:rStyle w:val="FootnoteReference"/>
          <w:szCs w:val="22"/>
        </w:rPr>
        <w:footnoteReference w:id="27"/>
      </w:r>
      <w:r w:rsidRPr="00647124">
        <w:rPr>
          <w:szCs w:val="22"/>
        </w:rPr>
        <w:t xml:space="preserve">  The parties also propose</w:t>
      </w:r>
      <w:r w:rsidRPr="00647124" w:rsidR="0007146B">
        <w:rPr>
          <w:szCs w:val="22"/>
        </w:rPr>
        <w:t>d</w:t>
      </w:r>
      <w:r w:rsidRPr="00647124">
        <w:rPr>
          <w:szCs w:val="22"/>
        </w:rPr>
        <w:t xml:space="preserve"> </w:t>
      </w:r>
      <w:r w:rsidR="00FB6F45">
        <w:rPr>
          <w:szCs w:val="22"/>
        </w:rPr>
        <w:t xml:space="preserve">that the Commission adopt </w:t>
      </w:r>
      <w:r w:rsidRPr="00647124">
        <w:rPr>
          <w:szCs w:val="22"/>
        </w:rPr>
        <w:t>a written policy that they claim would provide relief for licensees facing construction deadlines for licenses whose ownership is under a cloud of uncertainty</w:t>
      </w:r>
      <w:r w:rsidR="008014A1">
        <w:rPr>
          <w:szCs w:val="22"/>
        </w:rPr>
        <w:t xml:space="preserve"> due to a threatened or pending avoidance action</w:t>
      </w:r>
      <w:r w:rsidRPr="00647124">
        <w:rPr>
          <w:szCs w:val="22"/>
        </w:rPr>
        <w:t>.  Under this proposed policy, the License would have to be constructed within four months of the final resolution of its ownership status.</w:t>
      </w:r>
      <w:r>
        <w:rPr>
          <w:rStyle w:val="FootnoteReference"/>
          <w:szCs w:val="22"/>
        </w:rPr>
        <w:footnoteReference w:id="28"/>
      </w:r>
    </w:p>
    <w:p w:rsidR="00AC05DD" w:rsidRPr="00647124" w:rsidP="00647124">
      <w:pPr>
        <w:pStyle w:val="ParaNum"/>
        <w:jc w:val="left"/>
        <w:rPr>
          <w:szCs w:val="22"/>
        </w:rPr>
      </w:pPr>
      <w:r w:rsidRPr="00647124">
        <w:rPr>
          <w:szCs w:val="22"/>
        </w:rPr>
        <w:t>In December 2009, the bankruptcy court approved a settlement requiring the assignment of the License to Crossroads DIP.</w:t>
      </w:r>
      <w:r>
        <w:rPr>
          <w:rStyle w:val="FootnoteReference"/>
          <w:szCs w:val="22"/>
        </w:rPr>
        <w:footnoteReference w:id="29"/>
      </w:r>
      <w:r w:rsidRPr="00647124">
        <w:rPr>
          <w:szCs w:val="22"/>
        </w:rPr>
        <w:t xml:space="preserve">  This assignment was consummated on January 19, 2010.</w:t>
      </w:r>
      <w:r>
        <w:rPr>
          <w:rStyle w:val="FootnoteReference"/>
          <w:szCs w:val="22"/>
        </w:rPr>
        <w:footnoteReference w:id="30"/>
      </w:r>
      <w:r w:rsidRPr="00647124">
        <w:rPr>
          <w:szCs w:val="22"/>
        </w:rPr>
        <w:t xml:space="preserve">  On February 18, 2010, the bankruptcy court approved a joint plan of action allowing assignment of the Licenses held by Crossroads DIP to a liquidating trustee.</w:t>
      </w:r>
      <w:r>
        <w:rPr>
          <w:rStyle w:val="FootnoteReference"/>
          <w:szCs w:val="22"/>
        </w:rPr>
        <w:footnoteReference w:id="31"/>
      </w:r>
      <w:r w:rsidRPr="00647124">
        <w:rPr>
          <w:szCs w:val="22"/>
        </w:rPr>
        <w:t xml:space="preserve"> </w:t>
      </w:r>
      <w:r w:rsidRPr="00647124" w:rsidR="0007146B">
        <w:rPr>
          <w:szCs w:val="22"/>
        </w:rPr>
        <w:t xml:space="preserve"> </w:t>
      </w:r>
      <w:r w:rsidRPr="00647124">
        <w:rPr>
          <w:szCs w:val="22"/>
        </w:rPr>
        <w:t xml:space="preserve">On March 19, 2010, the Commission approved a transfer of </w:t>
      </w:r>
      <w:r w:rsidRPr="00647124">
        <w:rPr>
          <w:szCs w:val="22"/>
        </w:rPr>
        <w:t>control of the License from Crossroads DIP to the liquidating trustee.</w:t>
      </w:r>
      <w:r>
        <w:rPr>
          <w:rStyle w:val="FootnoteReference"/>
          <w:szCs w:val="22"/>
        </w:rPr>
        <w:footnoteReference w:id="32"/>
      </w:r>
      <w:r w:rsidRPr="00647124">
        <w:rPr>
          <w:szCs w:val="22"/>
        </w:rPr>
        <w:t xml:space="preserve">  The liquidating trustee then sought to secure a buyer </w:t>
      </w:r>
      <w:r w:rsidR="00F10079">
        <w:rPr>
          <w:szCs w:val="22"/>
        </w:rPr>
        <w:t xml:space="preserve">that </w:t>
      </w:r>
      <w:r w:rsidRPr="00647124">
        <w:rPr>
          <w:szCs w:val="22"/>
        </w:rPr>
        <w:t xml:space="preserve">would be willing and able to complete construction of the License in accordance with Section 24.203 of the Commission’s rules.  </w:t>
      </w:r>
    </w:p>
    <w:p w:rsidR="0007146B" w:rsidRPr="00647124" w:rsidP="00647124">
      <w:pPr>
        <w:pStyle w:val="ParaNum"/>
        <w:jc w:val="left"/>
        <w:rPr>
          <w:szCs w:val="22"/>
        </w:rPr>
      </w:pPr>
      <w:r w:rsidRPr="00647124">
        <w:rPr>
          <w:szCs w:val="22"/>
        </w:rPr>
        <w:t>The liquidating trustee subsequently reached</w:t>
      </w:r>
      <w:r w:rsidRPr="00647124">
        <w:rPr>
          <w:szCs w:val="22"/>
        </w:rPr>
        <w:t xml:space="preserve"> an agreement with NTCH</w:t>
      </w:r>
      <w:r w:rsidRPr="00647124">
        <w:rPr>
          <w:szCs w:val="22"/>
        </w:rPr>
        <w:t xml:space="preserve"> to transfer the License to its control, contingent upon the Commission’s approval of the Waiver Request.</w:t>
      </w:r>
      <w:r>
        <w:rPr>
          <w:rStyle w:val="FootnoteReference"/>
          <w:szCs w:val="22"/>
        </w:rPr>
        <w:footnoteReference w:id="33"/>
      </w:r>
      <w:r w:rsidRPr="00647124">
        <w:rPr>
          <w:szCs w:val="22"/>
        </w:rPr>
        <w:t xml:space="preserve">  </w:t>
      </w:r>
      <w:r w:rsidR="00F10079">
        <w:rPr>
          <w:szCs w:val="22"/>
        </w:rPr>
        <w:t>The Commission consented to t</w:t>
      </w:r>
      <w:r w:rsidRPr="00980A68">
        <w:rPr>
          <w:szCs w:val="22"/>
        </w:rPr>
        <w:t>he transfer of control on April 3, 2010.</w:t>
      </w:r>
      <w:r>
        <w:rPr>
          <w:rStyle w:val="FootnoteReference"/>
          <w:szCs w:val="22"/>
        </w:rPr>
        <w:footnoteReference w:id="34"/>
      </w:r>
      <w:r w:rsidRPr="00647124">
        <w:rPr>
          <w:szCs w:val="22"/>
        </w:rPr>
        <w:t xml:space="preserve">  On May 5, 2010, Crossroads DIP filed the Third Supplement, in w</w:t>
      </w:r>
      <w:r w:rsidRPr="00647124">
        <w:rPr>
          <w:szCs w:val="22"/>
        </w:rPr>
        <w:t>hich it described</w:t>
      </w:r>
      <w:r w:rsidRPr="00647124">
        <w:rPr>
          <w:szCs w:val="22"/>
        </w:rPr>
        <w:t xml:space="preserve"> its agreement w</w:t>
      </w:r>
      <w:r w:rsidRPr="00647124">
        <w:rPr>
          <w:szCs w:val="22"/>
        </w:rPr>
        <w:t>ith NTCH and further supplemented</w:t>
      </w:r>
      <w:r w:rsidRPr="00647124">
        <w:rPr>
          <w:szCs w:val="22"/>
        </w:rPr>
        <w:t xml:space="preserve"> its requests for waiver and extension of the construction deadline.</w:t>
      </w:r>
      <w:r>
        <w:rPr>
          <w:rStyle w:val="FootnoteReference"/>
          <w:szCs w:val="22"/>
        </w:rPr>
        <w:footnoteReference w:id="35"/>
      </w:r>
      <w:r w:rsidRPr="00647124">
        <w:rPr>
          <w:szCs w:val="22"/>
        </w:rPr>
        <w:t xml:space="preserve">  Spe</w:t>
      </w:r>
      <w:r w:rsidRPr="00647124">
        <w:rPr>
          <w:szCs w:val="22"/>
        </w:rPr>
        <w:t>cifically, Crossroads DIP stated</w:t>
      </w:r>
      <w:r w:rsidRPr="00647124">
        <w:rPr>
          <w:szCs w:val="22"/>
        </w:rPr>
        <w:t xml:space="preserve"> that</w:t>
      </w:r>
      <w:r w:rsidR="00F10079">
        <w:rPr>
          <w:szCs w:val="22"/>
        </w:rPr>
        <w:t>,</w:t>
      </w:r>
      <w:r w:rsidRPr="00647124">
        <w:rPr>
          <w:szCs w:val="22"/>
        </w:rPr>
        <w:t xml:space="preserve"> “[</w:t>
      </w:r>
      <w:r w:rsidRPr="00647124">
        <w:rPr>
          <w:szCs w:val="22"/>
        </w:rPr>
        <w:t>i</w:t>
      </w:r>
      <w:r w:rsidRPr="00647124">
        <w:rPr>
          <w:szCs w:val="22"/>
        </w:rPr>
        <w:t>]f the Commission grants the Extension Request [Waiver Request], NTCH and Crossroads DIP will immediately enter into a short term lease arrangement under which NTCH will, on an expedited basis, construct sufficient cell sites to provide at least the requisite two-thirds coverage of the Jefferson City BTA, and will install the associated infrastructure for these cells.  Upon the timely completion of the build out…the parties will consummate the assignment of Station WQGH652 to NTCH….”</w:t>
      </w:r>
      <w:r>
        <w:rPr>
          <w:rStyle w:val="FootnoteReference"/>
          <w:szCs w:val="22"/>
        </w:rPr>
        <w:footnoteReference w:id="36"/>
      </w:r>
    </w:p>
    <w:p w:rsidR="00AC05DD" w:rsidRPr="00647124" w:rsidP="00647124">
      <w:pPr>
        <w:pStyle w:val="ParaNum"/>
        <w:jc w:val="left"/>
        <w:rPr>
          <w:szCs w:val="22"/>
        </w:rPr>
      </w:pPr>
      <w:r w:rsidRPr="00647124">
        <w:rPr>
          <w:szCs w:val="22"/>
          <w:u w:val="single"/>
        </w:rPr>
        <w:t>The Denial Order</w:t>
      </w:r>
      <w:r w:rsidRPr="00647124">
        <w:rPr>
          <w:szCs w:val="22"/>
        </w:rPr>
        <w:t xml:space="preserve">.  </w:t>
      </w:r>
      <w:r w:rsidR="00F10079">
        <w:rPr>
          <w:szCs w:val="22"/>
        </w:rPr>
        <w:t xml:space="preserve">On </w:t>
      </w:r>
      <w:r w:rsidR="000247AB">
        <w:rPr>
          <w:szCs w:val="22"/>
        </w:rPr>
        <w:t>May 31, 2012</w:t>
      </w:r>
      <w:r w:rsidR="00F10079">
        <w:rPr>
          <w:szCs w:val="22"/>
        </w:rPr>
        <w:t>, the Division issued an order denying the request for waiver and extension of time</w:t>
      </w:r>
      <w:r w:rsidR="000247AB">
        <w:rPr>
          <w:szCs w:val="22"/>
        </w:rPr>
        <w:t>,</w:t>
      </w:r>
      <w:r w:rsidR="00F10079">
        <w:rPr>
          <w:szCs w:val="22"/>
        </w:rPr>
        <w:t xml:space="preserve"> finding </w:t>
      </w:r>
      <w:r w:rsidRPr="00647124">
        <w:rPr>
          <w:szCs w:val="22"/>
        </w:rPr>
        <w:t>that an extension of tim</w:t>
      </w:r>
      <w:r w:rsidRPr="00647124" w:rsidR="009B035B">
        <w:rPr>
          <w:szCs w:val="22"/>
        </w:rPr>
        <w:t>e to meet the June 30, 2009 ten-</w:t>
      </w:r>
      <w:r w:rsidRPr="00647124">
        <w:rPr>
          <w:szCs w:val="22"/>
        </w:rPr>
        <w:t>year</w:t>
      </w:r>
      <w:r w:rsidRPr="00647124" w:rsidR="00614F3C">
        <w:rPr>
          <w:szCs w:val="22"/>
        </w:rPr>
        <w:t xml:space="preserve"> construction milestone in S</w:t>
      </w:r>
      <w:r w:rsidRPr="00647124">
        <w:rPr>
          <w:szCs w:val="22"/>
        </w:rPr>
        <w:t>ection 24.203 of the Commission’s rules was not warranted.</w:t>
      </w:r>
      <w:r>
        <w:rPr>
          <w:rStyle w:val="FootnoteReference"/>
          <w:szCs w:val="22"/>
        </w:rPr>
        <w:footnoteReference w:id="37"/>
      </w:r>
      <w:r w:rsidRPr="00647124">
        <w:rPr>
          <w:szCs w:val="22"/>
        </w:rPr>
        <w:t xml:space="preserve">  The Division noted that the petitioners’ arguments rested “almost entirely” on the </w:t>
      </w:r>
      <w:r w:rsidR="007E6A0C">
        <w:rPr>
          <w:szCs w:val="22"/>
        </w:rPr>
        <w:t>claimed</w:t>
      </w:r>
      <w:r w:rsidRPr="00647124">
        <w:rPr>
          <w:szCs w:val="22"/>
        </w:rPr>
        <w:t xml:space="preserve"> cloud of uncertainty surrounding the ownership of the License between February 2009 and December 2009 that</w:t>
      </w:r>
      <w:r w:rsidRPr="00647124" w:rsidR="00A266CD">
        <w:rPr>
          <w:szCs w:val="22"/>
        </w:rPr>
        <w:t xml:space="preserve">, </w:t>
      </w:r>
      <w:r w:rsidR="000247AB">
        <w:rPr>
          <w:szCs w:val="22"/>
        </w:rPr>
        <w:t>P</w:t>
      </w:r>
      <w:r w:rsidR="00F10079">
        <w:rPr>
          <w:szCs w:val="22"/>
        </w:rPr>
        <w:t xml:space="preserve">etitioners </w:t>
      </w:r>
      <w:r w:rsidRPr="00647124" w:rsidR="00A266CD">
        <w:rPr>
          <w:szCs w:val="22"/>
        </w:rPr>
        <w:t>claimed,</w:t>
      </w:r>
      <w:r w:rsidRPr="00647124">
        <w:rPr>
          <w:szCs w:val="22"/>
        </w:rPr>
        <w:t xml:space="preserve"> was caused by factors beyond their control, specifically, the threatened avoidance action associated with the bankruptcy action.</w:t>
      </w:r>
      <w:r>
        <w:rPr>
          <w:rStyle w:val="FootnoteReference"/>
          <w:szCs w:val="22"/>
        </w:rPr>
        <w:footnoteReference w:id="38"/>
      </w:r>
      <w:r w:rsidRPr="00647124">
        <w:rPr>
          <w:szCs w:val="22"/>
        </w:rPr>
        <w:t xml:space="preserve">  The Division rejected these </w:t>
      </w:r>
      <w:r w:rsidR="00F10079">
        <w:rPr>
          <w:szCs w:val="22"/>
        </w:rPr>
        <w:t xml:space="preserve">claims </w:t>
      </w:r>
      <w:r w:rsidRPr="00647124">
        <w:rPr>
          <w:szCs w:val="22"/>
        </w:rPr>
        <w:t>and found that the own</w:t>
      </w:r>
      <w:r w:rsidRPr="00647124" w:rsidR="00A266CD">
        <w:rPr>
          <w:szCs w:val="22"/>
        </w:rPr>
        <w:t>ership of the License during that</w:t>
      </w:r>
      <w:r w:rsidRPr="00647124">
        <w:rPr>
          <w:szCs w:val="22"/>
        </w:rPr>
        <w:t xml:space="preserve"> period of time was certain an</w:t>
      </w:r>
      <w:r w:rsidRPr="00647124" w:rsidR="0024332F">
        <w:rPr>
          <w:szCs w:val="22"/>
        </w:rPr>
        <w:t xml:space="preserve">d that the decision not to meet the performance requirement “was a voluntary business decision completely within </w:t>
      </w:r>
      <w:r w:rsidRPr="00647124" w:rsidR="0024332F">
        <w:rPr>
          <w:szCs w:val="22"/>
        </w:rPr>
        <w:t>Commnet’s</w:t>
      </w:r>
      <w:r w:rsidRPr="00647124" w:rsidR="0024332F">
        <w:rPr>
          <w:szCs w:val="22"/>
        </w:rPr>
        <w:t xml:space="preserve"> control.”</w:t>
      </w:r>
      <w:r>
        <w:rPr>
          <w:rStyle w:val="FootnoteReference"/>
          <w:szCs w:val="22"/>
        </w:rPr>
        <w:footnoteReference w:id="39"/>
      </w:r>
      <w:r w:rsidRPr="00647124" w:rsidR="00F00327">
        <w:rPr>
          <w:szCs w:val="22"/>
        </w:rPr>
        <w:t xml:space="preserve">  </w:t>
      </w:r>
      <w:r w:rsidR="00F10079">
        <w:rPr>
          <w:szCs w:val="22"/>
        </w:rPr>
        <w:t>T</w:t>
      </w:r>
      <w:r w:rsidRPr="00647124" w:rsidR="00F00327">
        <w:rPr>
          <w:szCs w:val="22"/>
        </w:rPr>
        <w:t xml:space="preserve">he Division </w:t>
      </w:r>
      <w:r w:rsidR="00F10079">
        <w:rPr>
          <w:szCs w:val="22"/>
        </w:rPr>
        <w:t xml:space="preserve">proceeded to </w:t>
      </w:r>
      <w:r w:rsidRPr="00647124" w:rsidR="00F00327">
        <w:rPr>
          <w:szCs w:val="22"/>
        </w:rPr>
        <w:t xml:space="preserve">list the following voluntary business decisions that influenced </w:t>
      </w:r>
      <w:r w:rsidRPr="00647124" w:rsidR="00F00327">
        <w:rPr>
          <w:szCs w:val="22"/>
        </w:rPr>
        <w:t>Commnet’s</w:t>
      </w:r>
      <w:r w:rsidRPr="00647124">
        <w:rPr>
          <w:szCs w:val="22"/>
        </w:rPr>
        <w:t xml:space="preserve"> </w:t>
      </w:r>
      <w:r w:rsidRPr="00647124" w:rsidR="00F00327">
        <w:rPr>
          <w:szCs w:val="22"/>
        </w:rPr>
        <w:t xml:space="preserve">failure to meet the construction deadline: </w:t>
      </w:r>
      <w:r w:rsidR="00F10079">
        <w:rPr>
          <w:szCs w:val="22"/>
        </w:rPr>
        <w:t xml:space="preserve">(1) </w:t>
      </w:r>
      <w:r w:rsidRPr="00647124" w:rsidR="00F00327">
        <w:rPr>
          <w:szCs w:val="22"/>
        </w:rPr>
        <w:t>entering into the original agreement with Crossroads Wireless to use Crossroads Sub (and the License) as security for Crossroads Wireless’</w:t>
      </w:r>
      <w:r w:rsidR="003D0661">
        <w:rPr>
          <w:szCs w:val="22"/>
        </w:rPr>
        <w:t>s</w:t>
      </w:r>
      <w:r w:rsidRPr="00647124" w:rsidR="00F00327">
        <w:rPr>
          <w:szCs w:val="22"/>
        </w:rPr>
        <w:t xml:space="preserve"> debt; (2) acceptance of the subsequent transfer of Crossroads Sub (and the License) from Crossroads Wireless; and (3) its decision not to construct a compliant PCS system prior to June 30, 2009 when, by its own admission, it could have completed the </w:t>
      </w:r>
      <w:r w:rsidR="007E6A0C">
        <w:rPr>
          <w:szCs w:val="22"/>
        </w:rPr>
        <w:t>construction</w:t>
      </w:r>
      <w:r w:rsidRPr="00647124" w:rsidR="00F00327">
        <w:rPr>
          <w:szCs w:val="22"/>
        </w:rPr>
        <w:t xml:space="preserve"> in a timely manner.</w:t>
      </w:r>
      <w:r>
        <w:rPr>
          <w:rStyle w:val="FootnoteReference"/>
          <w:szCs w:val="22"/>
        </w:rPr>
        <w:footnoteReference w:id="40"/>
      </w:r>
      <w:r w:rsidRPr="00647124">
        <w:rPr>
          <w:szCs w:val="22"/>
        </w:rPr>
        <w:t xml:space="preserve"> </w:t>
      </w:r>
    </w:p>
    <w:p w:rsidR="0055239E" w:rsidRPr="00647124" w:rsidP="00647124">
      <w:pPr>
        <w:pStyle w:val="ParaNum"/>
        <w:jc w:val="left"/>
        <w:rPr>
          <w:szCs w:val="22"/>
        </w:rPr>
      </w:pPr>
      <w:r w:rsidRPr="00647124">
        <w:rPr>
          <w:szCs w:val="22"/>
        </w:rPr>
        <w:t xml:space="preserve">The Division </w:t>
      </w:r>
      <w:r w:rsidRPr="00647124">
        <w:rPr>
          <w:szCs w:val="22"/>
        </w:rPr>
        <w:t>found that the petitioners not only failed to show that an extension of time to const</w:t>
      </w:r>
      <w:r w:rsidRPr="00647124" w:rsidR="00614F3C">
        <w:rPr>
          <w:szCs w:val="22"/>
        </w:rPr>
        <w:t>ruct was warranted pursuant to S</w:t>
      </w:r>
      <w:r w:rsidRPr="00647124">
        <w:rPr>
          <w:szCs w:val="22"/>
        </w:rPr>
        <w:t>ection 1.946 of the Commission’s rules,</w:t>
      </w:r>
      <w:r>
        <w:rPr>
          <w:rStyle w:val="FootnoteReference"/>
          <w:szCs w:val="22"/>
        </w:rPr>
        <w:footnoteReference w:id="41"/>
      </w:r>
      <w:r w:rsidRPr="00647124">
        <w:rPr>
          <w:szCs w:val="22"/>
        </w:rPr>
        <w:t xml:space="preserve"> but also that they failed to satisfy the waiver standard</w:t>
      </w:r>
      <w:r w:rsidRPr="00647124" w:rsidR="00614F3C">
        <w:rPr>
          <w:szCs w:val="22"/>
        </w:rPr>
        <w:t xml:space="preserve"> set forth in S</w:t>
      </w:r>
      <w:r w:rsidRPr="00647124">
        <w:rPr>
          <w:szCs w:val="22"/>
        </w:rPr>
        <w:t>ection 1.925 of the Commission’s rules.</w:t>
      </w:r>
      <w:r>
        <w:rPr>
          <w:rStyle w:val="FootnoteReference"/>
          <w:szCs w:val="22"/>
        </w:rPr>
        <w:footnoteReference w:id="42"/>
      </w:r>
      <w:r w:rsidRPr="00647124" w:rsidR="00D5233C">
        <w:rPr>
          <w:szCs w:val="22"/>
        </w:rPr>
        <w:t xml:space="preserve">  Because the licensed spectrum had gone unused through its second construction deadline due to the voluntary business decisions of the licensee, the Division </w:t>
      </w:r>
      <w:r w:rsidR="00F10079">
        <w:rPr>
          <w:szCs w:val="22"/>
        </w:rPr>
        <w:t xml:space="preserve">found </w:t>
      </w:r>
      <w:r w:rsidRPr="00647124" w:rsidR="00D5233C">
        <w:rPr>
          <w:szCs w:val="22"/>
        </w:rPr>
        <w:t xml:space="preserve">that the underlying purpose of the rules would </w:t>
      </w:r>
      <w:r w:rsidR="001A33F8">
        <w:rPr>
          <w:szCs w:val="22"/>
        </w:rPr>
        <w:t xml:space="preserve">not </w:t>
      </w:r>
      <w:r w:rsidRPr="00647124" w:rsidR="00D5233C">
        <w:rPr>
          <w:szCs w:val="22"/>
        </w:rPr>
        <w:t xml:space="preserve">be </w:t>
      </w:r>
      <w:r w:rsidRPr="00647124" w:rsidR="00D5233C">
        <w:rPr>
          <w:szCs w:val="22"/>
        </w:rPr>
        <w:t>furthered by granting the Waiver Request.</w:t>
      </w:r>
      <w:r>
        <w:rPr>
          <w:rStyle w:val="FootnoteReference"/>
          <w:szCs w:val="22"/>
        </w:rPr>
        <w:footnoteReference w:id="43"/>
      </w:r>
      <w:r w:rsidRPr="00647124" w:rsidR="00AA371E">
        <w:rPr>
          <w:szCs w:val="22"/>
        </w:rPr>
        <w:t xml:space="preserve">  Further, the Division found that g</w:t>
      </w:r>
      <w:r w:rsidRPr="00647124" w:rsidR="009B3BD8">
        <w:rPr>
          <w:szCs w:val="22"/>
        </w:rPr>
        <w:t xml:space="preserve">ranting the extension would </w:t>
      </w:r>
      <w:r w:rsidRPr="00647124" w:rsidR="00AA371E">
        <w:rPr>
          <w:szCs w:val="22"/>
        </w:rPr>
        <w:t>be contrary to the public interest because it could encourage speculators to obtain</w:t>
      </w:r>
      <w:r w:rsidRPr="00647124" w:rsidR="00C5328A">
        <w:rPr>
          <w:szCs w:val="22"/>
        </w:rPr>
        <w:t xml:space="preserve"> licenses in areas where they ha</w:t>
      </w:r>
      <w:r w:rsidR="001A33F8">
        <w:rPr>
          <w:szCs w:val="22"/>
        </w:rPr>
        <w:t>d</w:t>
      </w:r>
      <w:r w:rsidRPr="00647124" w:rsidR="00C5328A">
        <w:rPr>
          <w:szCs w:val="22"/>
        </w:rPr>
        <w:t xml:space="preserve"> no intention of providing service.</w:t>
      </w:r>
      <w:r>
        <w:rPr>
          <w:rStyle w:val="FootnoteReference"/>
          <w:szCs w:val="22"/>
        </w:rPr>
        <w:footnoteReference w:id="44"/>
      </w:r>
    </w:p>
    <w:p w:rsidR="001C0BEB" w:rsidRPr="00647124" w:rsidP="00647124">
      <w:pPr>
        <w:pStyle w:val="ParaNum"/>
        <w:jc w:val="left"/>
        <w:rPr>
          <w:szCs w:val="22"/>
        </w:rPr>
      </w:pPr>
      <w:r w:rsidRPr="00647124">
        <w:rPr>
          <w:szCs w:val="22"/>
          <w:u w:val="single"/>
        </w:rPr>
        <w:t>The Petition for Reconsideration</w:t>
      </w:r>
      <w:r w:rsidRPr="00647124">
        <w:rPr>
          <w:szCs w:val="22"/>
        </w:rPr>
        <w:t xml:space="preserve">.  </w:t>
      </w:r>
      <w:r w:rsidR="003D0661">
        <w:rPr>
          <w:szCs w:val="22"/>
        </w:rPr>
        <w:t>T</w:t>
      </w:r>
      <w:r w:rsidRPr="00647124" w:rsidR="00441972">
        <w:rPr>
          <w:szCs w:val="22"/>
        </w:rPr>
        <w:t>he Petitioners seek reconsideration of the Denial Order on two grounds.</w:t>
      </w:r>
      <w:r>
        <w:rPr>
          <w:rStyle w:val="FootnoteReference"/>
          <w:szCs w:val="22"/>
        </w:rPr>
        <w:footnoteReference w:id="45"/>
      </w:r>
      <w:r w:rsidRPr="00647124" w:rsidR="00441972">
        <w:rPr>
          <w:szCs w:val="22"/>
        </w:rPr>
        <w:t xml:space="preserve">  First, the Petitioners claim that the original licensee, Chariton, </w:t>
      </w:r>
      <w:r w:rsidRPr="00647124" w:rsidR="00E433F1">
        <w:rPr>
          <w:szCs w:val="22"/>
        </w:rPr>
        <w:t xml:space="preserve">unknowingly </w:t>
      </w:r>
      <w:r w:rsidRPr="00647124" w:rsidR="009B035B">
        <w:rPr>
          <w:szCs w:val="22"/>
        </w:rPr>
        <w:t>met the ten-</w:t>
      </w:r>
      <w:r w:rsidRPr="00647124" w:rsidR="00441972">
        <w:rPr>
          <w:szCs w:val="22"/>
        </w:rPr>
        <w:t xml:space="preserve">year substantial service benchmark for the License </w:t>
      </w:r>
      <w:r w:rsidRPr="00647124" w:rsidR="003D0661">
        <w:rPr>
          <w:szCs w:val="22"/>
        </w:rPr>
        <w:t xml:space="preserve">(due in 2009) </w:t>
      </w:r>
      <w:r w:rsidRPr="00647124" w:rsidR="00441972">
        <w:rPr>
          <w:szCs w:val="22"/>
        </w:rPr>
        <w:t>i</w:t>
      </w:r>
      <w:r w:rsidRPr="00647124" w:rsidR="00E433F1">
        <w:rPr>
          <w:szCs w:val="22"/>
        </w:rPr>
        <w:t>n i</w:t>
      </w:r>
      <w:r w:rsidRPr="00647124" w:rsidR="009B035B">
        <w:rPr>
          <w:szCs w:val="22"/>
        </w:rPr>
        <w:t>ts five-</w:t>
      </w:r>
      <w:r w:rsidRPr="00647124" w:rsidR="00E433F1">
        <w:rPr>
          <w:szCs w:val="22"/>
        </w:rPr>
        <w:t>year build-out</w:t>
      </w:r>
      <w:r w:rsidRPr="00647124" w:rsidR="00441972">
        <w:rPr>
          <w:szCs w:val="22"/>
        </w:rPr>
        <w:t xml:space="preserve"> showing (filed in 2004)</w:t>
      </w:r>
      <w:r w:rsidR="003D0661">
        <w:rPr>
          <w:szCs w:val="22"/>
        </w:rPr>
        <w:t xml:space="preserve">.  </w:t>
      </w:r>
      <w:r w:rsidR="0083694D">
        <w:rPr>
          <w:szCs w:val="22"/>
        </w:rPr>
        <w:t>B</w:t>
      </w:r>
      <w:r w:rsidRPr="00647124" w:rsidR="00396517">
        <w:rPr>
          <w:szCs w:val="22"/>
        </w:rPr>
        <w:t>as</w:t>
      </w:r>
      <w:r w:rsidR="0083694D">
        <w:rPr>
          <w:szCs w:val="22"/>
        </w:rPr>
        <w:t>ing</w:t>
      </w:r>
      <w:r w:rsidRPr="00647124" w:rsidR="00396517">
        <w:rPr>
          <w:szCs w:val="22"/>
        </w:rPr>
        <w:t xml:space="preserve"> their claim, in part,</w:t>
      </w:r>
      <w:r w:rsidRPr="00647124" w:rsidR="0098338C">
        <w:rPr>
          <w:szCs w:val="22"/>
        </w:rPr>
        <w:t xml:space="preserve"> on </w:t>
      </w:r>
      <w:r w:rsidRPr="00647124" w:rsidR="00E433F1">
        <w:rPr>
          <w:szCs w:val="22"/>
        </w:rPr>
        <w:t xml:space="preserve">application of </w:t>
      </w:r>
      <w:r w:rsidRPr="00647124" w:rsidR="0098338C">
        <w:rPr>
          <w:szCs w:val="22"/>
        </w:rPr>
        <w:t>the Commission’s rural substantial service criteria adopted in the</w:t>
      </w:r>
      <w:r w:rsidRPr="00647124" w:rsidR="00E433F1">
        <w:rPr>
          <w:szCs w:val="22"/>
        </w:rPr>
        <w:t xml:space="preserve"> </w:t>
      </w:r>
      <w:r w:rsidRPr="00647124" w:rsidR="0098338C">
        <w:rPr>
          <w:i/>
          <w:szCs w:val="22"/>
        </w:rPr>
        <w:t>Rural Services Order</w:t>
      </w:r>
      <w:r w:rsidR="0083694D">
        <w:rPr>
          <w:szCs w:val="22"/>
        </w:rPr>
        <w:t>,</w:t>
      </w:r>
      <w:r>
        <w:rPr>
          <w:rStyle w:val="FootnoteReference"/>
          <w:szCs w:val="22"/>
        </w:rPr>
        <w:footnoteReference w:id="46"/>
      </w:r>
      <w:r w:rsidRPr="00647124" w:rsidR="00E433F1">
        <w:rPr>
          <w:szCs w:val="22"/>
        </w:rPr>
        <w:t xml:space="preserve"> the Petitioners</w:t>
      </w:r>
      <w:r w:rsidRPr="00647124" w:rsidR="00441972">
        <w:rPr>
          <w:szCs w:val="22"/>
        </w:rPr>
        <w:t xml:space="preserve"> </w:t>
      </w:r>
      <w:r w:rsidR="0083694D">
        <w:rPr>
          <w:szCs w:val="22"/>
        </w:rPr>
        <w:t xml:space="preserve">contend that </w:t>
      </w:r>
      <w:r w:rsidRPr="00647124" w:rsidR="00441972">
        <w:rPr>
          <w:szCs w:val="22"/>
        </w:rPr>
        <w:t>the Co</w:t>
      </w:r>
      <w:r w:rsidRPr="00647124" w:rsidR="009B035B">
        <w:rPr>
          <w:szCs w:val="22"/>
        </w:rPr>
        <w:t>mmission should accept the five-</w:t>
      </w:r>
      <w:r w:rsidRPr="00647124" w:rsidR="00441972">
        <w:rPr>
          <w:szCs w:val="22"/>
        </w:rPr>
        <w:t xml:space="preserve">year </w:t>
      </w:r>
      <w:r w:rsidRPr="00647124" w:rsidR="0004043C">
        <w:rPr>
          <w:szCs w:val="22"/>
        </w:rPr>
        <w:t xml:space="preserve">build-out </w:t>
      </w:r>
      <w:r w:rsidRPr="00647124" w:rsidR="00441972">
        <w:rPr>
          <w:szCs w:val="22"/>
        </w:rPr>
        <w:t xml:space="preserve">showing as </w:t>
      </w:r>
      <w:r w:rsidRPr="00647124" w:rsidR="009B035B">
        <w:rPr>
          <w:szCs w:val="22"/>
        </w:rPr>
        <w:t>satisfying the ten-</w:t>
      </w:r>
      <w:r w:rsidRPr="00647124" w:rsidR="0004043C">
        <w:rPr>
          <w:szCs w:val="22"/>
        </w:rPr>
        <w:t xml:space="preserve">year </w:t>
      </w:r>
      <w:r w:rsidRPr="00647124" w:rsidR="00E433F1">
        <w:rPr>
          <w:szCs w:val="22"/>
        </w:rPr>
        <w:t xml:space="preserve">substantial service </w:t>
      </w:r>
      <w:r w:rsidRPr="00647124" w:rsidR="0004043C">
        <w:rPr>
          <w:szCs w:val="22"/>
        </w:rPr>
        <w:t>milestone</w:t>
      </w:r>
      <w:r w:rsidRPr="00647124" w:rsidR="00441972">
        <w:rPr>
          <w:szCs w:val="22"/>
        </w:rPr>
        <w:t xml:space="preserve"> such that no extension would be required and the License could </w:t>
      </w:r>
      <w:r w:rsidRPr="00647124" w:rsidR="0031436F">
        <w:rPr>
          <w:szCs w:val="22"/>
        </w:rPr>
        <w:t xml:space="preserve">now </w:t>
      </w:r>
      <w:r w:rsidRPr="00647124" w:rsidR="00441972">
        <w:rPr>
          <w:szCs w:val="22"/>
        </w:rPr>
        <w:t>be renewed</w:t>
      </w:r>
      <w:r w:rsidRPr="00647124" w:rsidR="0004043C">
        <w:rPr>
          <w:szCs w:val="22"/>
        </w:rPr>
        <w:t>.</w:t>
      </w:r>
      <w:r>
        <w:rPr>
          <w:rStyle w:val="FootnoteReference"/>
          <w:szCs w:val="22"/>
        </w:rPr>
        <w:footnoteReference w:id="47"/>
      </w:r>
      <w:r w:rsidRPr="00647124" w:rsidR="0004043C">
        <w:rPr>
          <w:szCs w:val="22"/>
        </w:rPr>
        <w:t xml:space="preserve">  Second,</w:t>
      </w:r>
      <w:r w:rsidRPr="00647124" w:rsidR="0026538B">
        <w:rPr>
          <w:szCs w:val="22"/>
        </w:rPr>
        <w:t xml:space="preserve"> </w:t>
      </w:r>
      <w:r w:rsidRPr="00647124" w:rsidR="00DA56D2">
        <w:rPr>
          <w:szCs w:val="22"/>
        </w:rPr>
        <w:t>the Pet</w:t>
      </w:r>
      <w:r w:rsidRPr="00647124" w:rsidR="00F47E02">
        <w:rPr>
          <w:szCs w:val="22"/>
        </w:rPr>
        <w:t xml:space="preserve">itioners </w:t>
      </w:r>
      <w:r w:rsidRPr="00647124" w:rsidR="00E6480B">
        <w:rPr>
          <w:szCs w:val="22"/>
        </w:rPr>
        <w:t xml:space="preserve">suggest that the Division erred when </w:t>
      </w:r>
      <w:r w:rsidRPr="00647124" w:rsidR="001130F8">
        <w:rPr>
          <w:szCs w:val="22"/>
        </w:rPr>
        <w:t>it</w:t>
      </w:r>
      <w:r w:rsidRPr="00647124" w:rsidR="00E6480B">
        <w:rPr>
          <w:szCs w:val="22"/>
        </w:rPr>
        <w:t xml:space="preserve"> found </w:t>
      </w:r>
      <w:r w:rsidRPr="00647124" w:rsidR="00DA56D2">
        <w:rPr>
          <w:szCs w:val="22"/>
        </w:rPr>
        <w:t xml:space="preserve">that the ownership of the License during the time period at issue was certain and that </w:t>
      </w:r>
      <w:r w:rsidRPr="00647124" w:rsidR="00DA56D2">
        <w:rPr>
          <w:szCs w:val="22"/>
        </w:rPr>
        <w:t>Commnet</w:t>
      </w:r>
      <w:r w:rsidRPr="00647124" w:rsidR="00DA56D2">
        <w:rPr>
          <w:szCs w:val="22"/>
        </w:rPr>
        <w:t xml:space="preserve"> made voluntary business decisions that contributed to its failure to m</w:t>
      </w:r>
      <w:r w:rsidRPr="00647124" w:rsidR="009B035B">
        <w:rPr>
          <w:szCs w:val="22"/>
        </w:rPr>
        <w:t>eet the ten-</w:t>
      </w:r>
      <w:r w:rsidRPr="00647124" w:rsidR="001130F8">
        <w:rPr>
          <w:szCs w:val="22"/>
        </w:rPr>
        <w:t>year build-</w:t>
      </w:r>
      <w:r w:rsidRPr="00647124" w:rsidR="00DA56D2">
        <w:rPr>
          <w:szCs w:val="22"/>
        </w:rPr>
        <w:t>out deadline.</w:t>
      </w:r>
      <w:r>
        <w:rPr>
          <w:rStyle w:val="FootnoteReference"/>
          <w:szCs w:val="22"/>
        </w:rPr>
        <w:footnoteReference w:id="48"/>
      </w:r>
      <w:r w:rsidRPr="00647124" w:rsidR="00F47E02">
        <w:rPr>
          <w:szCs w:val="22"/>
        </w:rPr>
        <w:t xml:space="preserve">  T</w:t>
      </w:r>
      <w:r w:rsidRPr="00647124" w:rsidR="00DA56D2">
        <w:rPr>
          <w:szCs w:val="22"/>
        </w:rPr>
        <w:t>he Petitioners argue again that an extension of time to build was warranted because there was doubt as to the ownership of the License</w:t>
      </w:r>
      <w:r w:rsidRPr="00647124" w:rsidR="0031436F">
        <w:rPr>
          <w:szCs w:val="22"/>
        </w:rPr>
        <w:t xml:space="preserve"> caused by the avoidance challenge</w:t>
      </w:r>
      <w:r w:rsidRPr="00647124" w:rsidR="00DA56D2">
        <w:rPr>
          <w:szCs w:val="22"/>
        </w:rPr>
        <w:t xml:space="preserve"> that was a circumstance beyond </w:t>
      </w:r>
      <w:r w:rsidRPr="00647124" w:rsidR="00DA56D2">
        <w:rPr>
          <w:szCs w:val="22"/>
        </w:rPr>
        <w:t>Commnet’s</w:t>
      </w:r>
      <w:r w:rsidRPr="00647124" w:rsidR="00DA56D2">
        <w:rPr>
          <w:szCs w:val="22"/>
        </w:rPr>
        <w:t xml:space="preserve"> control.</w:t>
      </w:r>
      <w:r>
        <w:rPr>
          <w:rStyle w:val="FootnoteReference"/>
          <w:szCs w:val="22"/>
        </w:rPr>
        <w:footnoteReference w:id="49"/>
      </w:r>
    </w:p>
    <w:p w:rsidR="00AC05DD" w:rsidRPr="00647124" w:rsidP="00647124">
      <w:pPr>
        <w:pStyle w:val="Heading1"/>
        <w:jc w:val="left"/>
        <w:rPr>
          <w:szCs w:val="22"/>
        </w:rPr>
      </w:pPr>
      <w:r w:rsidRPr="00647124">
        <w:rPr>
          <w:szCs w:val="22"/>
        </w:rPr>
        <w:t>discussion</w:t>
      </w:r>
    </w:p>
    <w:p w:rsidR="00E249AE" w:rsidRPr="00647124" w:rsidP="00647124">
      <w:pPr>
        <w:pStyle w:val="ParaNum"/>
        <w:jc w:val="left"/>
        <w:rPr>
          <w:szCs w:val="22"/>
        </w:rPr>
      </w:pPr>
      <w:r>
        <w:rPr>
          <w:i/>
          <w:szCs w:val="22"/>
          <w:u w:val="single"/>
        </w:rPr>
        <w:t>Waiver Request</w:t>
      </w:r>
      <w:r w:rsidR="005A14BA">
        <w:rPr>
          <w:i/>
          <w:szCs w:val="22"/>
          <w:u w:val="single"/>
        </w:rPr>
        <w:t xml:space="preserve"> Denial</w:t>
      </w:r>
      <w:r w:rsidRPr="00BF2765" w:rsidR="00102FB5">
        <w:rPr>
          <w:szCs w:val="22"/>
        </w:rPr>
        <w:t xml:space="preserve">.  </w:t>
      </w:r>
      <w:r w:rsidRPr="00BF2765" w:rsidR="00BF2765">
        <w:rPr>
          <w:szCs w:val="22"/>
        </w:rPr>
        <w:t>We first address Petitioners</w:t>
      </w:r>
      <w:r w:rsidR="009A095C">
        <w:rPr>
          <w:szCs w:val="22"/>
        </w:rPr>
        <w:t>’</w:t>
      </w:r>
      <w:r w:rsidRPr="00BF2765" w:rsidR="00BF2765">
        <w:rPr>
          <w:szCs w:val="22"/>
        </w:rPr>
        <w:t xml:space="preserve"> argument that the Division erred when </w:t>
      </w:r>
      <w:r w:rsidR="00164413">
        <w:rPr>
          <w:szCs w:val="22"/>
        </w:rPr>
        <w:t>it</w:t>
      </w:r>
      <w:r w:rsidRPr="00BF2765" w:rsidR="00BF2765">
        <w:rPr>
          <w:szCs w:val="22"/>
        </w:rPr>
        <w:t xml:space="preserve"> found that there was no uncertainty as to the ownership of the License.  </w:t>
      </w:r>
      <w:r w:rsidRPr="00BF2765" w:rsidR="00C92D30">
        <w:rPr>
          <w:szCs w:val="22"/>
        </w:rPr>
        <w:t>Reconsideration is appropriate where the petitioner shows either a material error or omission in the original order or raises additional</w:t>
      </w:r>
      <w:r w:rsidRPr="00647124" w:rsidR="00C92D30">
        <w:rPr>
          <w:szCs w:val="22"/>
        </w:rPr>
        <w:t xml:space="preserve"> facts not </w:t>
      </w:r>
      <w:r w:rsidRPr="00980A68" w:rsidR="00C92D30">
        <w:rPr>
          <w:szCs w:val="22"/>
        </w:rPr>
        <w:t>known or not existing</w:t>
      </w:r>
      <w:r w:rsidRPr="00647124" w:rsidR="00C92D30">
        <w:rPr>
          <w:szCs w:val="22"/>
        </w:rPr>
        <w:t xml:space="preserve"> until after the petitioner’s last opportunity to respond.</w:t>
      </w:r>
      <w:r>
        <w:rPr>
          <w:rStyle w:val="FootnoteReference"/>
          <w:szCs w:val="22"/>
        </w:rPr>
        <w:footnoteReference w:id="50"/>
      </w:r>
      <w:r w:rsidRPr="00647124" w:rsidR="00531B7C">
        <w:rPr>
          <w:szCs w:val="22"/>
        </w:rPr>
        <w:t xml:space="preserve">  We find that the Petitioners have not shown material error on the part of the Division nor raised any new issues or evidence that would warrant reconsideration of the Denial Order.</w:t>
      </w:r>
    </w:p>
    <w:p w:rsidR="007A0E51" w:rsidRPr="00647124" w:rsidP="00647124">
      <w:pPr>
        <w:pStyle w:val="ParaNum"/>
        <w:jc w:val="left"/>
        <w:rPr>
          <w:szCs w:val="22"/>
        </w:rPr>
      </w:pPr>
      <w:r>
        <w:rPr>
          <w:szCs w:val="22"/>
        </w:rPr>
        <w:t>Petitioners</w:t>
      </w:r>
      <w:r w:rsidRPr="00647124" w:rsidR="00081F69">
        <w:rPr>
          <w:szCs w:val="22"/>
        </w:rPr>
        <w:t xml:space="preserve"> claim that</w:t>
      </w:r>
      <w:r w:rsidRPr="00647124" w:rsidR="00531B7C">
        <w:rPr>
          <w:szCs w:val="22"/>
        </w:rPr>
        <w:t xml:space="preserve"> the Division erred when </w:t>
      </w:r>
      <w:r w:rsidR="005C74D7">
        <w:rPr>
          <w:szCs w:val="22"/>
        </w:rPr>
        <w:t>it</w:t>
      </w:r>
      <w:r w:rsidRPr="00647124" w:rsidR="00531B7C">
        <w:rPr>
          <w:szCs w:val="22"/>
        </w:rPr>
        <w:t xml:space="preserve"> concluded that</w:t>
      </w:r>
      <w:r w:rsidRPr="00647124" w:rsidR="00670A72">
        <w:rPr>
          <w:szCs w:val="22"/>
        </w:rPr>
        <w:t xml:space="preserve"> </w:t>
      </w:r>
      <w:r w:rsidRPr="00647124" w:rsidR="00531B7C">
        <w:rPr>
          <w:szCs w:val="22"/>
        </w:rPr>
        <w:t>the ownership of the License was certain and</w:t>
      </w:r>
      <w:r w:rsidR="00D75EA7">
        <w:rPr>
          <w:szCs w:val="22"/>
        </w:rPr>
        <w:t xml:space="preserve"> that</w:t>
      </w:r>
      <w:r w:rsidRPr="00647124" w:rsidR="00531B7C">
        <w:rPr>
          <w:szCs w:val="22"/>
        </w:rPr>
        <w:t>, therefore, the failure to meet the build-out requirement was a business decision</w:t>
      </w:r>
      <w:r w:rsidRPr="00647124" w:rsidR="00081F69">
        <w:rPr>
          <w:szCs w:val="22"/>
        </w:rPr>
        <w:t xml:space="preserve"> within </w:t>
      </w:r>
      <w:r w:rsidRPr="00647124" w:rsidR="00081F69">
        <w:rPr>
          <w:szCs w:val="22"/>
        </w:rPr>
        <w:t>Commnet’s</w:t>
      </w:r>
      <w:r w:rsidRPr="00647124" w:rsidR="00081F69">
        <w:rPr>
          <w:szCs w:val="22"/>
        </w:rPr>
        <w:t xml:space="preserve"> control.</w:t>
      </w:r>
      <w:r>
        <w:rPr>
          <w:rStyle w:val="FootnoteReference"/>
          <w:szCs w:val="22"/>
        </w:rPr>
        <w:footnoteReference w:id="51"/>
      </w:r>
      <w:r w:rsidRPr="00647124" w:rsidR="00685791">
        <w:rPr>
          <w:szCs w:val="22"/>
        </w:rPr>
        <w:t xml:space="preserve">  After repeating the sequence of events surround</w:t>
      </w:r>
      <w:r w:rsidRPr="00647124" w:rsidR="00396517">
        <w:rPr>
          <w:szCs w:val="22"/>
        </w:rPr>
        <w:t>ing the failure to meet the ten-</w:t>
      </w:r>
      <w:r w:rsidRPr="00647124" w:rsidR="00685791">
        <w:rPr>
          <w:szCs w:val="22"/>
        </w:rPr>
        <w:t xml:space="preserve">year construction milestone, the Petitioners argue again that </w:t>
      </w:r>
      <w:r w:rsidRPr="00647124" w:rsidR="00685791">
        <w:rPr>
          <w:szCs w:val="22"/>
        </w:rPr>
        <w:t>Commnet</w:t>
      </w:r>
      <w:r w:rsidRPr="00647124" w:rsidR="00685791">
        <w:rPr>
          <w:szCs w:val="22"/>
        </w:rPr>
        <w:t xml:space="preserve"> was “legally paralyzed” in its ability to do anything with the License during the relevant period and that the Division “ignored” th</w:t>
      </w:r>
      <w:r w:rsidR="00164413">
        <w:rPr>
          <w:szCs w:val="22"/>
        </w:rPr>
        <w:t>ose</w:t>
      </w:r>
      <w:r w:rsidRPr="00647124" w:rsidR="00685791">
        <w:rPr>
          <w:szCs w:val="22"/>
        </w:rPr>
        <w:t xml:space="preserve"> circumstances entirely.</w:t>
      </w:r>
      <w:r>
        <w:rPr>
          <w:rStyle w:val="FootnoteReference"/>
          <w:szCs w:val="22"/>
        </w:rPr>
        <w:footnoteReference w:id="52"/>
      </w:r>
      <w:r w:rsidRPr="00647124" w:rsidR="00685791">
        <w:rPr>
          <w:szCs w:val="22"/>
        </w:rPr>
        <w:t xml:space="preserve">  The Petitioners contend that, but for the “cloud” on the License’s title, </w:t>
      </w:r>
      <w:r w:rsidRPr="00647124" w:rsidR="00685791">
        <w:rPr>
          <w:szCs w:val="22"/>
        </w:rPr>
        <w:t>Commnet</w:t>
      </w:r>
      <w:r w:rsidRPr="00647124" w:rsidR="00685791">
        <w:rPr>
          <w:szCs w:val="22"/>
        </w:rPr>
        <w:t xml:space="preserve"> “could have easily completed any necessary build-out in time.”</w:t>
      </w:r>
      <w:r>
        <w:rPr>
          <w:rStyle w:val="FootnoteReference"/>
          <w:szCs w:val="22"/>
        </w:rPr>
        <w:footnoteReference w:id="53"/>
      </w:r>
    </w:p>
    <w:p w:rsidR="00AC05DD" w:rsidRPr="00647124" w:rsidP="00647124">
      <w:pPr>
        <w:pStyle w:val="ParaNum"/>
        <w:jc w:val="left"/>
        <w:rPr>
          <w:szCs w:val="22"/>
        </w:rPr>
      </w:pPr>
      <w:r w:rsidRPr="00647124">
        <w:rPr>
          <w:szCs w:val="22"/>
        </w:rPr>
        <w:t xml:space="preserve">We </w:t>
      </w:r>
      <w:r w:rsidR="00D75EA7">
        <w:rPr>
          <w:szCs w:val="22"/>
        </w:rPr>
        <w:t xml:space="preserve">find no reason </w:t>
      </w:r>
      <w:r w:rsidRPr="00647124">
        <w:rPr>
          <w:szCs w:val="22"/>
        </w:rPr>
        <w:t xml:space="preserve">to </w:t>
      </w:r>
      <w:bookmarkStart w:id="1" w:name="_Hlk520761559"/>
      <w:r w:rsidRPr="00647124">
        <w:rPr>
          <w:szCs w:val="22"/>
        </w:rPr>
        <w:t>reconsider the</w:t>
      </w:r>
      <w:r w:rsidRPr="00647124" w:rsidR="00C36B6F">
        <w:rPr>
          <w:szCs w:val="22"/>
        </w:rPr>
        <w:t xml:space="preserve"> Petitioners’ previous argument</w:t>
      </w:r>
      <w:r w:rsidRPr="00647124">
        <w:rPr>
          <w:szCs w:val="22"/>
        </w:rPr>
        <w:t xml:space="preserve"> regarding the ownership status of the License as they have provide</w:t>
      </w:r>
      <w:r w:rsidRPr="00647124" w:rsidR="00C36B6F">
        <w:rPr>
          <w:szCs w:val="22"/>
        </w:rPr>
        <w:t>d</w:t>
      </w:r>
      <w:r w:rsidRPr="00647124">
        <w:rPr>
          <w:szCs w:val="22"/>
        </w:rPr>
        <w:t xml:space="preserve"> </w:t>
      </w:r>
      <w:r w:rsidR="00164413">
        <w:rPr>
          <w:szCs w:val="22"/>
        </w:rPr>
        <w:t xml:space="preserve">no </w:t>
      </w:r>
      <w:r w:rsidRPr="00647124">
        <w:rPr>
          <w:szCs w:val="22"/>
        </w:rPr>
        <w:t xml:space="preserve">new information </w:t>
      </w:r>
      <w:r w:rsidR="00FE7F2C">
        <w:rPr>
          <w:szCs w:val="22"/>
        </w:rPr>
        <w:t xml:space="preserve">regarding this issue </w:t>
      </w:r>
      <w:r w:rsidR="00164413">
        <w:rPr>
          <w:szCs w:val="22"/>
        </w:rPr>
        <w:t>n</w:t>
      </w:r>
      <w:r w:rsidRPr="00647124">
        <w:rPr>
          <w:szCs w:val="22"/>
        </w:rPr>
        <w:t xml:space="preserve">or shown that </w:t>
      </w:r>
      <w:r w:rsidRPr="00647124" w:rsidR="00DA0F70">
        <w:rPr>
          <w:szCs w:val="22"/>
        </w:rPr>
        <w:t xml:space="preserve">the Division made </w:t>
      </w:r>
      <w:r w:rsidRPr="00647124">
        <w:rPr>
          <w:szCs w:val="22"/>
        </w:rPr>
        <w:t>a m</w:t>
      </w:r>
      <w:r w:rsidRPr="00647124" w:rsidR="00DA0F70">
        <w:rPr>
          <w:szCs w:val="22"/>
        </w:rPr>
        <w:t>aterial legal error</w:t>
      </w:r>
      <w:bookmarkEnd w:id="1"/>
      <w:r w:rsidRPr="00647124">
        <w:rPr>
          <w:szCs w:val="22"/>
        </w:rPr>
        <w:t>.</w:t>
      </w:r>
      <w:r w:rsidRPr="00647124" w:rsidR="00C36B6F">
        <w:rPr>
          <w:szCs w:val="22"/>
        </w:rPr>
        <w:t xml:space="preserve">  To</w:t>
      </w:r>
      <w:r w:rsidRPr="00647124" w:rsidR="00DA0F70">
        <w:rPr>
          <w:szCs w:val="22"/>
        </w:rPr>
        <w:t xml:space="preserve"> the contrary, the Petitioners reiterate arguments that the Division already considered and rejected.</w:t>
      </w:r>
      <w:r w:rsidRPr="00647124" w:rsidR="00670A72">
        <w:rPr>
          <w:szCs w:val="22"/>
        </w:rPr>
        <w:t xml:space="preserve">  In their 2009 Waiver Request, the petitioners argued that an extension of time was warranted </w:t>
      </w:r>
      <w:r w:rsidRPr="00647124" w:rsidR="003E53CA">
        <w:rPr>
          <w:szCs w:val="22"/>
        </w:rPr>
        <w:t>under S</w:t>
      </w:r>
      <w:r w:rsidRPr="00647124">
        <w:rPr>
          <w:szCs w:val="22"/>
        </w:rPr>
        <w:t>ection 1.946(e) of the Commission’s rules</w:t>
      </w:r>
      <w:r>
        <w:rPr>
          <w:rStyle w:val="FootnoteReference"/>
          <w:szCs w:val="22"/>
        </w:rPr>
        <w:footnoteReference w:id="54"/>
      </w:r>
      <w:r w:rsidRPr="00647124">
        <w:rPr>
          <w:szCs w:val="22"/>
        </w:rPr>
        <w:t xml:space="preserve"> because the uncertainty surrounding the ownership of the License was caused by circumstances beyond the licensee’s control.</w:t>
      </w:r>
      <w:r>
        <w:rPr>
          <w:rStyle w:val="FootnoteReference"/>
          <w:szCs w:val="22"/>
        </w:rPr>
        <w:footnoteReference w:id="55"/>
      </w:r>
      <w:r w:rsidRPr="00647124" w:rsidR="00670A72">
        <w:rPr>
          <w:szCs w:val="22"/>
        </w:rPr>
        <w:t xml:space="preserve">  </w:t>
      </w:r>
      <w:r w:rsidR="00164413">
        <w:rPr>
          <w:szCs w:val="22"/>
        </w:rPr>
        <w:t xml:space="preserve">Citing </w:t>
      </w:r>
      <w:r w:rsidRPr="00647124" w:rsidR="00164413">
        <w:rPr>
          <w:szCs w:val="22"/>
        </w:rPr>
        <w:t xml:space="preserve">the </w:t>
      </w:r>
      <w:r w:rsidRPr="00647124" w:rsidR="00164413">
        <w:rPr>
          <w:i/>
          <w:szCs w:val="22"/>
        </w:rPr>
        <w:t>Nextwave</w:t>
      </w:r>
      <w:r w:rsidRPr="00647124" w:rsidR="00164413">
        <w:rPr>
          <w:i/>
          <w:szCs w:val="22"/>
        </w:rPr>
        <w:t>/</w:t>
      </w:r>
      <w:r w:rsidRPr="00647124" w:rsidR="00164413">
        <w:rPr>
          <w:i/>
          <w:szCs w:val="22"/>
        </w:rPr>
        <w:t>Urbancomm</w:t>
      </w:r>
      <w:r>
        <w:rPr>
          <w:rStyle w:val="FootnoteReference"/>
          <w:szCs w:val="22"/>
        </w:rPr>
        <w:footnoteReference w:id="56"/>
      </w:r>
      <w:r w:rsidRPr="00647124" w:rsidR="00164413">
        <w:rPr>
          <w:szCs w:val="22"/>
        </w:rPr>
        <w:t xml:space="preserve"> line of cases, the </w:t>
      </w:r>
      <w:r w:rsidRPr="00647124" w:rsidR="00164413">
        <w:rPr>
          <w:i/>
          <w:szCs w:val="22"/>
        </w:rPr>
        <w:t>Rainbow Broadcasting</w:t>
      </w:r>
      <w:r>
        <w:rPr>
          <w:rStyle w:val="FootnoteReference"/>
          <w:i/>
          <w:szCs w:val="22"/>
        </w:rPr>
        <w:footnoteReference w:id="57"/>
      </w:r>
      <w:r w:rsidRPr="00647124" w:rsidR="00164413">
        <w:rPr>
          <w:szCs w:val="22"/>
        </w:rPr>
        <w:t xml:space="preserve"> case, and other Commission preced</w:t>
      </w:r>
      <w:r w:rsidR="00164413">
        <w:rPr>
          <w:szCs w:val="22"/>
        </w:rPr>
        <w:t>ent to support their assertions,</w:t>
      </w:r>
      <w:r>
        <w:rPr>
          <w:rStyle w:val="FootnoteReference"/>
          <w:szCs w:val="22"/>
        </w:rPr>
        <w:footnoteReference w:id="58"/>
      </w:r>
      <w:r w:rsidR="00EA611B">
        <w:rPr>
          <w:szCs w:val="22"/>
        </w:rPr>
        <w:t xml:space="preserve"> </w:t>
      </w:r>
      <w:r w:rsidRPr="00647124" w:rsidR="00670A72">
        <w:rPr>
          <w:szCs w:val="22"/>
        </w:rPr>
        <w:t>the p</w:t>
      </w:r>
      <w:r w:rsidRPr="00647124">
        <w:rPr>
          <w:szCs w:val="22"/>
        </w:rPr>
        <w:t>etitioners claim</w:t>
      </w:r>
      <w:r w:rsidRPr="00647124" w:rsidR="00670A72">
        <w:rPr>
          <w:szCs w:val="22"/>
        </w:rPr>
        <w:t>ed</w:t>
      </w:r>
      <w:r w:rsidRPr="00647124">
        <w:rPr>
          <w:szCs w:val="22"/>
        </w:rPr>
        <w:t xml:space="preserve"> that the conflict between </w:t>
      </w:r>
      <w:r w:rsidRPr="00647124">
        <w:rPr>
          <w:szCs w:val="22"/>
        </w:rPr>
        <w:t>Commnet</w:t>
      </w:r>
      <w:r w:rsidRPr="00647124">
        <w:rPr>
          <w:szCs w:val="22"/>
        </w:rPr>
        <w:t xml:space="preserve"> and the bankruptcy estate over ownership of the License constituted a circumstance beyond the licensee’s control and “froze the station in limbo.”</w:t>
      </w:r>
      <w:r>
        <w:rPr>
          <w:rStyle w:val="FootnoteReference"/>
          <w:szCs w:val="22"/>
        </w:rPr>
        <w:footnoteReference w:id="59"/>
      </w:r>
      <w:r w:rsidRPr="00647124">
        <w:rPr>
          <w:szCs w:val="22"/>
        </w:rPr>
        <w:t xml:space="preserve">  </w:t>
      </w:r>
    </w:p>
    <w:p w:rsidR="00216B9F" w:rsidRPr="00647124" w:rsidP="00647124">
      <w:pPr>
        <w:pStyle w:val="ParaNum"/>
        <w:jc w:val="left"/>
        <w:rPr>
          <w:szCs w:val="22"/>
        </w:rPr>
      </w:pPr>
      <w:r w:rsidRPr="00647124">
        <w:rPr>
          <w:szCs w:val="22"/>
        </w:rPr>
        <w:t xml:space="preserve">In the Denial Order, the Division rejected petitioners’ arguments and found that the ownership of the License was certain and </w:t>
      </w:r>
      <w:r w:rsidRPr="00647124" w:rsidR="00536275">
        <w:rPr>
          <w:szCs w:val="22"/>
        </w:rPr>
        <w:t xml:space="preserve">that </w:t>
      </w:r>
      <w:r w:rsidRPr="00647124">
        <w:rPr>
          <w:szCs w:val="22"/>
        </w:rPr>
        <w:t xml:space="preserve">the decision not to meet the final construction milestone was a voluntary business decision completely within </w:t>
      </w:r>
      <w:r w:rsidRPr="00647124">
        <w:rPr>
          <w:szCs w:val="22"/>
        </w:rPr>
        <w:t>Commnet’s</w:t>
      </w:r>
      <w:r w:rsidRPr="00647124">
        <w:rPr>
          <w:szCs w:val="22"/>
        </w:rPr>
        <w:t xml:space="preserve"> control.</w:t>
      </w:r>
      <w:r>
        <w:rPr>
          <w:rStyle w:val="FootnoteReference"/>
          <w:szCs w:val="22"/>
        </w:rPr>
        <w:footnoteReference w:id="60"/>
      </w:r>
      <w:r w:rsidRPr="00647124" w:rsidR="00273D30">
        <w:rPr>
          <w:szCs w:val="22"/>
        </w:rPr>
        <w:t xml:space="preserve">  In their Petition for Reconsideration, the Petitioners raise </w:t>
      </w:r>
      <w:r w:rsidR="00E94826">
        <w:rPr>
          <w:szCs w:val="22"/>
        </w:rPr>
        <w:t xml:space="preserve">no </w:t>
      </w:r>
      <w:r w:rsidRPr="00647124" w:rsidR="00273D30">
        <w:rPr>
          <w:szCs w:val="22"/>
        </w:rPr>
        <w:t xml:space="preserve">new arguments in this regard, although they do </w:t>
      </w:r>
      <w:r w:rsidR="00E94826">
        <w:rPr>
          <w:szCs w:val="22"/>
        </w:rPr>
        <w:t xml:space="preserve">dispute </w:t>
      </w:r>
      <w:r w:rsidRPr="00647124" w:rsidR="00273D30">
        <w:rPr>
          <w:szCs w:val="22"/>
        </w:rPr>
        <w:t xml:space="preserve">the Division’s </w:t>
      </w:r>
      <w:r w:rsidRPr="00647124" w:rsidR="00F147E1">
        <w:rPr>
          <w:szCs w:val="22"/>
        </w:rPr>
        <w:t xml:space="preserve">use and </w:t>
      </w:r>
      <w:r w:rsidRPr="00647124" w:rsidR="00273D30">
        <w:rPr>
          <w:szCs w:val="22"/>
        </w:rPr>
        <w:t>interpretation of the case law included to support its decisions.  First, Petitioners</w:t>
      </w:r>
      <w:r w:rsidRPr="00647124" w:rsidR="00F147E1">
        <w:rPr>
          <w:szCs w:val="22"/>
        </w:rPr>
        <w:t xml:space="preserve"> seem to contend that the Division’s reliance on the </w:t>
      </w:r>
      <w:r w:rsidRPr="00647124" w:rsidR="00F147E1">
        <w:rPr>
          <w:i/>
          <w:szCs w:val="22"/>
        </w:rPr>
        <w:t>ComScape</w:t>
      </w:r>
      <w:r w:rsidRPr="00647124" w:rsidR="00F147E1">
        <w:rPr>
          <w:szCs w:val="22"/>
        </w:rPr>
        <w:t xml:space="preserve"> case is misplaced.</w:t>
      </w:r>
      <w:r>
        <w:rPr>
          <w:rStyle w:val="FootnoteReference"/>
          <w:szCs w:val="22"/>
        </w:rPr>
        <w:footnoteReference w:id="61"/>
      </w:r>
      <w:r w:rsidRPr="00647124" w:rsidR="00F147E1">
        <w:rPr>
          <w:szCs w:val="22"/>
        </w:rPr>
        <w:t xml:space="preserve">  We disagree.</w:t>
      </w:r>
      <w:r w:rsidRPr="00647124" w:rsidR="00D17BB6">
        <w:rPr>
          <w:szCs w:val="22"/>
        </w:rPr>
        <w:t xml:space="preserve">  As the Division </w:t>
      </w:r>
      <w:r w:rsidRPr="00647124" w:rsidR="00536275">
        <w:rPr>
          <w:szCs w:val="22"/>
        </w:rPr>
        <w:t xml:space="preserve">clearly </w:t>
      </w:r>
      <w:r w:rsidRPr="00647124" w:rsidR="00D17BB6">
        <w:rPr>
          <w:szCs w:val="22"/>
        </w:rPr>
        <w:t xml:space="preserve">stated, although </w:t>
      </w:r>
      <w:r w:rsidRPr="00647124" w:rsidR="00D17BB6">
        <w:rPr>
          <w:szCs w:val="22"/>
        </w:rPr>
        <w:t>Commnet</w:t>
      </w:r>
      <w:r w:rsidRPr="00647124" w:rsidR="00D17BB6">
        <w:rPr>
          <w:szCs w:val="22"/>
        </w:rPr>
        <w:t xml:space="preserve"> was not directly involved in the filing of the bankruptcy action, it did voluntarily accept the License and t</w:t>
      </w:r>
      <w:r w:rsidR="00D75EA7">
        <w:rPr>
          <w:szCs w:val="22"/>
        </w:rPr>
        <w:t>ake</w:t>
      </w:r>
      <w:r w:rsidRPr="00647124" w:rsidR="00D17BB6">
        <w:rPr>
          <w:szCs w:val="22"/>
        </w:rPr>
        <w:t xml:space="preserve"> over its construction obligations.</w:t>
      </w:r>
      <w:r w:rsidRPr="00647124" w:rsidR="00F147E1">
        <w:rPr>
          <w:szCs w:val="22"/>
        </w:rPr>
        <w:t xml:space="preserve">  The fact remains that</w:t>
      </w:r>
      <w:r w:rsidR="00E94826">
        <w:rPr>
          <w:szCs w:val="22"/>
        </w:rPr>
        <w:t>,</w:t>
      </w:r>
      <w:r w:rsidRPr="00647124" w:rsidR="00F147E1">
        <w:rPr>
          <w:szCs w:val="22"/>
        </w:rPr>
        <w:t xml:space="preserve"> both in the Waiver Request</w:t>
      </w:r>
      <w:r>
        <w:rPr>
          <w:rStyle w:val="FootnoteReference"/>
          <w:szCs w:val="22"/>
        </w:rPr>
        <w:footnoteReference w:id="62"/>
      </w:r>
      <w:r w:rsidRPr="00647124" w:rsidR="00F147E1">
        <w:rPr>
          <w:szCs w:val="22"/>
        </w:rPr>
        <w:t xml:space="preserve"> and in the Petition for Reconsideration,</w:t>
      </w:r>
      <w:r>
        <w:rPr>
          <w:rStyle w:val="FootnoteReference"/>
          <w:szCs w:val="22"/>
        </w:rPr>
        <w:footnoteReference w:id="63"/>
      </w:r>
      <w:r w:rsidRPr="00647124" w:rsidR="00F147E1">
        <w:rPr>
          <w:szCs w:val="22"/>
        </w:rPr>
        <w:t xml:space="preserve"> </w:t>
      </w:r>
      <w:r w:rsidR="006D3C4B">
        <w:rPr>
          <w:szCs w:val="22"/>
        </w:rPr>
        <w:t>P</w:t>
      </w:r>
      <w:r w:rsidRPr="00647124" w:rsidR="00F147E1">
        <w:rPr>
          <w:szCs w:val="22"/>
        </w:rPr>
        <w:t xml:space="preserve">etitioners </w:t>
      </w:r>
      <w:r w:rsidR="00C73CD5">
        <w:rPr>
          <w:szCs w:val="22"/>
        </w:rPr>
        <w:t>acknowledged</w:t>
      </w:r>
      <w:r w:rsidRPr="00647124" w:rsidR="00C73CD5">
        <w:rPr>
          <w:szCs w:val="22"/>
        </w:rPr>
        <w:t xml:space="preserve"> </w:t>
      </w:r>
      <w:r w:rsidRPr="00647124" w:rsidR="005F6FF1">
        <w:rPr>
          <w:szCs w:val="22"/>
        </w:rPr>
        <w:t xml:space="preserve">that </w:t>
      </w:r>
      <w:r w:rsidRPr="00647124" w:rsidR="005F6FF1">
        <w:rPr>
          <w:szCs w:val="22"/>
        </w:rPr>
        <w:t>Commnet</w:t>
      </w:r>
      <w:r w:rsidRPr="00647124" w:rsidR="005F6FF1">
        <w:rPr>
          <w:szCs w:val="22"/>
        </w:rPr>
        <w:t xml:space="preserve"> made a business decision not to</w:t>
      </w:r>
      <w:r w:rsidR="00EB6AC4">
        <w:rPr>
          <w:szCs w:val="22"/>
        </w:rPr>
        <w:t xml:space="preserve"> </w:t>
      </w:r>
      <w:r w:rsidRPr="00647124" w:rsidR="005F6FF1">
        <w:rPr>
          <w:szCs w:val="22"/>
        </w:rPr>
        <w:t>complete the required construction in time despite having the means to accomplish the build-out.</w:t>
      </w:r>
    </w:p>
    <w:p w:rsidR="00AC05DD" w:rsidRPr="00647124" w:rsidP="00647124">
      <w:pPr>
        <w:pStyle w:val="ParaNum"/>
        <w:jc w:val="left"/>
        <w:rPr>
          <w:b/>
          <w:szCs w:val="22"/>
        </w:rPr>
      </w:pPr>
      <w:r w:rsidRPr="00647124">
        <w:rPr>
          <w:szCs w:val="22"/>
        </w:rPr>
        <w:t xml:space="preserve">Second, </w:t>
      </w:r>
      <w:r w:rsidRPr="00647124" w:rsidR="006F72B6">
        <w:rPr>
          <w:szCs w:val="22"/>
        </w:rPr>
        <w:t xml:space="preserve">the Petitioners </w:t>
      </w:r>
      <w:r w:rsidR="00B206D2">
        <w:rPr>
          <w:szCs w:val="22"/>
        </w:rPr>
        <w:t xml:space="preserve">incorrectly </w:t>
      </w:r>
      <w:r w:rsidRPr="00647124" w:rsidR="006F72B6">
        <w:rPr>
          <w:szCs w:val="22"/>
        </w:rPr>
        <w:t xml:space="preserve">claim that the Division “never explained in any way” why the </w:t>
      </w:r>
      <w:r w:rsidRPr="00647124" w:rsidR="006F72B6">
        <w:rPr>
          <w:i/>
          <w:szCs w:val="22"/>
        </w:rPr>
        <w:t>Nextwave</w:t>
      </w:r>
      <w:r w:rsidRPr="00647124" w:rsidR="006F72B6">
        <w:rPr>
          <w:i/>
          <w:szCs w:val="22"/>
        </w:rPr>
        <w:t>/</w:t>
      </w:r>
      <w:r w:rsidRPr="00647124" w:rsidR="006F72B6">
        <w:rPr>
          <w:i/>
          <w:szCs w:val="22"/>
        </w:rPr>
        <w:t>Urbancomm</w:t>
      </w:r>
      <w:r w:rsidRPr="00647124" w:rsidR="006F72B6">
        <w:rPr>
          <w:szCs w:val="22"/>
        </w:rPr>
        <w:t xml:space="preserve"> line of cases, originally cited in the Waiver Request, are not directly applicable to the instant case.</w:t>
      </w:r>
      <w:r>
        <w:rPr>
          <w:rStyle w:val="FootnoteReference"/>
          <w:szCs w:val="22"/>
        </w:rPr>
        <w:footnoteReference w:id="64"/>
      </w:r>
      <w:r w:rsidRPr="00647124" w:rsidR="006F72B6">
        <w:rPr>
          <w:szCs w:val="22"/>
        </w:rPr>
        <w:t xml:space="preserve">  In the Denial Order, the Division specifically explained that </w:t>
      </w:r>
      <w:r w:rsidRPr="00647124">
        <w:rPr>
          <w:szCs w:val="22"/>
        </w:rPr>
        <w:t xml:space="preserve">the </w:t>
      </w:r>
      <w:r w:rsidRPr="00647124">
        <w:rPr>
          <w:i/>
          <w:szCs w:val="22"/>
        </w:rPr>
        <w:t>Nextwave</w:t>
      </w:r>
      <w:r w:rsidRPr="00647124">
        <w:rPr>
          <w:i/>
          <w:szCs w:val="22"/>
        </w:rPr>
        <w:t>/</w:t>
      </w:r>
      <w:r w:rsidRPr="00647124">
        <w:rPr>
          <w:i/>
          <w:szCs w:val="22"/>
        </w:rPr>
        <w:t>Urbancomm</w:t>
      </w:r>
      <w:r w:rsidRPr="00647124">
        <w:rPr>
          <w:i/>
          <w:szCs w:val="22"/>
        </w:rPr>
        <w:t xml:space="preserve"> </w:t>
      </w:r>
      <w:r w:rsidRPr="00647124" w:rsidR="006F72B6">
        <w:rPr>
          <w:szCs w:val="22"/>
        </w:rPr>
        <w:t>cases are not persuasive because</w:t>
      </w:r>
      <w:r w:rsidRPr="00647124">
        <w:rPr>
          <w:szCs w:val="22"/>
        </w:rPr>
        <w:t>, in those cases, the</w:t>
      </w:r>
      <w:r w:rsidR="00D129BC">
        <w:rPr>
          <w:szCs w:val="22"/>
        </w:rPr>
        <w:t>re was a</w:t>
      </w:r>
      <w:r w:rsidRPr="00647124">
        <w:rPr>
          <w:szCs w:val="22"/>
        </w:rPr>
        <w:t xml:space="preserve"> “cloud” over the licenses</w:t>
      </w:r>
      <w:r w:rsidR="00B206D2">
        <w:rPr>
          <w:szCs w:val="22"/>
        </w:rPr>
        <w:t>,</w:t>
      </w:r>
      <w:r w:rsidR="00D129BC">
        <w:rPr>
          <w:szCs w:val="22"/>
        </w:rPr>
        <w:t xml:space="preserve"> which</w:t>
      </w:r>
      <w:r w:rsidRPr="00647124">
        <w:rPr>
          <w:szCs w:val="22"/>
        </w:rPr>
        <w:t xml:space="preserve"> was directly caused by the Commission’s cancellation of the subject licenses for non-</w:t>
      </w:r>
      <w:r w:rsidRPr="00647124">
        <w:rPr>
          <w:szCs w:val="22"/>
        </w:rPr>
        <w:t>payment of debts owed to the Commission and the ensuing litigation over that decision.</w:t>
      </w:r>
      <w:r>
        <w:rPr>
          <w:rStyle w:val="FootnoteReference"/>
          <w:szCs w:val="22"/>
        </w:rPr>
        <w:footnoteReference w:id="65"/>
      </w:r>
      <w:r w:rsidRPr="00647124">
        <w:rPr>
          <w:szCs w:val="22"/>
        </w:rPr>
        <w:t xml:space="preserve">  Here, </w:t>
      </w:r>
      <w:r w:rsidRPr="00647124" w:rsidR="006F72B6">
        <w:rPr>
          <w:szCs w:val="22"/>
        </w:rPr>
        <w:t>on the other hand, as the Division noted, the Commission had</w:t>
      </w:r>
      <w:r w:rsidRPr="00647124">
        <w:rPr>
          <w:szCs w:val="22"/>
        </w:rPr>
        <w:t xml:space="preserve"> taken no prior action to cancel the License</w:t>
      </w:r>
      <w:r w:rsidR="00B206D2">
        <w:rPr>
          <w:szCs w:val="22"/>
        </w:rPr>
        <w:t>,</w:t>
      </w:r>
      <w:r w:rsidRPr="00647124">
        <w:rPr>
          <w:szCs w:val="22"/>
        </w:rPr>
        <w:t xml:space="preserve"> and</w:t>
      </w:r>
      <w:r w:rsidRPr="00647124" w:rsidR="006F72B6">
        <w:rPr>
          <w:szCs w:val="22"/>
        </w:rPr>
        <w:t xml:space="preserve"> it is undisputed</w:t>
      </w:r>
      <w:r w:rsidRPr="00647124">
        <w:rPr>
          <w:szCs w:val="22"/>
        </w:rPr>
        <w:t xml:space="preserve"> that, until June 3</w:t>
      </w:r>
      <w:r w:rsidR="005C74D7">
        <w:rPr>
          <w:szCs w:val="22"/>
        </w:rPr>
        <w:t>0, 2009, the License was active.</w:t>
      </w:r>
      <w:r>
        <w:rPr>
          <w:rStyle w:val="FootnoteReference"/>
          <w:szCs w:val="22"/>
        </w:rPr>
        <w:footnoteReference w:id="66"/>
      </w:r>
      <w:r w:rsidRPr="00647124">
        <w:rPr>
          <w:szCs w:val="22"/>
        </w:rPr>
        <w:t xml:space="preserve">  </w:t>
      </w:r>
      <w:r w:rsidR="005C74D7">
        <w:rPr>
          <w:szCs w:val="22"/>
        </w:rPr>
        <w:t xml:space="preserve">The ownership of the License was certain during the August 2008-June 2009 period that </w:t>
      </w:r>
      <w:r w:rsidR="005C74D7">
        <w:rPr>
          <w:szCs w:val="22"/>
        </w:rPr>
        <w:t>Commnet</w:t>
      </w:r>
      <w:r w:rsidR="005C74D7">
        <w:rPr>
          <w:szCs w:val="22"/>
        </w:rPr>
        <w:t>/Crossroads Sub A held the License.</w:t>
      </w:r>
    </w:p>
    <w:p w:rsidR="005A781A" w:rsidRPr="00647124" w:rsidP="00647124">
      <w:pPr>
        <w:pStyle w:val="ParaNum"/>
        <w:jc w:val="left"/>
        <w:rPr>
          <w:szCs w:val="22"/>
        </w:rPr>
      </w:pPr>
      <w:r w:rsidRPr="00647124">
        <w:rPr>
          <w:szCs w:val="22"/>
        </w:rPr>
        <w:t>Accordingly, w</w:t>
      </w:r>
      <w:r w:rsidRPr="00647124">
        <w:rPr>
          <w:szCs w:val="22"/>
        </w:rPr>
        <w:t xml:space="preserve">ith regard to the Petitioners’ claim that the Division erred in finding that </w:t>
      </w:r>
      <w:r w:rsidRPr="00647124">
        <w:rPr>
          <w:szCs w:val="22"/>
        </w:rPr>
        <w:t>Commnet’s</w:t>
      </w:r>
      <w:r w:rsidRPr="00647124">
        <w:rPr>
          <w:szCs w:val="22"/>
        </w:rPr>
        <w:t xml:space="preserve"> failure to complete construction was a voluntary business decision within its control, we find that the Petitioners have merely reiterated the same arguments that were raised in the 2009 Waiver Request</w:t>
      </w:r>
      <w:r w:rsidRPr="00647124" w:rsidR="00570F1F">
        <w:rPr>
          <w:szCs w:val="22"/>
        </w:rPr>
        <w:t xml:space="preserve"> that the Division has considered and rejected in the Denial Order.</w:t>
      </w:r>
      <w:r>
        <w:rPr>
          <w:rStyle w:val="FootnoteReference"/>
          <w:szCs w:val="22"/>
        </w:rPr>
        <w:footnoteReference w:id="67"/>
      </w:r>
      <w:r w:rsidRPr="00647124" w:rsidR="00570F1F">
        <w:rPr>
          <w:szCs w:val="22"/>
        </w:rPr>
        <w:t xml:space="preserve">  Furthermore, the Petitioners have not shown that a material legal error was </w:t>
      </w:r>
      <w:r w:rsidRPr="00647124" w:rsidR="003B2AAB">
        <w:rPr>
          <w:szCs w:val="22"/>
        </w:rPr>
        <w:t>made in the Division’s decisions</w:t>
      </w:r>
      <w:r w:rsidRPr="00647124" w:rsidR="00570F1F">
        <w:rPr>
          <w:szCs w:val="22"/>
        </w:rPr>
        <w:t xml:space="preserve"> in the Denial Order.</w:t>
      </w:r>
    </w:p>
    <w:p w:rsidR="00013194" w:rsidRPr="00647124" w:rsidP="00647124">
      <w:pPr>
        <w:pStyle w:val="ParaNum"/>
        <w:jc w:val="left"/>
        <w:rPr>
          <w:szCs w:val="22"/>
        </w:rPr>
      </w:pPr>
      <w:r>
        <w:rPr>
          <w:i/>
          <w:szCs w:val="22"/>
          <w:u w:val="single"/>
        </w:rPr>
        <w:t xml:space="preserve">Original Market </w:t>
      </w:r>
      <w:r w:rsidRPr="006A611B" w:rsidR="00283D45">
        <w:rPr>
          <w:i/>
          <w:szCs w:val="22"/>
          <w:u w:val="single"/>
        </w:rPr>
        <w:t>Construction</w:t>
      </w:r>
      <w:r w:rsidRPr="00647124" w:rsidR="00E0563E">
        <w:rPr>
          <w:szCs w:val="22"/>
        </w:rPr>
        <w:t>.</w:t>
      </w:r>
      <w:r w:rsidRPr="00647124" w:rsidR="0037578F">
        <w:rPr>
          <w:szCs w:val="22"/>
        </w:rPr>
        <w:t xml:space="preserve">  </w:t>
      </w:r>
      <w:r w:rsidRPr="00647124" w:rsidR="003E0113">
        <w:rPr>
          <w:szCs w:val="22"/>
        </w:rPr>
        <w:t xml:space="preserve">Petitioners also </w:t>
      </w:r>
      <w:r w:rsidR="00705940">
        <w:rPr>
          <w:szCs w:val="22"/>
        </w:rPr>
        <w:t>argue, for the first time,</w:t>
      </w:r>
      <w:r w:rsidRPr="00647124" w:rsidR="003E0113">
        <w:rPr>
          <w:szCs w:val="22"/>
        </w:rPr>
        <w:t xml:space="preserve"> that the original licensee,</w:t>
      </w:r>
      <w:r w:rsidRPr="00647124" w:rsidR="00396517">
        <w:rPr>
          <w:szCs w:val="22"/>
        </w:rPr>
        <w:t xml:space="preserve"> Chariton, actually met the ten-</w:t>
      </w:r>
      <w:r w:rsidRPr="00647124" w:rsidR="003E0113">
        <w:rPr>
          <w:szCs w:val="22"/>
        </w:rPr>
        <w:t xml:space="preserve">year </w:t>
      </w:r>
      <w:r w:rsidR="00675665">
        <w:rPr>
          <w:szCs w:val="22"/>
        </w:rPr>
        <w:t>construction</w:t>
      </w:r>
      <w:r w:rsidRPr="00647124" w:rsidR="003E0113">
        <w:rPr>
          <w:szCs w:val="22"/>
        </w:rPr>
        <w:t xml:space="preserve"> r</w:t>
      </w:r>
      <w:r w:rsidRPr="00647124" w:rsidR="00396517">
        <w:rPr>
          <w:szCs w:val="22"/>
        </w:rPr>
        <w:t>equirement in its original five-</w:t>
      </w:r>
      <w:r w:rsidRPr="00647124" w:rsidR="003E0113">
        <w:rPr>
          <w:szCs w:val="22"/>
        </w:rPr>
        <w:t>year build-out showing filed with the Commission in 2004.</w:t>
      </w:r>
      <w:r>
        <w:rPr>
          <w:rStyle w:val="FootnoteReference"/>
          <w:szCs w:val="22"/>
        </w:rPr>
        <w:footnoteReference w:id="68"/>
      </w:r>
      <w:r w:rsidRPr="00647124" w:rsidR="003E0113">
        <w:rPr>
          <w:szCs w:val="22"/>
        </w:rPr>
        <w:t xml:space="preserve">  </w:t>
      </w:r>
      <w:r w:rsidRPr="00647124" w:rsidR="0046410D">
        <w:rPr>
          <w:szCs w:val="22"/>
        </w:rPr>
        <w:t xml:space="preserve">Therefore, </w:t>
      </w:r>
      <w:r w:rsidRPr="00647124" w:rsidR="003E0113">
        <w:rPr>
          <w:szCs w:val="22"/>
        </w:rPr>
        <w:t>Petitioners reason, the Commission should accept the</w:t>
      </w:r>
      <w:r w:rsidRPr="00647124" w:rsidR="006E75CE">
        <w:rPr>
          <w:szCs w:val="22"/>
        </w:rPr>
        <w:t xml:space="preserve"> notification filed at the five-</w:t>
      </w:r>
      <w:r w:rsidRPr="00647124" w:rsidR="003E0113">
        <w:rPr>
          <w:szCs w:val="22"/>
        </w:rPr>
        <w:t>year bench</w:t>
      </w:r>
      <w:r w:rsidRPr="00647124" w:rsidR="006E75CE">
        <w:rPr>
          <w:szCs w:val="22"/>
        </w:rPr>
        <w:t>mark as also satisfying the ten-</w:t>
      </w:r>
      <w:r w:rsidRPr="00647124" w:rsidR="003E0113">
        <w:rPr>
          <w:szCs w:val="22"/>
        </w:rPr>
        <w:t>year milestone</w:t>
      </w:r>
      <w:r w:rsidR="00FC1EC9">
        <w:rPr>
          <w:szCs w:val="22"/>
        </w:rPr>
        <w:t>.  Under this theory,</w:t>
      </w:r>
      <w:r w:rsidRPr="00647124" w:rsidR="0046410D">
        <w:rPr>
          <w:szCs w:val="22"/>
        </w:rPr>
        <w:t xml:space="preserve"> no extension period would be</w:t>
      </w:r>
      <w:r w:rsidRPr="00647124" w:rsidR="003E0113">
        <w:rPr>
          <w:szCs w:val="22"/>
        </w:rPr>
        <w:t xml:space="preserve"> required, but rather, the Commission </w:t>
      </w:r>
      <w:r w:rsidR="00FC1EC9">
        <w:rPr>
          <w:szCs w:val="22"/>
        </w:rPr>
        <w:t>sh</w:t>
      </w:r>
      <w:r w:rsidRPr="00647124" w:rsidR="003E0113">
        <w:rPr>
          <w:szCs w:val="22"/>
        </w:rPr>
        <w:t>ould renew the License “without further ado.”</w:t>
      </w:r>
      <w:r>
        <w:rPr>
          <w:rStyle w:val="FootnoteReference"/>
          <w:szCs w:val="22"/>
        </w:rPr>
        <w:footnoteReference w:id="69"/>
      </w:r>
      <w:r w:rsidRPr="00647124" w:rsidR="00C52AD9">
        <w:rPr>
          <w:szCs w:val="22"/>
        </w:rPr>
        <w:t xml:space="preserve">  The Petitioners contend in their Petition for Reconsideration that these “new facts” should be considered as required in the</w:t>
      </w:r>
      <w:r w:rsidRPr="00647124" w:rsidR="00917C4B">
        <w:rPr>
          <w:szCs w:val="22"/>
        </w:rPr>
        <w:t xml:space="preserve"> “public interest” pursuant to S</w:t>
      </w:r>
      <w:r w:rsidRPr="00647124" w:rsidR="00C52AD9">
        <w:rPr>
          <w:szCs w:val="22"/>
        </w:rPr>
        <w:t>ection 1.106(c)(2) of the Commission’s rules.</w:t>
      </w:r>
      <w:r>
        <w:rPr>
          <w:rStyle w:val="FootnoteReference"/>
          <w:szCs w:val="22"/>
        </w:rPr>
        <w:footnoteReference w:id="70"/>
      </w:r>
      <w:r w:rsidRPr="00647124" w:rsidR="005B3EE5">
        <w:rPr>
          <w:szCs w:val="22"/>
        </w:rPr>
        <w:t xml:space="preserve">  As explained below, we disagree.</w:t>
      </w:r>
    </w:p>
    <w:p w:rsidR="0018734E" w:rsidRPr="0018734E" w:rsidP="00647124">
      <w:pPr>
        <w:pStyle w:val="ParaNum"/>
        <w:jc w:val="left"/>
        <w:rPr>
          <w:szCs w:val="22"/>
        </w:rPr>
      </w:pPr>
      <w:r w:rsidRPr="00DA5219">
        <w:rPr>
          <w:szCs w:val="22"/>
        </w:rPr>
        <w:t xml:space="preserve">As </w:t>
      </w:r>
      <w:r w:rsidRPr="00DA5219" w:rsidR="00DA5219">
        <w:rPr>
          <w:szCs w:val="22"/>
        </w:rPr>
        <w:t>an initial matter, we find that Petitioners’ request that we</w:t>
      </w:r>
      <w:r w:rsidR="008351D1">
        <w:rPr>
          <w:szCs w:val="22"/>
        </w:rPr>
        <w:t xml:space="preserve"> now</w:t>
      </w:r>
      <w:r w:rsidRPr="00DA5219" w:rsidR="00DA5219">
        <w:rPr>
          <w:szCs w:val="22"/>
        </w:rPr>
        <w:t xml:space="preserve"> accept the </w:t>
      </w:r>
      <w:r w:rsidR="00B66D14">
        <w:rPr>
          <w:szCs w:val="22"/>
        </w:rPr>
        <w:t>five-year</w:t>
      </w:r>
      <w:r w:rsidRPr="00DA5219" w:rsidR="00DA5219">
        <w:rPr>
          <w:szCs w:val="22"/>
        </w:rPr>
        <w:t xml:space="preserve"> </w:t>
      </w:r>
      <w:r w:rsidR="008351D1">
        <w:rPr>
          <w:szCs w:val="22"/>
        </w:rPr>
        <w:t>build-out</w:t>
      </w:r>
      <w:r w:rsidRPr="00DA5219" w:rsidR="00DA5219">
        <w:rPr>
          <w:szCs w:val="22"/>
        </w:rPr>
        <w:t xml:space="preserve"> showing as satisfying the final construction </w:t>
      </w:r>
      <w:r w:rsidR="008351D1">
        <w:rPr>
          <w:szCs w:val="22"/>
        </w:rPr>
        <w:t>requirement</w:t>
      </w:r>
      <w:r w:rsidRPr="00DA5219" w:rsidR="00DA5219">
        <w:rPr>
          <w:szCs w:val="22"/>
        </w:rPr>
        <w:t xml:space="preserve"> is procedurally defective</w:t>
      </w:r>
      <w:r w:rsidR="008351D1">
        <w:rPr>
          <w:szCs w:val="22"/>
        </w:rPr>
        <w:t xml:space="preserve"> as this issue should have been raised in the earlier request for waiver</w:t>
      </w:r>
      <w:r w:rsidR="00366D76">
        <w:rPr>
          <w:szCs w:val="22"/>
        </w:rPr>
        <w:t xml:space="preserve">, and Petitioner has provided no public interest basis to </w:t>
      </w:r>
      <w:r w:rsidR="00B57E58">
        <w:rPr>
          <w:szCs w:val="22"/>
        </w:rPr>
        <w:t xml:space="preserve">justify our </w:t>
      </w:r>
      <w:r w:rsidR="00366D76">
        <w:rPr>
          <w:szCs w:val="22"/>
        </w:rPr>
        <w:t>consider</w:t>
      </w:r>
      <w:r w:rsidR="00B57E58">
        <w:rPr>
          <w:szCs w:val="22"/>
        </w:rPr>
        <w:t>ation of this</w:t>
      </w:r>
      <w:r w:rsidR="00366D76">
        <w:rPr>
          <w:szCs w:val="22"/>
        </w:rPr>
        <w:t xml:space="preserve"> new argument</w:t>
      </w:r>
      <w:r w:rsidR="00B57E58">
        <w:rPr>
          <w:szCs w:val="22"/>
        </w:rPr>
        <w:t xml:space="preserve"> now</w:t>
      </w:r>
      <w:r w:rsidRPr="00DA5219" w:rsidR="00DA5219">
        <w:rPr>
          <w:szCs w:val="22"/>
        </w:rPr>
        <w:t>.</w:t>
      </w:r>
      <w:r w:rsidR="00DA5219">
        <w:rPr>
          <w:szCs w:val="22"/>
        </w:rPr>
        <w:t xml:space="preserve">  P</w:t>
      </w:r>
      <w:r>
        <w:t>ursuant</w:t>
      </w:r>
      <w:r w:rsidRPr="009B40D6">
        <w:t xml:space="preserve"> to </w:t>
      </w:r>
      <w:r w:rsidR="00675665">
        <w:t xml:space="preserve">Section 1.106(c) of </w:t>
      </w:r>
      <w:r w:rsidRPr="009B40D6">
        <w:t xml:space="preserve">the Commission's rules, a petition for reconsideration that relies on facts or arguments not previously presented to the Commission may be granted only </w:t>
      </w:r>
      <w:r w:rsidR="002D0A79">
        <w:t>if those</w:t>
      </w:r>
      <w:r w:rsidRPr="009B40D6">
        <w:t xml:space="preserve"> facts or arguments</w:t>
      </w:r>
      <w:r>
        <w:t>:</w:t>
      </w:r>
      <w:r w:rsidRPr="009B40D6">
        <w:t xml:space="preserve"> (</w:t>
      </w:r>
      <w:r w:rsidR="00022708">
        <w:t>1</w:t>
      </w:r>
      <w:r w:rsidRPr="009B40D6">
        <w:t>) relate to events that have occurred or circumstances that have changed since the petitioner's last opportunity to present</w:t>
      </w:r>
      <w:r>
        <w:t xml:space="preserve"> such matters to the Commission;</w:t>
      </w:r>
      <w:r>
        <w:rPr>
          <w:rStyle w:val="FootnoteReference"/>
        </w:rPr>
        <w:footnoteReference w:id="71"/>
      </w:r>
      <w:r w:rsidRPr="009B40D6">
        <w:t xml:space="preserve"> (</w:t>
      </w:r>
      <w:r w:rsidR="00AB181E">
        <w:t>2</w:t>
      </w:r>
      <w:r w:rsidRPr="009B40D6">
        <w:t>) were unknown to the petitioner</w:t>
      </w:r>
      <w:r w:rsidR="002D0A79">
        <w:t>s</w:t>
      </w:r>
      <w:r w:rsidRPr="009B40D6">
        <w:t xml:space="preserve"> until after the last opportunity to present them to the Commission</w:t>
      </w:r>
      <w:r>
        <w:t xml:space="preserve">, and </w:t>
      </w:r>
      <w:r w:rsidR="002D0A79">
        <w:t>t</w:t>
      </w:r>
      <w:r>
        <w:t>he</w:t>
      </w:r>
      <w:r w:rsidR="002D0A79">
        <w:t>y</w:t>
      </w:r>
      <w:r>
        <w:t xml:space="preserve"> could not through the exercise of ordinary diligence have learned of the facts or arguments in question prior to such opportunity;</w:t>
      </w:r>
      <w:r>
        <w:rPr>
          <w:rStyle w:val="FootnoteReference"/>
        </w:rPr>
        <w:footnoteReference w:id="72"/>
      </w:r>
      <w:r w:rsidRPr="009B40D6">
        <w:t xml:space="preserve"> or</w:t>
      </w:r>
      <w:r w:rsidR="005A5E3D">
        <w:t xml:space="preserve">, as Petitioners </w:t>
      </w:r>
      <w:r w:rsidR="002560CC">
        <w:t>point out</w:t>
      </w:r>
      <w:r w:rsidR="005A5E3D">
        <w:t>,</w:t>
      </w:r>
      <w:r w:rsidRPr="009B40D6">
        <w:t xml:space="preserve"> (</w:t>
      </w:r>
      <w:r w:rsidR="00AB181E">
        <w:t>3</w:t>
      </w:r>
      <w:r w:rsidRPr="009B40D6">
        <w:t>) the Commission or its designee determines that consideration of the facts or arguments relied on is required in the public interest</w:t>
      </w:r>
      <w:r>
        <w:t>.</w:t>
      </w:r>
      <w:r>
        <w:rPr>
          <w:rStyle w:val="FootnoteReference"/>
        </w:rPr>
        <w:footnoteReference w:id="73"/>
      </w:r>
      <w:r>
        <w:t xml:space="preserve">  </w:t>
      </w:r>
      <w:r w:rsidR="002D0A79">
        <w:t xml:space="preserve">Here, Petitioners assert that </w:t>
      </w:r>
      <w:r w:rsidR="00675665">
        <w:t>because “the focus of the case to date has been on whether or not an extension of the build-out period is warranted, no one has focused on whether an extension of the build-out period was even required.”</w:t>
      </w:r>
      <w:r>
        <w:rPr>
          <w:rStyle w:val="FootnoteReference"/>
        </w:rPr>
        <w:footnoteReference w:id="74"/>
      </w:r>
      <w:r w:rsidR="008351D1">
        <w:t xml:space="preserve">  </w:t>
      </w:r>
      <w:r w:rsidR="00BB5B26">
        <w:t>Petitioners argue that it is the public interest to consider the “new” facts.</w:t>
      </w:r>
      <w:r>
        <w:rPr>
          <w:rStyle w:val="FootnoteReference"/>
        </w:rPr>
        <w:footnoteReference w:id="75"/>
      </w:r>
    </w:p>
    <w:p w:rsidR="00283D45" w:rsidRPr="00705940" w:rsidP="00705940">
      <w:pPr>
        <w:pStyle w:val="ParaNum"/>
        <w:jc w:val="left"/>
        <w:rPr>
          <w:szCs w:val="22"/>
        </w:rPr>
      </w:pPr>
      <w:r>
        <w:t xml:space="preserve">We find that Petitioners have </w:t>
      </w:r>
      <w:r w:rsidR="00C519AF">
        <w:t xml:space="preserve">presented </w:t>
      </w:r>
      <w:r w:rsidR="003160B8">
        <w:t xml:space="preserve">no </w:t>
      </w:r>
      <w:r w:rsidR="00C519AF">
        <w:t xml:space="preserve">argument that would </w:t>
      </w:r>
      <w:r w:rsidR="00C96393">
        <w:t>justify</w:t>
      </w:r>
      <w:r w:rsidR="00C519AF">
        <w:t xml:space="preserve"> </w:t>
      </w:r>
      <w:r w:rsidR="003160B8">
        <w:t xml:space="preserve">its </w:t>
      </w:r>
      <w:r w:rsidR="00C519AF">
        <w:t xml:space="preserve">failure to raise the </w:t>
      </w:r>
      <w:r w:rsidR="00C519AF">
        <w:t>construction argument in the Waiver Request.  First</w:t>
      </w:r>
      <w:r w:rsidR="006B446C">
        <w:t>, given</w:t>
      </w:r>
      <w:r w:rsidR="000A7A8B">
        <w:t xml:space="preserve"> that the core issue </w:t>
      </w:r>
      <w:r w:rsidR="0023001B">
        <w:t>in</w:t>
      </w:r>
      <w:r w:rsidR="000A7A8B">
        <w:t xml:space="preserve"> this matter </w:t>
      </w:r>
      <w:r w:rsidR="001759B6">
        <w:t>was the licensee’</w:t>
      </w:r>
      <w:r w:rsidR="00C519AF">
        <w:t>s obligation</w:t>
      </w:r>
      <w:r w:rsidR="000A7A8B">
        <w:t xml:space="preserve"> </w:t>
      </w:r>
      <w:r w:rsidR="0023001B">
        <w:t>to</w:t>
      </w:r>
      <w:r w:rsidR="00F735CD">
        <w:t xml:space="preserve"> comply with</w:t>
      </w:r>
      <w:r w:rsidR="0023001B">
        <w:t xml:space="preserve"> </w:t>
      </w:r>
      <w:r w:rsidR="001759B6">
        <w:t xml:space="preserve">the Commission’s construction requirements, </w:t>
      </w:r>
      <w:r>
        <w:t xml:space="preserve">it is </w:t>
      </w:r>
      <w:r w:rsidR="00923C89">
        <w:t xml:space="preserve">implausible </w:t>
      </w:r>
      <w:r>
        <w:t xml:space="preserve">that </w:t>
      </w:r>
      <w:r w:rsidR="00E90A72">
        <w:t>Commnet</w:t>
      </w:r>
      <w:r w:rsidR="00E90A72">
        <w:t xml:space="preserve"> and</w:t>
      </w:r>
      <w:r w:rsidR="00C519AF">
        <w:t xml:space="preserve"> Crossroads Sub</w:t>
      </w:r>
      <w:r w:rsidR="001759B6">
        <w:t xml:space="preserve"> </w:t>
      </w:r>
      <w:r w:rsidR="006B446C">
        <w:t xml:space="preserve">would not have </w:t>
      </w:r>
      <w:r w:rsidR="00923C89">
        <w:t xml:space="preserve">considered whether that obligation had already been met and would not have </w:t>
      </w:r>
      <w:r w:rsidR="00C519AF">
        <w:t>known about</w:t>
      </w:r>
      <w:r w:rsidR="00C96393">
        <w:t xml:space="preserve"> or sought information regarding</w:t>
      </w:r>
      <w:r w:rsidR="006B446C">
        <w:t xml:space="preserve"> the previous </w:t>
      </w:r>
      <w:r w:rsidR="001759B6">
        <w:t>level of construction associated with this</w:t>
      </w:r>
      <w:r w:rsidR="000A7A8B">
        <w:t xml:space="preserve"> license and</w:t>
      </w:r>
      <w:r w:rsidR="001759B6">
        <w:t xml:space="preserve"> market.  </w:t>
      </w:r>
      <w:r w:rsidR="00F735CD">
        <w:t xml:space="preserve">Further, </w:t>
      </w:r>
      <w:r w:rsidR="00C519AF">
        <w:t xml:space="preserve">to the extent that </w:t>
      </w:r>
      <w:r w:rsidR="00E90A72">
        <w:t>they</w:t>
      </w:r>
      <w:r w:rsidR="00C519AF">
        <w:t xml:space="preserve"> did not know this information, </w:t>
      </w:r>
      <w:r w:rsidR="00F735CD">
        <w:t>a</w:t>
      </w:r>
      <w:r w:rsidR="006B446C">
        <w:t xml:space="preserve"> routine search of the license record in the </w:t>
      </w:r>
      <w:r w:rsidR="000A7A8B">
        <w:t>Commission’s Univ</w:t>
      </w:r>
      <w:r w:rsidR="0023001B">
        <w:t>ersal Licensing System (ULS)</w:t>
      </w:r>
      <w:r w:rsidR="00F735CD">
        <w:t xml:space="preserve"> would have revealed the construction notification and supporting documents filed by Chariton with respect to the Jefferson County, MO BTA.</w:t>
      </w:r>
      <w:r w:rsidR="0023001B">
        <w:t xml:space="preserve"> </w:t>
      </w:r>
      <w:r w:rsidR="00AB181E">
        <w:t xml:space="preserve"> </w:t>
      </w:r>
      <w:r w:rsidR="00923C89">
        <w:t xml:space="preserve">Indeed, the information that Petitioners rely on now was equally available in </w:t>
      </w:r>
      <w:r w:rsidR="00B33530">
        <w:t>April 2009 when the Original Waiver Request was filed</w:t>
      </w:r>
      <w:r w:rsidR="00923C89">
        <w:t xml:space="preserve">.  </w:t>
      </w:r>
      <w:r w:rsidR="00EF5565">
        <w:t>Accordingly,</w:t>
      </w:r>
      <w:r w:rsidR="007F1FC8">
        <w:t xml:space="preserve"> issues regarding</w:t>
      </w:r>
      <w:r w:rsidR="00EF5565">
        <w:t xml:space="preserve"> </w:t>
      </w:r>
      <w:r>
        <w:t>the status</w:t>
      </w:r>
      <w:r w:rsidR="007F1FC8">
        <w:t xml:space="preserve"> or extent</w:t>
      </w:r>
      <w:r>
        <w:t xml:space="preserve"> of construction associated with this license </w:t>
      </w:r>
      <w:r w:rsidR="00EF5565">
        <w:t>should have</w:t>
      </w:r>
      <w:r>
        <w:t xml:space="preserve"> been</w:t>
      </w:r>
      <w:r w:rsidR="00EF5565">
        <w:t xml:space="preserve"> presented </w:t>
      </w:r>
      <w:r w:rsidR="00C2285F">
        <w:t>as part of the underlying Waiver Request</w:t>
      </w:r>
      <w:r w:rsidR="007F1FC8">
        <w:t xml:space="preserve"> and cannot be considered new information.</w:t>
      </w:r>
    </w:p>
    <w:p w:rsidR="006A611B" w:rsidP="00361115">
      <w:pPr>
        <w:pStyle w:val="ParaNum"/>
        <w:jc w:val="left"/>
        <w:rPr>
          <w:szCs w:val="22"/>
        </w:rPr>
      </w:pPr>
      <w:r w:rsidRPr="00705940">
        <w:rPr>
          <w:szCs w:val="22"/>
        </w:rPr>
        <w:t xml:space="preserve">Further, we find that Petitioners have </w:t>
      </w:r>
      <w:r w:rsidR="003160B8">
        <w:rPr>
          <w:szCs w:val="22"/>
        </w:rPr>
        <w:t xml:space="preserve">failed to </w:t>
      </w:r>
      <w:r w:rsidRPr="00705940">
        <w:rPr>
          <w:szCs w:val="22"/>
        </w:rPr>
        <w:t xml:space="preserve">present a public interest </w:t>
      </w:r>
      <w:r>
        <w:rPr>
          <w:szCs w:val="22"/>
        </w:rPr>
        <w:t xml:space="preserve">rationale </w:t>
      </w:r>
      <w:r w:rsidRPr="00705940">
        <w:rPr>
          <w:szCs w:val="22"/>
        </w:rPr>
        <w:t xml:space="preserve">that </w:t>
      </w:r>
      <w:r>
        <w:rPr>
          <w:szCs w:val="22"/>
        </w:rPr>
        <w:t xml:space="preserve">requires us to consider this argument pursuant to Section 1.106(c)(2). </w:t>
      </w:r>
      <w:r w:rsidR="007C2B98">
        <w:rPr>
          <w:szCs w:val="22"/>
        </w:rPr>
        <w:t xml:space="preserve"> </w:t>
      </w:r>
      <w:r w:rsidRPr="00705940">
        <w:rPr>
          <w:szCs w:val="22"/>
        </w:rPr>
        <w:t xml:space="preserve">The Petition itself does not identify the public interest that would be advanced; Petitioners merely </w:t>
      </w:r>
      <w:r w:rsidR="003160B8">
        <w:rPr>
          <w:szCs w:val="22"/>
        </w:rPr>
        <w:t>assert</w:t>
      </w:r>
      <w:r w:rsidRPr="00705940">
        <w:rPr>
          <w:szCs w:val="22"/>
        </w:rPr>
        <w:t xml:space="preserve"> that consideration of the “new facts” is “required in the public in</w:t>
      </w:r>
      <w:r>
        <w:rPr>
          <w:szCs w:val="22"/>
        </w:rPr>
        <w:t xml:space="preserve">terest.”  </w:t>
      </w:r>
      <w:r w:rsidR="00361115">
        <w:rPr>
          <w:szCs w:val="22"/>
        </w:rPr>
        <w:t>We note that</w:t>
      </w:r>
      <w:r w:rsidRPr="00647124">
        <w:rPr>
          <w:szCs w:val="22"/>
        </w:rPr>
        <w:t xml:space="preserve"> the underlying purpose of </w:t>
      </w:r>
      <w:r w:rsidR="005C4C09">
        <w:rPr>
          <w:szCs w:val="22"/>
        </w:rPr>
        <w:t>the construction</w:t>
      </w:r>
      <w:r w:rsidRPr="00647124">
        <w:rPr>
          <w:szCs w:val="22"/>
        </w:rPr>
        <w:t xml:space="preserve"> requirements</w:t>
      </w:r>
      <w:r w:rsidR="008E1B02">
        <w:rPr>
          <w:szCs w:val="22"/>
        </w:rPr>
        <w:t xml:space="preserve"> at the core of this matter</w:t>
      </w:r>
      <w:r w:rsidRPr="00647124">
        <w:rPr>
          <w:szCs w:val="22"/>
        </w:rPr>
        <w:t xml:space="preserve"> is to ensure the efficient and effective use of spectrum.  To be sure, 47 U.S.C. § 309(j) makes it clear that the purpose of performance requirements, including construction timetables, is to “ensure prompt delivery of service to rural areas, to prevent stockpiling or warehousing of spectrum by licensees or permi</w:t>
      </w:r>
      <w:r w:rsidR="005C4C09">
        <w:rPr>
          <w:szCs w:val="22"/>
        </w:rPr>
        <w:t>t</w:t>
      </w:r>
      <w:r w:rsidRPr="00647124">
        <w:rPr>
          <w:szCs w:val="22"/>
        </w:rPr>
        <w:t>tees, and to promote investment in and rapid deployment of new technologies and service.”</w:t>
      </w:r>
      <w:r>
        <w:rPr>
          <w:rStyle w:val="FootnoteReference"/>
          <w:szCs w:val="22"/>
        </w:rPr>
        <w:footnoteReference w:id="76"/>
      </w:r>
      <w:r w:rsidRPr="00647124">
        <w:rPr>
          <w:szCs w:val="22"/>
        </w:rPr>
        <w:t xml:space="preserve">  In this case, </w:t>
      </w:r>
      <w:r w:rsidRPr="00647124">
        <w:rPr>
          <w:szCs w:val="22"/>
        </w:rPr>
        <w:t>Commnet</w:t>
      </w:r>
      <w:r w:rsidR="005C4C09">
        <w:rPr>
          <w:szCs w:val="22"/>
        </w:rPr>
        <w:t>/Crossroads Sub indicated</w:t>
      </w:r>
      <w:r w:rsidRPr="00647124">
        <w:rPr>
          <w:szCs w:val="22"/>
        </w:rPr>
        <w:t xml:space="preserve"> in </w:t>
      </w:r>
      <w:r w:rsidR="005C4C09">
        <w:rPr>
          <w:szCs w:val="22"/>
        </w:rPr>
        <w:t xml:space="preserve">the underlying waiver request </w:t>
      </w:r>
      <w:r w:rsidRPr="00647124">
        <w:rPr>
          <w:szCs w:val="22"/>
        </w:rPr>
        <w:t>that</w:t>
      </w:r>
      <w:r w:rsidR="008E1B02">
        <w:rPr>
          <w:szCs w:val="22"/>
        </w:rPr>
        <w:t xml:space="preserve"> the remaining</w:t>
      </w:r>
      <w:r w:rsidRPr="00647124">
        <w:rPr>
          <w:szCs w:val="22"/>
        </w:rPr>
        <w:t xml:space="preserve"> site had not been in use since shortly after </w:t>
      </w:r>
      <w:r w:rsidR="008E1B02">
        <w:rPr>
          <w:szCs w:val="22"/>
        </w:rPr>
        <w:t>the license</w:t>
      </w:r>
      <w:r w:rsidRPr="00647124">
        <w:rPr>
          <w:szCs w:val="22"/>
        </w:rPr>
        <w:t xml:space="preserve"> was assigned to </w:t>
      </w:r>
      <w:r w:rsidR="005C4C09">
        <w:rPr>
          <w:szCs w:val="22"/>
        </w:rPr>
        <w:t>Crossroads Sub</w:t>
      </w:r>
      <w:r w:rsidRPr="00647124">
        <w:rPr>
          <w:szCs w:val="22"/>
        </w:rPr>
        <w:t xml:space="preserve"> in 2008, “such that there are no operations under the PCS License at this time, and there will not be any unless </w:t>
      </w:r>
      <w:r w:rsidRPr="00647124">
        <w:rPr>
          <w:szCs w:val="22"/>
        </w:rPr>
        <w:t>Commnet</w:t>
      </w:r>
      <w:r w:rsidRPr="00647124">
        <w:rPr>
          <w:szCs w:val="22"/>
        </w:rPr>
        <w:t xml:space="preserve"> infuses capital to construct.”</w:t>
      </w:r>
      <w:r>
        <w:rPr>
          <w:rStyle w:val="FootnoteReference"/>
          <w:szCs w:val="22"/>
        </w:rPr>
        <w:footnoteReference w:id="77"/>
      </w:r>
      <w:r w:rsidR="00E13E59">
        <w:rPr>
          <w:szCs w:val="22"/>
        </w:rPr>
        <w:t xml:space="preserve">  Where licensed spectrum went unused</w:t>
      </w:r>
      <w:r w:rsidRPr="00647124">
        <w:rPr>
          <w:szCs w:val="22"/>
        </w:rPr>
        <w:t xml:space="preserve"> due to the voluntary business decisions of the licensee, it is not in the public interest to entertain a belated </w:t>
      </w:r>
      <w:r w:rsidR="008E1B02">
        <w:rPr>
          <w:szCs w:val="22"/>
        </w:rPr>
        <w:t>construction</w:t>
      </w:r>
      <w:r w:rsidRPr="00647124">
        <w:rPr>
          <w:szCs w:val="22"/>
        </w:rPr>
        <w:t xml:space="preserve"> argument </w:t>
      </w:r>
      <w:r w:rsidR="008E1B02">
        <w:rPr>
          <w:szCs w:val="22"/>
        </w:rPr>
        <w:t>that would, if accepted, reinstate the previous status quo</w:t>
      </w:r>
      <w:r w:rsidR="00E13E59">
        <w:rPr>
          <w:szCs w:val="22"/>
        </w:rPr>
        <w:t xml:space="preserve"> of</w:t>
      </w:r>
      <w:r w:rsidR="008E1B02">
        <w:rPr>
          <w:szCs w:val="22"/>
        </w:rPr>
        <w:t xml:space="preserve"> no service</w:t>
      </w:r>
      <w:r w:rsidR="00E13E59">
        <w:rPr>
          <w:szCs w:val="22"/>
        </w:rPr>
        <w:t xml:space="preserve"> coverage</w:t>
      </w:r>
      <w:r w:rsidR="008E1B02">
        <w:rPr>
          <w:szCs w:val="22"/>
        </w:rPr>
        <w:t xml:space="preserve"> in the licensed market</w:t>
      </w:r>
      <w:r w:rsidRPr="00647124">
        <w:rPr>
          <w:szCs w:val="22"/>
        </w:rPr>
        <w:t xml:space="preserve">.  </w:t>
      </w:r>
    </w:p>
    <w:p w:rsidR="00C15E79" w:rsidRPr="000C690C" w:rsidP="000C690C">
      <w:pPr>
        <w:pStyle w:val="ParaNum"/>
        <w:jc w:val="left"/>
        <w:rPr>
          <w:szCs w:val="22"/>
        </w:rPr>
      </w:pPr>
      <w:r w:rsidRPr="00E13E59">
        <w:rPr>
          <w:szCs w:val="22"/>
        </w:rPr>
        <w:t>Even if the Peti</w:t>
      </w:r>
      <w:r w:rsidR="00ED2016">
        <w:rPr>
          <w:szCs w:val="22"/>
        </w:rPr>
        <w:t>t</w:t>
      </w:r>
      <w:r w:rsidRPr="00E13E59">
        <w:rPr>
          <w:szCs w:val="22"/>
        </w:rPr>
        <w:t xml:space="preserve">ion were not procedurally defective, and </w:t>
      </w:r>
      <w:r w:rsidR="00923C89">
        <w:rPr>
          <w:szCs w:val="22"/>
        </w:rPr>
        <w:t xml:space="preserve">we </w:t>
      </w:r>
      <w:r w:rsidRPr="00E13E59">
        <w:rPr>
          <w:szCs w:val="22"/>
        </w:rPr>
        <w:t>were to consider such additional facts and arguments</w:t>
      </w:r>
      <w:r w:rsidRPr="00E13E59" w:rsidR="006B446C">
        <w:rPr>
          <w:szCs w:val="22"/>
        </w:rPr>
        <w:t>, Petitioners</w:t>
      </w:r>
      <w:r w:rsidRPr="00E13E59" w:rsidR="00EF5565">
        <w:rPr>
          <w:szCs w:val="22"/>
        </w:rPr>
        <w:t xml:space="preserve"> </w:t>
      </w:r>
      <w:r w:rsidRPr="00E13E59" w:rsidR="00C2285F">
        <w:rPr>
          <w:szCs w:val="22"/>
        </w:rPr>
        <w:t>cannot prevail</w:t>
      </w:r>
      <w:r w:rsidRPr="00E13E59">
        <w:rPr>
          <w:szCs w:val="22"/>
        </w:rPr>
        <w:t xml:space="preserve"> on the merits</w:t>
      </w:r>
      <w:r w:rsidRPr="00E13E59" w:rsidR="00F735CD">
        <w:rPr>
          <w:szCs w:val="22"/>
        </w:rPr>
        <w:t>.</w:t>
      </w:r>
      <w:r w:rsidRPr="00E13E59" w:rsidR="005B3EE5">
        <w:rPr>
          <w:szCs w:val="22"/>
        </w:rPr>
        <w:t xml:space="preserve"> </w:t>
      </w:r>
      <w:r w:rsidRPr="00E13E59" w:rsidR="002F114F">
        <w:rPr>
          <w:szCs w:val="22"/>
        </w:rPr>
        <w:t xml:space="preserve"> </w:t>
      </w:r>
      <w:r w:rsidRPr="00E13E59" w:rsidR="005B3EE5">
        <w:rPr>
          <w:szCs w:val="22"/>
        </w:rPr>
        <w:t xml:space="preserve">Petitioners state that they conducted an engineering review of the original showing to determine that Chariton unknowingly met its required </w:t>
      </w:r>
      <w:r w:rsidRPr="00E13E59" w:rsidR="00013194">
        <w:rPr>
          <w:szCs w:val="22"/>
        </w:rPr>
        <w:t>ten-year</w:t>
      </w:r>
      <w:r w:rsidRPr="00E13E59" w:rsidR="00EF5565">
        <w:rPr>
          <w:szCs w:val="22"/>
        </w:rPr>
        <w:t xml:space="preserve"> construction requirement</w:t>
      </w:r>
      <w:r w:rsidRPr="00E13E59" w:rsidR="005B3EE5">
        <w:rPr>
          <w:szCs w:val="22"/>
        </w:rPr>
        <w:t>.</w:t>
      </w:r>
      <w:r>
        <w:rPr>
          <w:rStyle w:val="FootnoteReference"/>
          <w:szCs w:val="22"/>
        </w:rPr>
        <w:footnoteReference w:id="78"/>
      </w:r>
      <w:r w:rsidRPr="00E13E59" w:rsidR="00757DBD">
        <w:rPr>
          <w:szCs w:val="22"/>
        </w:rPr>
        <w:t xml:space="preserve">  </w:t>
      </w:r>
      <w:r w:rsidRPr="00E13E59" w:rsidR="00013194">
        <w:rPr>
          <w:szCs w:val="22"/>
        </w:rPr>
        <w:t xml:space="preserve">The Petitioners </w:t>
      </w:r>
      <w:r w:rsidRPr="00E13E59" w:rsidR="009D1D9E">
        <w:rPr>
          <w:szCs w:val="22"/>
        </w:rPr>
        <w:t xml:space="preserve">note </w:t>
      </w:r>
      <w:r w:rsidRPr="00E13E59" w:rsidR="00013194">
        <w:rPr>
          <w:szCs w:val="22"/>
        </w:rPr>
        <w:t>that</w:t>
      </w:r>
      <w:r w:rsidRPr="00E13E59" w:rsidR="00757DBD">
        <w:rPr>
          <w:szCs w:val="22"/>
        </w:rPr>
        <w:t xml:space="preserve"> the original</w:t>
      </w:r>
      <w:r w:rsidRPr="00E13E59" w:rsidR="00EF5565">
        <w:rPr>
          <w:szCs w:val="22"/>
        </w:rPr>
        <w:t xml:space="preserve"> 2004</w:t>
      </w:r>
      <w:r w:rsidRPr="00E13E59" w:rsidR="00757DBD">
        <w:rPr>
          <w:szCs w:val="22"/>
        </w:rPr>
        <w:t xml:space="preserve"> filing </w:t>
      </w:r>
      <w:r w:rsidRPr="00E13E59" w:rsidR="000112C5">
        <w:rPr>
          <w:szCs w:val="22"/>
        </w:rPr>
        <w:t xml:space="preserve">showed </w:t>
      </w:r>
      <w:r w:rsidRPr="00E13E59" w:rsidR="00757DBD">
        <w:rPr>
          <w:szCs w:val="22"/>
        </w:rPr>
        <w:t>two sites serving the Jefferson City</w:t>
      </w:r>
      <w:r w:rsidRPr="00647124" w:rsidR="00757DBD">
        <w:rPr>
          <w:szCs w:val="22"/>
        </w:rPr>
        <w:t xml:space="preserve"> BT</w:t>
      </w:r>
      <w:r w:rsidR="000C690C">
        <w:rPr>
          <w:szCs w:val="22"/>
        </w:rPr>
        <w:t>A—</w:t>
      </w:r>
      <w:r w:rsidRPr="000C690C" w:rsidR="00757DBD">
        <w:rPr>
          <w:szCs w:val="22"/>
        </w:rPr>
        <w:t>one in Cole County and one in Callaway County</w:t>
      </w:r>
      <w:r w:rsidR="000C690C">
        <w:rPr>
          <w:szCs w:val="22"/>
        </w:rPr>
        <w:t>—</w:t>
      </w:r>
      <w:r w:rsidRPr="000C690C" w:rsidR="00757DBD">
        <w:rPr>
          <w:szCs w:val="22"/>
        </w:rPr>
        <w:t>using a signal strength level of -102 dBm.</w:t>
      </w:r>
      <w:r>
        <w:rPr>
          <w:rStyle w:val="FootnoteReference"/>
          <w:szCs w:val="22"/>
        </w:rPr>
        <w:footnoteReference w:id="79"/>
      </w:r>
      <w:r w:rsidRPr="000C690C" w:rsidR="00757DBD">
        <w:rPr>
          <w:szCs w:val="22"/>
        </w:rPr>
        <w:t xml:space="preserve">  Based on this assumption, Chariton calculated that it covered 60.3</w:t>
      </w:r>
      <w:r w:rsidRPr="000C690C" w:rsidR="00EF5565">
        <w:rPr>
          <w:szCs w:val="22"/>
        </w:rPr>
        <w:t xml:space="preserve"> percent </w:t>
      </w:r>
      <w:r w:rsidRPr="000C690C" w:rsidR="00757DBD">
        <w:rPr>
          <w:szCs w:val="22"/>
        </w:rPr>
        <w:t>of the BTA population.</w:t>
      </w:r>
      <w:r>
        <w:rPr>
          <w:rStyle w:val="FootnoteReference"/>
          <w:szCs w:val="22"/>
        </w:rPr>
        <w:footnoteReference w:id="80"/>
      </w:r>
      <w:r w:rsidRPr="000C690C" w:rsidR="00757DBD">
        <w:rPr>
          <w:szCs w:val="22"/>
        </w:rPr>
        <w:t xml:space="preserve">  This </w:t>
      </w:r>
      <w:r w:rsidRPr="000C690C" w:rsidR="006C69FC">
        <w:rPr>
          <w:szCs w:val="22"/>
        </w:rPr>
        <w:t xml:space="preserve">percentage </w:t>
      </w:r>
      <w:r w:rsidRPr="000C690C" w:rsidR="00F87EC7">
        <w:rPr>
          <w:szCs w:val="22"/>
        </w:rPr>
        <w:t>surpasses</w:t>
      </w:r>
      <w:r w:rsidRPr="000C690C" w:rsidR="006E75CE">
        <w:rPr>
          <w:szCs w:val="22"/>
        </w:rPr>
        <w:t xml:space="preserve"> the five-</w:t>
      </w:r>
      <w:r w:rsidRPr="000C690C" w:rsidR="00757DBD">
        <w:rPr>
          <w:szCs w:val="22"/>
        </w:rPr>
        <w:t>year coverage requirement of one-third</w:t>
      </w:r>
      <w:r w:rsidRPr="000C690C" w:rsidR="006C69FC">
        <w:rPr>
          <w:szCs w:val="22"/>
        </w:rPr>
        <w:t xml:space="preserve"> of the population</w:t>
      </w:r>
      <w:r w:rsidRPr="000C690C" w:rsidR="00F87EC7">
        <w:rPr>
          <w:szCs w:val="22"/>
        </w:rPr>
        <w:t>, and approaches</w:t>
      </w:r>
      <w:r w:rsidRPr="000C690C" w:rsidR="006E75CE">
        <w:rPr>
          <w:szCs w:val="22"/>
        </w:rPr>
        <w:t xml:space="preserve"> the ten-</w:t>
      </w:r>
      <w:r w:rsidRPr="000C690C" w:rsidR="00757DBD">
        <w:rPr>
          <w:szCs w:val="22"/>
        </w:rPr>
        <w:t>year coverage requirement of two-thirds which would be 66.67</w:t>
      </w:r>
      <w:r w:rsidRPr="000C690C" w:rsidR="00EF5565">
        <w:rPr>
          <w:szCs w:val="22"/>
        </w:rPr>
        <w:t xml:space="preserve"> percent</w:t>
      </w:r>
      <w:r w:rsidRPr="000C690C" w:rsidR="00757DBD">
        <w:rPr>
          <w:szCs w:val="22"/>
        </w:rPr>
        <w:t xml:space="preserve"> of the BTA population.</w:t>
      </w:r>
      <w:r>
        <w:rPr>
          <w:rStyle w:val="FootnoteReference"/>
          <w:szCs w:val="22"/>
        </w:rPr>
        <w:footnoteReference w:id="81"/>
      </w:r>
      <w:r w:rsidRPr="000C690C" w:rsidR="00FE6ED1">
        <w:rPr>
          <w:szCs w:val="22"/>
        </w:rPr>
        <w:t xml:space="preserve">  </w:t>
      </w:r>
      <w:r w:rsidR="007F5B24">
        <w:rPr>
          <w:szCs w:val="22"/>
        </w:rPr>
        <w:t>T</w:t>
      </w:r>
      <w:r w:rsidRPr="000C690C" w:rsidR="00FE6ED1">
        <w:rPr>
          <w:szCs w:val="22"/>
        </w:rPr>
        <w:t xml:space="preserve">he Petitioners </w:t>
      </w:r>
      <w:r w:rsidR="001A2DCB">
        <w:rPr>
          <w:szCs w:val="22"/>
        </w:rPr>
        <w:t xml:space="preserve">now </w:t>
      </w:r>
      <w:r w:rsidRPr="000C690C" w:rsidR="00FE6ED1">
        <w:rPr>
          <w:szCs w:val="22"/>
        </w:rPr>
        <w:t xml:space="preserve">suggest that this </w:t>
      </w:r>
      <w:r w:rsidRPr="000C690C" w:rsidR="00F87EC7">
        <w:rPr>
          <w:szCs w:val="22"/>
        </w:rPr>
        <w:t xml:space="preserve">service coverage </w:t>
      </w:r>
      <w:r w:rsidRPr="000C690C" w:rsidR="005B3EE5">
        <w:rPr>
          <w:szCs w:val="22"/>
        </w:rPr>
        <w:t>data</w:t>
      </w:r>
      <w:r w:rsidRPr="000C690C" w:rsidR="007666B6">
        <w:rPr>
          <w:szCs w:val="22"/>
        </w:rPr>
        <w:t xml:space="preserve"> from the origina</w:t>
      </w:r>
      <w:r w:rsidRPr="000C690C" w:rsidR="00F87EC7">
        <w:rPr>
          <w:szCs w:val="22"/>
        </w:rPr>
        <w:t>l</w:t>
      </w:r>
      <w:r w:rsidRPr="000C690C" w:rsidR="007666B6">
        <w:rPr>
          <w:szCs w:val="22"/>
        </w:rPr>
        <w:t xml:space="preserve"> filing </w:t>
      </w:r>
      <w:r w:rsidRPr="000C690C" w:rsidR="006E75CE">
        <w:rPr>
          <w:szCs w:val="22"/>
        </w:rPr>
        <w:t>shows that Chariton</w:t>
      </w:r>
      <w:r w:rsidRPr="000C690C" w:rsidR="00F87EC7">
        <w:rPr>
          <w:szCs w:val="22"/>
        </w:rPr>
        <w:t xml:space="preserve"> actually</w:t>
      </w:r>
      <w:r w:rsidRPr="000C690C" w:rsidR="006E75CE">
        <w:rPr>
          <w:szCs w:val="22"/>
        </w:rPr>
        <w:t xml:space="preserve"> met the ten-</w:t>
      </w:r>
      <w:r w:rsidRPr="000C690C" w:rsidR="007666B6">
        <w:rPr>
          <w:szCs w:val="22"/>
        </w:rPr>
        <w:t xml:space="preserve">year </w:t>
      </w:r>
      <w:r w:rsidRPr="000C690C" w:rsidR="00B25FF4">
        <w:rPr>
          <w:szCs w:val="22"/>
        </w:rPr>
        <w:t>construction</w:t>
      </w:r>
      <w:r w:rsidRPr="000C690C" w:rsidR="007666B6">
        <w:rPr>
          <w:szCs w:val="22"/>
        </w:rPr>
        <w:t xml:space="preserve"> benchmark in 2004 using either</w:t>
      </w:r>
      <w:r w:rsidRPr="000C690C" w:rsidR="000C690C">
        <w:rPr>
          <w:szCs w:val="22"/>
        </w:rPr>
        <w:t xml:space="preserve"> the required two-thirds population coverage benchmark</w:t>
      </w:r>
      <w:r w:rsidRPr="000C690C" w:rsidR="007666B6">
        <w:rPr>
          <w:szCs w:val="22"/>
        </w:rPr>
        <w:t xml:space="preserve"> </w:t>
      </w:r>
      <w:r w:rsidRPr="000C690C" w:rsidR="00F87EC7">
        <w:rPr>
          <w:szCs w:val="22"/>
        </w:rPr>
        <w:t xml:space="preserve">when applying </w:t>
      </w:r>
      <w:r w:rsidRPr="000C690C" w:rsidR="007666B6">
        <w:rPr>
          <w:szCs w:val="22"/>
        </w:rPr>
        <w:t xml:space="preserve">a </w:t>
      </w:r>
      <w:r w:rsidRPr="000C690C" w:rsidR="006E75CE">
        <w:rPr>
          <w:szCs w:val="22"/>
        </w:rPr>
        <w:t xml:space="preserve">different </w:t>
      </w:r>
      <w:r w:rsidRPr="000C690C" w:rsidR="007666B6">
        <w:rPr>
          <w:szCs w:val="22"/>
        </w:rPr>
        <w:t>signal level strength</w:t>
      </w:r>
      <w:r w:rsidRPr="000C690C" w:rsidR="006E75CE">
        <w:rPr>
          <w:szCs w:val="22"/>
        </w:rPr>
        <w:t xml:space="preserve"> of </w:t>
      </w:r>
      <w:r w:rsidRPr="000C690C" w:rsidR="006E75CE">
        <w:rPr>
          <w:szCs w:val="22"/>
        </w:rPr>
        <w:t>-105 dBm</w:t>
      </w:r>
      <w:r w:rsidRPr="000C690C" w:rsidR="007666B6">
        <w:rPr>
          <w:szCs w:val="22"/>
        </w:rPr>
        <w:t>,</w:t>
      </w:r>
      <w:r w:rsidR="005C477B">
        <w:rPr>
          <w:szCs w:val="22"/>
        </w:rPr>
        <w:t xml:space="preserve"> or</w:t>
      </w:r>
      <w:r w:rsidRPr="000C690C" w:rsidR="007666B6">
        <w:rPr>
          <w:szCs w:val="22"/>
        </w:rPr>
        <w:t xml:space="preserve"> </w:t>
      </w:r>
      <w:r w:rsidRPr="000C690C" w:rsidR="00B25FF4">
        <w:rPr>
          <w:szCs w:val="22"/>
        </w:rPr>
        <w:t>a rural</w:t>
      </w:r>
      <w:r w:rsidR="005C477B">
        <w:rPr>
          <w:szCs w:val="22"/>
        </w:rPr>
        <w:t xml:space="preserve"> </w:t>
      </w:r>
      <w:r w:rsidRPr="000C690C" w:rsidR="00B25FF4">
        <w:rPr>
          <w:szCs w:val="22"/>
        </w:rPr>
        <w:t>substantial service area analysis</w:t>
      </w:r>
      <w:r w:rsidRPr="000C690C" w:rsidR="007666B6">
        <w:rPr>
          <w:szCs w:val="22"/>
        </w:rPr>
        <w:t>.</w:t>
      </w:r>
      <w:r>
        <w:rPr>
          <w:rStyle w:val="FootnoteReference"/>
          <w:szCs w:val="22"/>
        </w:rPr>
        <w:footnoteReference w:id="82"/>
      </w:r>
      <w:r w:rsidR="000C690C">
        <w:rPr>
          <w:szCs w:val="22"/>
        </w:rPr>
        <w:t xml:space="preserve"> </w:t>
      </w:r>
    </w:p>
    <w:p w:rsidR="003E0113" w:rsidRPr="0086736F" w:rsidP="00647124">
      <w:pPr>
        <w:pStyle w:val="ParaNum"/>
        <w:jc w:val="left"/>
        <w:rPr>
          <w:szCs w:val="22"/>
        </w:rPr>
      </w:pPr>
      <w:r w:rsidRPr="00647124">
        <w:rPr>
          <w:szCs w:val="22"/>
        </w:rPr>
        <w:t xml:space="preserve">We first address </w:t>
      </w:r>
      <w:r w:rsidRPr="00647124" w:rsidR="00644864">
        <w:rPr>
          <w:szCs w:val="22"/>
        </w:rPr>
        <w:t xml:space="preserve">Petitioners’ application of </w:t>
      </w:r>
      <w:r w:rsidRPr="00647124" w:rsidR="006F4FFB">
        <w:rPr>
          <w:szCs w:val="22"/>
        </w:rPr>
        <w:t xml:space="preserve">what they </w:t>
      </w:r>
      <w:r w:rsidR="005B617A">
        <w:rPr>
          <w:szCs w:val="22"/>
        </w:rPr>
        <w:t>assert</w:t>
      </w:r>
      <w:r w:rsidRPr="00647124" w:rsidR="005B617A">
        <w:rPr>
          <w:szCs w:val="22"/>
        </w:rPr>
        <w:t xml:space="preserve"> </w:t>
      </w:r>
      <w:r w:rsidRPr="00647124" w:rsidR="006F4FFB">
        <w:rPr>
          <w:szCs w:val="22"/>
        </w:rPr>
        <w:t>is a</w:t>
      </w:r>
      <w:r w:rsidRPr="00647124" w:rsidR="001F12AD">
        <w:rPr>
          <w:szCs w:val="22"/>
        </w:rPr>
        <w:t xml:space="preserve"> “more realistic relia</w:t>
      </w:r>
      <w:r w:rsidRPr="00647124" w:rsidR="006F4FFB">
        <w:rPr>
          <w:szCs w:val="22"/>
        </w:rPr>
        <w:t xml:space="preserve">ble service” </w:t>
      </w:r>
      <w:r w:rsidR="005B617A">
        <w:rPr>
          <w:szCs w:val="22"/>
        </w:rPr>
        <w:t>signal strength</w:t>
      </w:r>
      <w:r w:rsidRPr="00647124" w:rsidR="005B617A">
        <w:rPr>
          <w:szCs w:val="22"/>
        </w:rPr>
        <w:t xml:space="preserve"> </w:t>
      </w:r>
      <w:r w:rsidRPr="00647124" w:rsidR="006F4FFB">
        <w:rPr>
          <w:szCs w:val="22"/>
        </w:rPr>
        <w:t>of -105 dBm</w:t>
      </w:r>
      <w:r w:rsidRPr="00647124" w:rsidR="001F12AD">
        <w:rPr>
          <w:szCs w:val="22"/>
        </w:rPr>
        <w:t xml:space="preserve"> to support their </w:t>
      </w:r>
      <w:r w:rsidRPr="00647124" w:rsidR="008E210C">
        <w:rPr>
          <w:szCs w:val="22"/>
        </w:rPr>
        <w:t>claim that Chariton met</w:t>
      </w:r>
      <w:r w:rsidRPr="00647124" w:rsidR="00A6301E">
        <w:rPr>
          <w:szCs w:val="22"/>
        </w:rPr>
        <w:t xml:space="preserve"> the </w:t>
      </w:r>
      <w:r w:rsidRPr="00647124" w:rsidR="001F12AD">
        <w:rPr>
          <w:szCs w:val="22"/>
        </w:rPr>
        <w:t>population</w:t>
      </w:r>
      <w:r w:rsidRPr="00647124" w:rsidR="00A6301E">
        <w:rPr>
          <w:szCs w:val="22"/>
        </w:rPr>
        <w:t>-based benchmark of Section 24.203(a).</w:t>
      </w:r>
      <w:r>
        <w:rPr>
          <w:rStyle w:val="FootnoteReference"/>
          <w:szCs w:val="22"/>
        </w:rPr>
        <w:footnoteReference w:id="83"/>
      </w:r>
      <w:r w:rsidRPr="00647124" w:rsidR="00F16A72">
        <w:rPr>
          <w:szCs w:val="22"/>
        </w:rPr>
        <w:t xml:space="preserve">  </w:t>
      </w:r>
      <w:r w:rsidRPr="00647124" w:rsidR="00AA49AF">
        <w:rPr>
          <w:szCs w:val="22"/>
        </w:rPr>
        <w:t>In the Petition, the P</w:t>
      </w:r>
      <w:r w:rsidRPr="00647124" w:rsidR="00BF65F0">
        <w:rPr>
          <w:szCs w:val="22"/>
        </w:rPr>
        <w:t>etitioners</w:t>
      </w:r>
      <w:r w:rsidRPr="00647124" w:rsidR="00984CAC">
        <w:rPr>
          <w:szCs w:val="22"/>
        </w:rPr>
        <w:t xml:space="preserve"> assert t</w:t>
      </w:r>
      <w:r w:rsidRPr="00647124" w:rsidR="00BF65F0">
        <w:rPr>
          <w:szCs w:val="22"/>
        </w:rPr>
        <w:t>hat -105 dBm is a “perfectly valid measure of reliable service” and is an acceptable metric to apply to Chariton’s original service.</w:t>
      </w:r>
      <w:r>
        <w:rPr>
          <w:rStyle w:val="FootnoteReference"/>
          <w:szCs w:val="22"/>
        </w:rPr>
        <w:footnoteReference w:id="84"/>
      </w:r>
      <w:r w:rsidRPr="00647124" w:rsidR="00BF65F0">
        <w:rPr>
          <w:szCs w:val="22"/>
        </w:rPr>
        <w:t xml:space="preserve">  Using this new metr</w:t>
      </w:r>
      <w:r w:rsidR="005B617A">
        <w:rPr>
          <w:szCs w:val="22"/>
        </w:rPr>
        <w:t>ic</w:t>
      </w:r>
      <w:r w:rsidRPr="00647124" w:rsidR="00BF65F0">
        <w:rPr>
          <w:szCs w:val="22"/>
        </w:rPr>
        <w:t xml:space="preserve"> to </w:t>
      </w:r>
      <w:r w:rsidR="005B617A">
        <w:rPr>
          <w:szCs w:val="22"/>
        </w:rPr>
        <w:t>calculate the extent of coverage</w:t>
      </w:r>
      <w:r w:rsidRPr="00647124" w:rsidR="005B617A">
        <w:rPr>
          <w:szCs w:val="22"/>
        </w:rPr>
        <w:t xml:space="preserve"> </w:t>
      </w:r>
      <w:r w:rsidRPr="00647124" w:rsidR="00BF65F0">
        <w:rPr>
          <w:szCs w:val="22"/>
        </w:rPr>
        <w:t>of the original cell sites, Petitioners state that Chariton served 85.99</w:t>
      </w:r>
      <w:r w:rsidR="005B617A">
        <w:rPr>
          <w:szCs w:val="22"/>
        </w:rPr>
        <w:t xml:space="preserve"> percent</w:t>
      </w:r>
      <w:r w:rsidRPr="00647124" w:rsidR="00BF65F0">
        <w:rPr>
          <w:szCs w:val="22"/>
        </w:rPr>
        <w:t xml:space="preserve"> of the areas of Callaway County and m</w:t>
      </w:r>
      <w:r w:rsidRPr="00647124" w:rsidR="00984CAC">
        <w:rPr>
          <w:szCs w:val="22"/>
        </w:rPr>
        <w:t>ore than 73</w:t>
      </w:r>
      <w:r w:rsidR="005B617A">
        <w:rPr>
          <w:szCs w:val="22"/>
        </w:rPr>
        <w:t xml:space="preserve"> percent</w:t>
      </w:r>
      <w:r w:rsidRPr="00647124" w:rsidR="00984CAC">
        <w:rPr>
          <w:szCs w:val="22"/>
        </w:rPr>
        <w:t xml:space="preserve"> of the BTA</w:t>
      </w:r>
      <w:r w:rsidRPr="00647124" w:rsidR="00BF65F0">
        <w:rPr>
          <w:szCs w:val="22"/>
        </w:rPr>
        <w:t xml:space="preserve"> population.</w:t>
      </w:r>
      <w:r>
        <w:rPr>
          <w:rStyle w:val="FootnoteReference"/>
          <w:szCs w:val="22"/>
        </w:rPr>
        <w:footnoteReference w:id="85"/>
      </w:r>
      <w:r w:rsidRPr="00647124" w:rsidR="00A4513E">
        <w:rPr>
          <w:szCs w:val="22"/>
        </w:rPr>
        <w:t xml:space="preserve">  </w:t>
      </w:r>
      <w:r w:rsidRPr="00647124" w:rsidR="00984CAC">
        <w:rPr>
          <w:szCs w:val="22"/>
        </w:rPr>
        <w:t xml:space="preserve">Accordingly, </w:t>
      </w:r>
      <w:r w:rsidRPr="0086736F" w:rsidR="00C55A3D">
        <w:rPr>
          <w:szCs w:val="22"/>
        </w:rPr>
        <w:t>Petitioners claim</w:t>
      </w:r>
      <w:r w:rsidRPr="0086736F" w:rsidR="0086736F">
        <w:rPr>
          <w:szCs w:val="22"/>
        </w:rPr>
        <w:t>,</w:t>
      </w:r>
      <w:r w:rsidRPr="0086736F" w:rsidR="00C55A3D">
        <w:rPr>
          <w:szCs w:val="22"/>
        </w:rPr>
        <w:t xml:space="preserve"> </w:t>
      </w:r>
      <w:r w:rsidRPr="0086736F" w:rsidR="008E210C">
        <w:rPr>
          <w:szCs w:val="22"/>
        </w:rPr>
        <w:t>Chariton actually met</w:t>
      </w:r>
      <w:r w:rsidRPr="0086736F" w:rsidR="00AE4338">
        <w:rPr>
          <w:szCs w:val="22"/>
        </w:rPr>
        <w:t xml:space="preserve"> </w:t>
      </w:r>
      <w:r w:rsidRPr="0086736F" w:rsidR="008E210C">
        <w:rPr>
          <w:szCs w:val="22"/>
        </w:rPr>
        <w:t>its ten-</w:t>
      </w:r>
      <w:r w:rsidRPr="0086736F" w:rsidR="00A4513E">
        <w:rPr>
          <w:szCs w:val="22"/>
        </w:rPr>
        <w:t>year</w:t>
      </w:r>
      <w:r w:rsidRPr="0086736F" w:rsidR="008E210C">
        <w:rPr>
          <w:szCs w:val="22"/>
        </w:rPr>
        <w:t xml:space="preserve"> population coverage requirement</w:t>
      </w:r>
      <w:r w:rsidRPr="0086736F" w:rsidR="00A4513E">
        <w:rPr>
          <w:szCs w:val="22"/>
        </w:rPr>
        <w:t>.</w:t>
      </w:r>
      <w:r>
        <w:rPr>
          <w:rStyle w:val="FootnoteReference"/>
          <w:szCs w:val="22"/>
        </w:rPr>
        <w:footnoteReference w:id="86"/>
      </w:r>
      <w:r w:rsidRPr="0086736F" w:rsidR="00BF65F0">
        <w:rPr>
          <w:szCs w:val="22"/>
        </w:rPr>
        <w:t xml:space="preserve"> </w:t>
      </w:r>
    </w:p>
    <w:p w:rsidR="0067727A" w:rsidP="00193F09">
      <w:pPr>
        <w:pStyle w:val="ParaNum"/>
        <w:jc w:val="left"/>
        <w:rPr>
          <w:szCs w:val="22"/>
        </w:rPr>
      </w:pPr>
      <w:r w:rsidRPr="0086736F">
        <w:rPr>
          <w:szCs w:val="22"/>
        </w:rPr>
        <w:t>We</w:t>
      </w:r>
      <w:r w:rsidRPr="0086736F" w:rsidR="00044855">
        <w:rPr>
          <w:szCs w:val="22"/>
        </w:rPr>
        <w:t xml:space="preserve"> </w:t>
      </w:r>
      <w:r w:rsidRPr="0086736F">
        <w:rPr>
          <w:szCs w:val="22"/>
        </w:rPr>
        <w:t>find, however, that</w:t>
      </w:r>
      <w:r w:rsidRPr="0086736F" w:rsidR="00044855">
        <w:rPr>
          <w:szCs w:val="22"/>
        </w:rPr>
        <w:t xml:space="preserve"> </w:t>
      </w:r>
      <w:r w:rsidRPr="0086736F" w:rsidR="00C53A50">
        <w:rPr>
          <w:szCs w:val="22"/>
        </w:rPr>
        <w:t xml:space="preserve">the coverage Chariton was providing in 2004 </w:t>
      </w:r>
      <w:r w:rsidRPr="0086736F">
        <w:rPr>
          <w:szCs w:val="22"/>
        </w:rPr>
        <w:t xml:space="preserve">cannot </w:t>
      </w:r>
      <w:r w:rsidR="00923C89">
        <w:rPr>
          <w:szCs w:val="22"/>
        </w:rPr>
        <w:t>reasonably</w:t>
      </w:r>
      <w:r w:rsidRPr="0086736F">
        <w:rPr>
          <w:szCs w:val="22"/>
        </w:rPr>
        <w:t xml:space="preserve"> be re-interpreted </w:t>
      </w:r>
      <w:r w:rsidR="00923C89">
        <w:rPr>
          <w:szCs w:val="22"/>
        </w:rPr>
        <w:t xml:space="preserve">now </w:t>
      </w:r>
      <w:r w:rsidRPr="0086736F">
        <w:rPr>
          <w:szCs w:val="22"/>
        </w:rPr>
        <w:t xml:space="preserve">to show that </w:t>
      </w:r>
      <w:r w:rsidR="00EB6B92">
        <w:rPr>
          <w:szCs w:val="22"/>
        </w:rPr>
        <w:t>Chariton</w:t>
      </w:r>
      <w:r w:rsidRPr="0086736F">
        <w:rPr>
          <w:szCs w:val="22"/>
        </w:rPr>
        <w:t xml:space="preserve"> met the two-thirds population coverage benchmark</w:t>
      </w:r>
      <w:r w:rsidRPr="0086736F" w:rsidR="00C53A50">
        <w:rPr>
          <w:szCs w:val="22"/>
        </w:rPr>
        <w:t>.</w:t>
      </w:r>
      <w:r w:rsidRPr="0086736F" w:rsidR="00A44F27">
        <w:rPr>
          <w:szCs w:val="22"/>
        </w:rPr>
        <w:t xml:space="preserve">  </w:t>
      </w:r>
      <w:r w:rsidRPr="0086736F" w:rsidR="003B59B2">
        <w:rPr>
          <w:szCs w:val="22"/>
        </w:rPr>
        <w:t xml:space="preserve">Chariton’s </w:t>
      </w:r>
      <w:r w:rsidRPr="0086736F">
        <w:rPr>
          <w:szCs w:val="22"/>
        </w:rPr>
        <w:t xml:space="preserve">construction </w:t>
      </w:r>
      <w:r w:rsidRPr="0086736F" w:rsidR="003B59B2">
        <w:rPr>
          <w:szCs w:val="22"/>
        </w:rPr>
        <w:t>showing in 2004 specifically states: “Since Chariton Valley is deploying a GSM network in the Jefferson City, MO BTA, Chariton Valley defines adequate</w:t>
      </w:r>
      <w:r w:rsidRPr="00791DED" w:rsidR="003B59B2">
        <w:rPr>
          <w:szCs w:val="22"/>
        </w:rPr>
        <w:t xml:space="preserve"> coverage as a signal strength of -102 dBm.  </w:t>
      </w:r>
      <w:r w:rsidRPr="00791DED" w:rsidR="003B59B2">
        <w:rPr>
          <w:i/>
          <w:szCs w:val="22"/>
        </w:rPr>
        <w:t>This is the lowest signal level for which a typical GSM handset can maintain a call</w:t>
      </w:r>
      <w:r w:rsidRPr="00791DED" w:rsidR="003B59B2">
        <w:rPr>
          <w:szCs w:val="22"/>
        </w:rPr>
        <w:t>.”</w:t>
      </w:r>
      <w:r>
        <w:rPr>
          <w:rStyle w:val="FootnoteReference"/>
          <w:szCs w:val="22"/>
        </w:rPr>
        <w:footnoteReference w:id="87"/>
      </w:r>
      <w:r w:rsidRPr="00791DED" w:rsidR="003B59B2">
        <w:rPr>
          <w:szCs w:val="22"/>
        </w:rPr>
        <w:t xml:space="preserve">  </w:t>
      </w:r>
      <w:r w:rsidRPr="00791DED" w:rsidR="00375130">
        <w:rPr>
          <w:szCs w:val="22"/>
        </w:rPr>
        <w:t xml:space="preserve">Here, the </w:t>
      </w:r>
      <w:r w:rsidRPr="00791DED" w:rsidR="00C53A50">
        <w:rPr>
          <w:szCs w:val="22"/>
        </w:rPr>
        <w:t xml:space="preserve">construction </w:t>
      </w:r>
      <w:r w:rsidRPr="00791DED" w:rsidR="00375130">
        <w:rPr>
          <w:szCs w:val="22"/>
        </w:rPr>
        <w:t xml:space="preserve">showing filed by the original licensee plainly </w:t>
      </w:r>
      <w:r w:rsidRPr="00791DED" w:rsidR="00C53A50">
        <w:rPr>
          <w:szCs w:val="22"/>
        </w:rPr>
        <w:t>define</w:t>
      </w:r>
      <w:r w:rsidR="0086736F">
        <w:rPr>
          <w:szCs w:val="22"/>
        </w:rPr>
        <w:t>d</w:t>
      </w:r>
      <w:r w:rsidRPr="00791DED" w:rsidR="00C53A50">
        <w:rPr>
          <w:szCs w:val="22"/>
        </w:rPr>
        <w:t xml:space="preserve"> </w:t>
      </w:r>
      <w:r w:rsidRPr="00791DED" w:rsidR="00C21698">
        <w:rPr>
          <w:szCs w:val="22"/>
        </w:rPr>
        <w:t xml:space="preserve">-102 dBm as </w:t>
      </w:r>
      <w:r w:rsidRPr="00791DED" w:rsidR="00375130">
        <w:rPr>
          <w:szCs w:val="22"/>
        </w:rPr>
        <w:t xml:space="preserve">the signal level </w:t>
      </w:r>
      <w:r w:rsidRPr="00791DED" w:rsidR="00C53A50">
        <w:rPr>
          <w:szCs w:val="22"/>
        </w:rPr>
        <w:t>by which</w:t>
      </w:r>
      <w:r w:rsidRPr="00791DED" w:rsidR="00C21698">
        <w:rPr>
          <w:szCs w:val="22"/>
        </w:rPr>
        <w:t xml:space="preserve"> it calculated the extent of adequate service being provided by its</w:t>
      </w:r>
      <w:r w:rsidRPr="00791DED" w:rsidR="00044855">
        <w:rPr>
          <w:szCs w:val="22"/>
        </w:rPr>
        <w:t xml:space="preserve"> GSM </w:t>
      </w:r>
      <w:r w:rsidRPr="00791DED" w:rsidR="00C21698">
        <w:rPr>
          <w:szCs w:val="22"/>
        </w:rPr>
        <w:t>network</w:t>
      </w:r>
      <w:r w:rsidRPr="00791DED" w:rsidR="00375130">
        <w:rPr>
          <w:szCs w:val="22"/>
        </w:rPr>
        <w:t xml:space="preserve">; </w:t>
      </w:r>
      <w:r w:rsidRPr="00791DED" w:rsidR="00A44F27">
        <w:rPr>
          <w:szCs w:val="22"/>
        </w:rPr>
        <w:t xml:space="preserve">Chariton’s own </w:t>
      </w:r>
      <w:r w:rsidRPr="00791DED" w:rsidR="00C53A50">
        <w:rPr>
          <w:szCs w:val="22"/>
        </w:rPr>
        <w:t>filing indicate</w:t>
      </w:r>
      <w:r w:rsidR="0086736F">
        <w:rPr>
          <w:szCs w:val="22"/>
        </w:rPr>
        <w:t>d</w:t>
      </w:r>
      <w:r w:rsidRPr="00791DED" w:rsidR="00C53A50">
        <w:rPr>
          <w:szCs w:val="22"/>
        </w:rPr>
        <w:t xml:space="preserve"> that it did not consider a signal level below -102 dBm (e.g. </w:t>
      </w:r>
      <w:r w:rsidRPr="00791DED" w:rsidR="00375130">
        <w:rPr>
          <w:szCs w:val="22"/>
        </w:rPr>
        <w:t>-105 dBm</w:t>
      </w:r>
      <w:r w:rsidRPr="00791DED" w:rsidR="00C53A50">
        <w:rPr>
          <w:szCs w:val="22"/>
        </w:rPr>
        <w:t>) to be</w:t>
      </w:r>
      <w:r w:rsidRPr="00791DED" w:rsidR="00375130">
        <w:rPr>
          <w:szCs w:val="22"/>
        </w:rPr>
        <w:t xml:space="preserve"> sufficient to provide adequate service</w:t>
      </w:r>
      <w:r w:rsidR="002F114F">
        <w:rPr>
          <w:szCs w:val="22"/>
        </w:rPr>
        <w:t xml:space="preserve"> with respect to the system it deployed and operated</w:t>
      </w:r>
      <w:r w:rsidRPr="00791DED" w:rsidR="00375130">
        <w:rPr>
          <w:szCs w:val="22"/>
        </w:rPr>
        <w:t xml:space="preserve">.  </w:t>
      </w:r>
      <w:r w:rsidRPr="00791DED" w:rsidR="003B59B2">
        <w:rPr>
          <w:szCs w:val="22"/>
        </w:rPr>
        <w:t>Despite</w:t>
      </w:r>
      <w:r w:rsidRPr="00791DED" w:rsidR="00375130">
        <w:rPr>
          <w:szCs w:val="22"/>
        </w:rPr>
        <w:t xml:space="preserve"> this unambiguous statement by Chariton, the Petitioners</w:t>
      </w:r>
      <w:r w:rsidRPr="00791DED" w:rsidR="00052F47">
        <w:rPr>
          <w:szCs w:val="22"/>
        </w:rPr>
        <w:t xml:space="preserve"> nevertheless claim that -105 dBm is reliable</w:t>
      </w:r>
      <w:r w:rsidR="000C1C5D">
        <w:rPr>
          <w:szCs w:val="22"/>
        </w:rPr>
        <w:t>,</w:t>
      </w:r>
      <w:r w:rsidRPr="00791DED" w:rsidR="00052F47">
        <w:rPr>
          <w:szCs w:val="22"/>
        </w:rPr>
        <w:t xml:space="preserve"> and </w:t>
      </w:r>
      <w:r w:rsidR="000C1C5D">
        <w:rPr>
          <w:szCs w:val="22"/>
        </w:rPr>
        <w:t xml:space="preserve">they </w:t>
      </w:r>
      <w:r w:rsidRPr="00791DED" w:rsidR="00052F47">
        <w:rPr>
          <w:szCs w:val="22"/>
        </w:rPr>
        <w:t xml:space="preserve">include a </w:t>
      </w:r>
      <w:r w:rsidRPr="002F114F" w:rsidR="00052F47">
        <w:rPr>
          <w:szCs w:val="22"/>
        </w:rPr>
        <w:t>Declaration</w:t>
      </w:r>
      <w:r w:rsidRPr="002F114F" w:rsidR="00A44F27">
        <w:rPr>
          <w:szCs w:val="22"/>
        </w:rPr>
        <w:t xml:space="preserve"> </w:t>
      </w:r>
      <w:r w:rsidRPr="002F114F" w:rsidR="00C21698">
        <w:rPr>
          <w:szCs w:val="22"/>
        </w:rPr>
        <w:t>suggesting</w:t>
      </w:r>
      <w:r w:rsidRPr="002F114F" w:rsidR="00052F47">
        <w:rPr>
          <w:szCs w:val="22"/>
        </w:rPr>
        <w:t xml:space="preserve"> that the Commission has “in many cases” accepted -105 dBm as a metric of reliable service.</w:t>
      </w:r>
      <w:r>
        <w:rPr>
          <w:rStyle w:val="FootnoteReference"/>
          <w:szCs w:val="22"/>
        </w:rPr>
        <w:footnoteReference w:id="88"/>
      </w:r>
      <w:r w:rsidRPr="002F114F" w:rsidR="00052F47">
        <w:rPr>
          <w:szCs w:val="22"/>
        </w:rPr>
        <w:t xml:space="preserve">  Petitioners</w:t>
      </w:r>
      <w:r w:rsidRPr="002F114F" w:rsidR="00C21698">
        <w:rPr>
          <w:szCs w:val="22"/>
        </w:rPr>
        <w:t>, however,</w:t>
      </w:r>
      <w:r w:rsidRPr="002F114F" w:rsidR="00052F47">
        <w:rPr>
          <w:szCs w:val="22"/>
        </w:rPr>
        <w:t xml:space="preserve"> do not </w:t>
      </w:r>
      <w:r w:rsidRPr="002F114F" w:rsidR="00C21698">
        <w:rPr>
          <w:szCs w:val="22"/>
        </w:rPr>
        <w:t xml:space="preserve">identify </w:t>
      </w:r>
      <w:r w:rsidRPr="002F114F" w:rsidR="00052F47">
        <w:rPr>
          <w:szCs w:val="22"/>
        </w:rPr>
        <w:t xml:space="preserve">any </w:t>
      </w:r>
      <w:r w:rsidRPr="002F114F" w:rsidR="00C21698">
        <w:rPr>
          <w:szCs w:val="22"/>
        </w:rPr>
        <w:t>specific instances</w:t>
      </w:r>
      <w:r w:rsidRPr="002F114F" w:rsidR="00052F47">
        <w:rPr>
          <w:szCs w:val="22"/>
        </w:rPr>
        <w:t>, include any other supporting documentation showing that -105 dBm i</w:t>
      </w:r>
      <w:r w:rsidRPr="002F114F" w:rsidR="00F5007D">
        <w:rPr>
          <w:szCs w:val="22"/>
        </w:rPr>
        <w:t xml:space="preserve">s an acceptable </w:t>
      </w:r>
      <w:r w:rsidRPr="002F114F" w:rsidR="00052F47">
        <w:rPr>
          <w:szCs w:val="22"/>
        </w:rPr>
        <w:t>level</w:t>
      </w:r>
      <w:r w:rsidRPr="002F114F" w:rsidR="00EB6B92">
        <w:rPr>
          <w:szCs w:val="22"/>
        </w:rPr>
        <w:t xml:space="preserve"> for the specific network that Chariton was operating</w:t>
      </w:r>
      <w:r w:rsidRPr="002F114F" w:rsidR="00C21698">
        <w:rPr>
          <w:szCs w:val="22"/>
        </w:rPr>
        <w:t xml:space="preserve">, </w:t>
      </w:r>
      <w:r w:rsidRPr="002F114F" w:rsidR="004A3715">
        <w:rPr>
          <w:szCs w:val="22"/>
        </w:rPr>
        <w:t>n</w:t>
      </w:r>
      <w:r w:rsidRPr="002F114F" w:rsidR="00C21698">
        <w:rPr>
          <w:szCs w:val="22"/>
        </w:rPr>
        <w:t>or</w:t>
      </w:r>
      <w:r w:rsidRPr="002F114F" w:rsidR="00ED4BBD">
        <w:rPr>
          <w:szCs w:val="22"/>
        </w:rPr>
        <w:t xml:space="preserve"> specify</w:t>
      </w:r>
      <w:r w:rsidRPr="002F114F" w:rsidR="00C21698">
        <w:rPr>
          <w:szCs w:val="22"/>
        </w:rPr>
        <w:t xml:space="preserve"> in what circumstances a -105 dBm signal level may be defined</w:t>
      </w:r>
      <w:r w:rsidRPr="002F114F" w:rsidR="006E53BA">
        <w:rPr>
          <w:szCs w:val="22"/>
        </w:rPr>
        <w:t xml:space="preserve"> as “adequate.”</w:t>
      </w:r>
      <w:r>
        <w:rPr>
          <w:rStyle w:val="FootnoteReference"/>
          <w:szCs w:val="22"/>
        </w:rPr>
        <w:footnoteReference w:id="89"/>
      </w:r>
      <w:r w:rsidRPr="002F114F" w:rsidR="00973804">
        <w:rPr>
          <w:szCs w:val="22"/>
        </w:rPr>
        <w:t xml:space="preserve">  </w:t>
      </w:r>
    </w:p>
    <w:p w:rsidR="00A80992" w:rsidRPr="00193F09" w:rsidP="00193F09">
      <w:pPr>
        <w:pStyle w:val="ParaNum"/>
        <w:jc w:val="left"/>
        <w:rPr>
          <w:szCs w:val="22"/>
        </w:rPr>
      </w:pPr>
      <w:r w:rsidRPr="002F114F">
        <w:rPr>
          <w:szCs w:val="22"/>
        </w:rPr>
        <w:t xml:space="preserve">Whether a particular signal level is sufficient to provide </w:t>
      </w:r>
      <w:r w:rsidRPr="002F114F" w:rsidR="0086736F">
        <w:rPr>
          <w:szCs w:val="22"/>
        </w:rPr>
        <w:t>adequate or reliable</w:t>
      </w:r>
      <w:r w:rsidRPr="002F114F">
        <w:rPr>
          <w:szCs w:val="22"/>
        </w:rPr>
        <w:t xml:space="preserve"> coverage may be affected by factors such as the technology and spectrum being used as well as a provider’s specific network </w:t>
      </w:r>
      <w:r w:rsidR="005A14BA">
        <w:rPr>
          <w:szCs w:val="22"/>
        </w:rPr>
        <w:t>(</w:t>
      </w:r>
      <w:r w:rsidR="00A07EF1">
        <w:rPr>
          <w:szCs w:val="22"/>
        </w:rPr>
        <w:t>e.g.</w:t>
      </w:r>
      <w:r w:rsidR="00193F09">
        <w:rPr>
          <w:szCs w:val="22"/>
        </w:rPr>
        <w:t>,</w:t>
      </w:r>
      <w:r w:rsidR="00A07EF1">
        <w:rPr>
          <w:szCs w:val="22"/>
        </w:rPr>
        <w:t xml:space="preserve"> </w:t>
      </w:r>
      <w:r w:rsidR="005A14BA">
        <w:rPr>
          <w:szCs w:val="22"/>
        </w:rPr>
        <w:t xml:space="preserve">the </w:t>
      </w:r>
      <w:r w:rsidR="002F114F">
        <w:rPr>
          <w:szCs w:val="22"/>
        </w:rPr>
        <w:t>configuration and equipment, including handsets</w:t>
      </w:r>
      <w:r w:rsidR="005A14BA">
        <w:rPr>
          <w:szCs w:val="22"/>
        </w:rPr>
        <w:t>, being used</w:t>
      </w:r>
      <w:r w:rsidR="002F114F">
        <w:rPr>
          <w:szCs w:val="22"/>
        </w:rPr>
        <w:t xml:space="preserve">) </w:t>
      </w:r>
      <w:r w:rsidRPr="002F114F">
        <w:rPr>
          <w:szCs w:val="22"/>
        </w:rPr>
        <w:t xml:space="preserve">and </w:t>
      </w:r>
      <w:r w:rsidR="005A14BA">
        <w:rPr>
          <w:szCs w:val="22"/>
        </w:rPr>
        <w:t>operations</w:t>
      </w:r>
      <w:r w:rsidRPr="002F114F" w:rsidR="001A2DCB">
        <w:rPr>
          <w:szCs w:val="22"/>
        </w:rPr>
        <w:t xml:space="preserve">.  </w:t>
      </w:r>
      <w:r w:rsidRPr="002F114F">
        <w:rPr>
          <w:szCs w:val="22"/>
        </w:rPr>
        <w:t>Here</w:t>
      </w:r>
      <w:r w:rsidRPr="002F114F" w:rsidR="00174202">
        <w:rPr>
          <w:szCs w:val="22"/>
        </w:rPr>
        <w:t xml:space="preserve">, while Petitioners allege broadly that -105 dBm is adequate coverage, </w:t>
      </w:r>
      <w:r w:rsidR="00923C89">
        <w:rPr>
          <w:szCs w:val="22"/>
        </w:rPr>
        <w:t>they do</w:t>
      </w:r>
      <w:r w:rsidRPr="002F114F" w:rsidR="00174202">
        <w:rPr>
          <w:szCs w:val="22"/>
        </w:rPr>
        <w:t xml:space="preserve"> not state that </w:t>
      </w:r>
      <w:r w:rsidRPr="002F114F" w:rsidR="004A3F24">
        <w:rPr>
          <w:szCs w:val="22"/>
        </w:rPr>
        <w:t xml:space="preserve">-105 dBm </w:t>
      </w:r>
      <w:r w:rsidRPr="002F114F">
        <w:rPr>
          <w:szCs w:val="22"/>
        </w:rPr>
        <w:t xml:space="preserve">was a signal level sufficient to provide adequate service </w:t>
      </w:r>
      <w:r w:rsidRPr="002F114F" w:rsidR="00B932AC">
        <w:rPr>
          <w:szCs w:val="22"/>
        </w:rPr>
        <w:t xml:space="preserve">to GSM users </w:t>
      </w:r>
      <w:r w:rsidRPr="002F114F">
        <w:rPr>
          <w:szCs w:val="22"/>
        </w:rPr>
        <w:t xml:space="preserve">based on Chariton’s </w:t>
      </w:r>
      <w:r w:rsidRPr="002F114F" w:rsidR="001A2DCB">
        <w:rPr>
          <w:szCs w:val="22"/>
        </w:rPr>
        <w:t xml:space="preserve">actual </w:t>
      </w:r>
      <w:r w:rsidRPr="002F114F">
        <w:rPr>
          <w:szCs w:val="22"/>
        </w:rPr>
        <w:t>1900 MHz GSM network and how it was operating at the time of its 2004 construction notification</w:t>
      </w:r>
      <w:r w:rsidRPr="002F114F" w:rsidR="00EB6B92">
        <w:rPr>
          <w:szCs w:val="22"/>
        </w:rPr>
        <w:t>.</w:t>
      </w:r>
      <w:r w:rsidRPr="002F114F" w:rsidR="00B51AF6">
        <w:rPr>
          <w:szCs w:val="22"/>
        </w:rPr>
        <w:t xml:space="preserve"> </w:t>
      </w:r>
      <w:r w:rsidRPr="002F114F" w:rsidR="00EB6B92">
        <w:rPr>
          <w:szCs w:val="22"/>
        </w:rPr>
        <w:t xml:space="preserve"> </w:t>
      </w:r>
      <w:r w:rsidRPr="002F114F" w:rsidR="00B51AF6">
        <w:rPr>
          <w:szCs w:val="22"/>
        </w:rPr>
        <w:t xml:space="preserve">We cannot </w:t>
      </w:r>
      <w:r w:rsidRPr="002F114F" w:rsidR="00710DBF">
        <w:rPr>
          <w:szCs w:val="22"/>
        </w:rPr>
        <w:t xml:space="preserve">now </w:t>
      </w:r>
      <w:r w:rsidRPr="002F114F" w:rsidR="00B51AF6">
        <w:rPr>
          <w:szCs w:val="22"/>
        </w:rPr>
        <w:t xml:space="preserve">substitute </w:t>
      </w:r>
      <w:r w:rsidRPr="002F114F" w:rsidR="00710DBF">
        <w:rPr>
          <w:szCs w:val="22"/>
        </w:rPr>
        <w:t>the Petitioners’ broad claim for Chariton’s construction demonstration</w:t>
      </w:r>
      <w:r w:rsidR="00193F09">
        <w:rPr>
          <w:szCs w:val="22"/>
        </w:rPr>
        <w:t>—</w:t>
      </w:r>
      <w:r w:rsidRPr="00193F09" w:rsidR="00791DED">
        <w:rPr>
          <w:szCs w:val="22"/>
        </w:rPr>
        <w:t xml:space="preserve">which was derived </w:t>
      </w:r>
      <w:r w:rsidRPr="00193F09" w:rsidR="00710DBF">
        <w:rPr>
          <w:szCs w:val="22"/>
        </w:rPr>
        <w:t>using</w:t>
      </w:r>
      <w:r w:rsidRPr="00193F09" w:rsidR="004A3715">
        <w:rPr>
          <w:szCs w:val="22"/>
        </w:rPr>
        <w:t xml:space="preserve"> actual knowledge</w:t>
      </w:r>
      <w:r w:rsidRPr="00193F09" w:rsidR="00B51AF6">
        <w:rPr>
          <w:szCs w:val="22"/>
        </w:rPr>
        <w:t xml:space="preserve"> of its own </w:t>
      </w:r>
      <w:r w:rsidRPr="00193F09" w:rsidR="00710DBF">
        <w:rPr>
          <w:szCs w:val="22"/>
        </w:rPr>
        <w:t xml:space="preserve">network and </w:t>
      </w:r>
      <w:r w:rsidRPr="00193F09" w:rsidR="00EB6B92">
        <w:rPr>
          <w:szCs w:val="22"/>
        </w:rPr>
        <w:t>coverage</w:t>
      </w:r>
      <w:r w:rsidR="00193F09">
        <w:rPr>
          <w:szCs w:val="22"/>
        </w:rPr>
        <w:t>—</w:t>
      </w:r>
      <w:r w:rsidRPr="00193F09" w:rsidR="00791DED">
        <w:rPr>
          <w:szCs w:val="22"/>
        </w:rPr>
        <w:t xml:space="preserve">that specified that the area in which Chariton was providing adequate service was defined using a </w:t>
      </w:r>
      <w:r w:rsidRPr="00193F09" w:rsidR="004A3715">
        <w:rPr>
          <w:szCs w:val="22"/>
        </w:rPr>
        <w:t>-102 d</w:t>
      </w:r>
      <w:r w:rsidRPr="00193F09" w:rsidR="00791DED">
        <w:rPr>
          <w:szCs w:val="22"/>
        </w:rPr>
        <w:t>Bm signal level.  We therefore find that the 2004 construction notification did not demonstrate that Chariton had met the two-thirds population construction requirement.</w:t>
      </w:r>
      <w:r w:rsidRPr="00193F09" w:rsidR="00B54BE9">
        <w:rPr>
          <w:szCs w:val="22"/>
        </w:rPr>
        <w:t xml:space="preserve"> </w:t>
      </w:r>
      <w:r w:rsidRPr="00193F09" w:rsidR="0074288A">
        <w:rPr>
          <w:szCs w:val="22"/>
        </w:rPr>
        <w:t xml:space="preserve"> </w:t>
      </w:r>
    </w:p>
    <w:p w:rsidR="0067727A" w:rsidP="00267FB1">
      <w:pPr>
        <w:pStyle w:val="ParaNum"/>
        <w:jc w:val="left"/>
        <w:rPr>
          <w:szCs w:val="22"/>
        </w:rPr>
      </w:pPr>
      <w:r w:rsidRPr="00746B24">
        <w:rPr>
          <w:szCs w:val="22"/>
        </w:rPr>
        <w:t xml:space="preserve">We  also </w:t>
      </w:r>
      <w:r w:rsidR="00FE67AA">
        <w:rPr>
          <w:szCs w:val="22"/>
        </w:rPr>
        <w:t xml:space="preserve">find </w:t>
      </w:r>
      <w:r w:rsidRPr="00746B24">
        <w:rPr>
          <w:szCs w:val="22"/>
        </w:rPr>
        <w:t>unpersua</w:t>
      </w:r>
      <w:r w:rsidR="00FE67AA">
        <w:rPr>
          <w:szCs w:val="22"/>
        </w:rPr>
        <w:t>sive</w:t>
      </w:r>
      <w:r w:rsidRPr="00746B24">
        <w:rPr>
          <w:szCs w:val="22"/>
        </w:rPr>
        <w:t xml:space="preserve">  </w:t>
      </w:r>
      <w:r w:rsidRPr="00746B24" w:rsidR="00E740B6">
        <w:rPr>
          <w:szCs w:val="22"/>
        </w:rPr>
        <w:t xml:space="preserve">Petitioners’ </w:t>
      </w:r>
      <w:r w:rsidRPr="00746B24" w:rsidR="00852639">
        <w:rPr>
          <w:szCs w:val="22"/>
        </w:rPr>
        <w:t xml:space="preserve">argument that Chariton unknowingly </w:t>
      </w:r>
      <w:r w:rsidRPr="00746B24" w:rsidR="00DE51F1">
        <w:rPr>
          <w:szCs w:val="22"/>
        </w:rPr>
        <w:t xml:space="preserve">met the </w:t>
      </w:r>
      <w:r w:rsidRPr="00746B24" w:rsidR="00DE51F1">
        <w:rPr>
          <w:szCs w:val="22"/>
        </w:rPr>
        <w:t>substantial service standard in its original 2004 five-year showing based on its provision of service in rural areas.</w:t>
      </w:r>
      <w:r>
        <w:rPr>
          <w:rStyle w:val="FootnoteReference"/>
          <w:szCs w:val="22"/>
        </w:rPr>
        <w:footnoteReference w:id="90"/>
      </w:r>
      <w:r w:rsidRPr="00746B24" w:rsidR="00E81A2F">
        <w:rPr>
          <w:szCs w:val="22"/>
        </w:rPr>
        <w:t xml:space="preserve">  </w:t>
      </w:r>
      <w:r w:rsidRPr="00746B24" w:rsidR="00DE51F1">
        <w:rPr>
          <w:szCs w:val="22"/>
        </w:rPr>
        <w:t>The Commission’s rules permit licensees, as an alternative to meeting the population benchmarks, to provide substantial service within their license area</w:t>
      </w:r>
      <w:r w:rsidRPr="00746B24" w:rsidR="00746B24">
        <w:rPr>
          <w:szCs w:val="22"/>
        </w:rPr>
        <w:t>s</w:t>
      </w:r>
      <w:r w:rsidRPr="00746B24" w:rsidR="00DE51F1">
        <w:rPr>
          <w:szCs w:val="22"/>
        </w:rPr>
        <w:t xml:space="preserve"> prior to the appropriate five- and ten-year deadlines.</w:t>
      </w:r>
      <w:r>
        <w:rPr>
          <w:rStyle w:val="FootnoteReference"/>
          <w:szCs w:val="22"/>
        </w:rPr>
        <w:footnoteReference w:id="91"/>
      </w:r>
      <w:r w:rsidRPr="00746B24" w:rsidR="00DE51F1">
        <w:rPr>
          <w:szCs w:val="22"/>
        </w:rPr>
        <w:t xml:space="preserve">  </w:t>
      </w:r>
      <w:r w:rsidRPr="00746B24" w:rsidR="001B38B6">
        <w:rPr>
          <w:szCs w:val="22"/>
        </w:rPr>
        <w:t>In September 2004, the Commission issued the</w:t>
      </w:r>
      <w:r w:rsidRPr="00746B24" w:rsidR="00AA1B7E">
        <w:rPr>
          <w:szCs w:val="22"/>
        </w:rPr>
        <w:t xml:space="preserve"> </w:t>
      </w:r>
      <w:r w:rsidRPr="00746B24" w:rsidR="00AA1B7E">
        <w:rPr>
          <w:i/>
          <w:szCs w:val="22"/>
        </w:rPr>
        <w:t>Rural Services Order</w:t>
      </w:r>
      <w:r w:rsidRPr="00746B24" w:rsidR="00AA1B7E">
        <w:rPr>
          <w:szCs w:val="22"/>
        </w:rPr>
        <w:t xml:space="preserve">, </w:t>
      </w:r>
      <w:r w:rsidR="00FE67AA">
        <w:rPr>
          <w:szCs w:val="22"/>
        </w:rPr>
        <w:t xml:space="preserve">in which it adopted </w:t>
      </w:r>
      <w:r w:rsidRPr="00746B24" w:rsidR="00AA1B7E">
        <w:rPr>
          <w:szCs w:val="22"/>
        </w:rPr>
        <w:t xml:space="preserve">criteria for determining substantial service in rural areas and established a safe harbor for licensees providing service in rural areas </w:t>
      </w:r>
      <w:r w:rsidR="00267FB1">
        <w:rPr>
          <w:szCs w:val="22"/>
        </w:rPr>
        <w:t>to satisfy substantial service</w:t>
      </w:r>
      <w:r w:rsidR="00FE67AA">
        <w:rPr>
          <w:szCs w:val="22"/>
        </w:rPr>
        <w:t>.</w:t>
      </w:r>
      <w:r w:rsidR="00267FB1">
        <w:rPr>
          <w:szCs w:val="22"/>
        </w:rPr>
        <w:t xml:space="preserve">  </w:t>
      </w:r>
      <w:r w:rsidR="00B50FEB">
        <w:rPr>
          <w:szCs w:val="22"/>
        </w:rPr>
        <w:t>Pursuant to t</w:t>
      </w:r>
      <w:r w:rsidR="00FE67AA">
        <w:rPr>
          <w:szCs w:val="22"/>
        </w:rPr>
        <w:t>hat safe harbor</w:t>
      </w:r>
      <w:r w:rsidR="00B50FEB">
        <w:rPr>
          <w:szCs w:val="22"/>
        </w:rPr>
        <w:t xml:space="preserve">, a licensee will be deemed to have met substantial service if it provides </w:t>
      </w:r>
      <w:r w:rsidRPr="00267FB1" w:rsidR="00AA1B7E">
        <w:rPr>
          <w:szCs w:val="22"/>
        </w:rPr>
        <w:t>coverage of at least 75</w:t>
      </w:r>
      <w:r w:rsidRPr="00267FB1" w:rsidR="00746B24">
        <w:rPr>
          <w:szCs w:val="22"/>
        </w:rPr>
        <w:t xml:space="preserve"> percent</w:t>
      </w:r>
      <w:r w:rsidRPr="00267FB1" w:rsidR="00AA1B7E">
        <w:rPr>
          <w:szCs w:val="22"/>
        </w:rPr>
        <w:t xml:space="preserve"> of the geographic a</w:t>
      </w:r>
      <w:r w:rsidRPr="00267FB1" w:rsidR="00746B24">
        <w:rPr>
          <w:szCs w:val="22"/>
        </w:rPr>
        <w:t>rea of at least 20 percent</w:t>
      </w:r>
      <w:r w:rsidRPr="00267FB1" w:rsidR="00AA1B7E">
        <w:rPr>
          <w:szCs w:val="22"/>
        </w:rPr>
        <w:t xml:space="preserve"> of the rural areas within the licensed area.</w:t>
      </w:r>
      <w:r>
        <w:rPr>
          <w:rStyle w:val="FootnoteReference"/>
          <w:szCs w:val="22"/>
        </w:rPr>
        <w:footnoteReference w:id="92"/>
      </w:r>
      <w:r w:rsidRPr="00267FB1" w:rsidR="00B0584D">
        <w:rPr>
          <w:szCs w:val="22"/>
        </w:rPr>
        <w:t xml:space="preserve">  </w:t>
      </w:r>
    </w:p>
    <w:p w:rsidR="00216B9F" w:rsidRPr="00267FB1" w:rsidP="00267FB1">
      <w:pPr>
        <w:pStyle w:val="ParaNum"/>
        <w:jc w:val="left"/>
        <w:rPr>
          <w:szCs w:val="22"/>
        </w:rPr>
      </w:pPr>
      <w:r w:rsidRPr="00267FB1">
        <w:rPr>
          <w:szCs w:val="22"/>
        </w:rPr>
        <w:t xml:space="preserve">As an alternative to the safe harbor, </w:t>
      </w:r>
      <w:r w:rsidRPr="00267FB1" w:rsidR="00B0584D">
        <w:rPr>
          <w:szCs w:val="22"/>
        </w:rPr>
        <w:t xml:space="preserve">the Commission </w:t>
      </w:r>
      <w:r w:rsidRPr="00267FB1" w:rsidR="001B38B6">
        <w:rPr>
          <w:szCs w:val="22"/>
        </w:rPr>
        <w:t>set out other</w:t>
      </w:r>
      <w:r w:rsidRPr="00267FB1" w:rsidR="00B0584D">
        <w:rPr>
          <w:szCs w:val="22"/>
        </w:rPr>
        <w:t xml:space="preserve"> criteria as</w:t>
      </w:r>
      <w:r w:rsidRPr="00267FB1" w:rsidR="00923FBA">
        <w:rPr>
          <w:szCs w:val="22"/>
        </w:rPr>
        <w:t xml:space="preserve"> relevant considerations in </w:t>
      </w:r>
      <w:r w:rsidRPr="00267FB1" w:rsidR="001B38B6">
        <w:rPr>
          <w:szCs w:val="22"/>
        </w:rPr>
        <w:t>a</w:t>
      </w:r>
      <w:r w:rsidRPr="00267FB1" w:rsidR="00F3034C">
        <w:rPr>
          <w:szCs w:val="22"/>
        </w:rPr>
        <w:t xml:space="preserve"> rural substantial service analysis:</w:t>
      </w:r>
      <w:r w:rsidRPr="00267FB1" w:rsidR="00923FBA">
        <w:rPr>
          <w:snapToGrid w:val="0"/>
          <w:kern w:val="28"/>
          <w:szCs w:val="22"/>
        </w:rPr>
        <w:t xml:space="preserve"> (1) coverage of counties or geographic areas where population density is less than or equal to 100 persons per square mile; (2) significant geographic </w:t>
      </w:r>
      <w:r w:rsidRPr="006A611B" w:rsidR="00923FBA">
        <w:rPr>
          <w:snapToGrid w:val="0"/>
          <w:kern w:val="28"/>
          <w:szCs w:val="22"/>
        </w:rPr>
        <w:t xml:space="preserve">coverage; (3) coverage of unique or isolated communities or business parks; and </w:t>
      </w:r>
      <w:r w:rsidRPr="006A611B" w:rsidR="00923FBA">
        <w:rPr>
          <w:szCs w:val="22"/>
        </w:rPr>
        <w:t>(4) expanding the provision of E911 services into areas that have limited or no access to such services.</w:t>
      </w:r>
      <w:r>
        <w:rPr>
          <w:rStyle w:val="FootnoteReference"/>
          <w:szCs w:val="22"/>
        </w:rPr>
        <w:footnoteReference w:id="93"/>
      </w:r>
      <w:r w:rsidRPr="006A611B" w:rsidR="00923FBA">
        <w:rPr>
          <w:snapToGrid w:val="0"/>
          <w:kern w:val="28"/>
          <w:szCs w:val="22"/>
        </w:rPr>
        <w:t xml:space="preserve"> </w:t>
      </w:r>
      <w:r w:rsidRPr="006A611B" w:rsidR="00746B24">
        <w:rPr>
          <w:snapToGrid w:val="0"/>
          <w:kern w:val="28"/>
          <w:szCs w:val="22"/>
        </w:rPr>
        <w:t xml:space="preserve"> </w:t>
      </w:r>
      <w:r w:rsidRPr="006A611B" w:rsidR="006A611B">
        <w:rPr>
          <w:szCs w:val="22"/>
        </w:rPr>
        <w:t>Extrapolating from</w:t>
      </w:r>
      <w:r w:rsidRPr="006A611B" w:rsidR="00B0584D">
        <w:rPr>
          <w:szCs w:val="22"/>
        </w:rPr>
        <w:t xml:space="preserve"> the </w:t>
      </w:r>
      <w:r w:rsidRPr="006A611B" w:rsidR="007B69EB">
        <w:rPr>
          <w:szCs w:val="22"/>
        </w:rPr>
        <w:t xml:space="preserve">coverage </w:t>
      </w:r>
      <w:r w:rsidRPr="006A611B" w:rsidR="00DF0CEF">
        <w:rPr>
          <w:szCs w:val="22"/>
        </w:rPr>
        <w:t xml:space="preserve">in the </w:t>
      </w:r>
      <w:r w:rsidRPr="006A611B" w:rsidR="006F2359">
        <w:rPr>
          <w:szCs w:val="22"/>
        </w:rPr>
        <w:t>original 2004</w:t>
      </w:r>
      <w:r w:rsidRPr="006A611B" w:rsidR="00B0584D">
        <w:rPr>
          <w:szCs w:val="22"/>
        </w:rPr>
        <w:t xml:space="preserve"> showing, Petitioners argue </w:t>
      </w:r>
      <w:r w:rsidRPr="006A611B" w:rsidR="00DF0CEF">
        <w:rPr>
          <w:szCs w:val="22"/>
        </w:rPr>
        <w:t>that Chariton met the</w:t>
      </w:r>
      <w:r w:rsidRPr="006A611B">
        <w:rPr>
          <w:szCs w:val="22"/>
        </w:rPr>
        <w:t xml:space="preserve"> rural</w:t>
      </w:r>
      <w:r w:rsidRPr="006A611B" w:rsidR="00DF0CEF">
        <w:rPr>
          <w:szCs w:val="22"/>
        </w:rPr>
        <w:t xml:space="preserve"> substantial service benchmark because of its coverage of a “significant portion</w:t>
      </w:r>
      <w:r w:rsidRPr="006A611B" w:rsidR="00C06C3A">
        <w:rPr>
          <w:szCs w:val="22"/>
        </w:rPr>
        <w:t>”</w:t>
      </w:r>
      <w:r w:rsidRPr="006A611B" w:rsidR="00DF0CEF">
        <w:rPr>
          <w:szCs w:val="22"/>
        </w:rPr>
        <w:t xml:space="preserve"> of</w:t>
      </w:r>
      <w:r w:rsidRPr="006A611B" w:rsidR="00C06C3A">
        <w:rPr>
          <w:szCs w:val="22"/>
        </w:rPr>
        <w:t xml:space="preserve"> rural</w:t>
      </w:r>
      <w:r w:rsidRPr="006A611B" w:rsidR="00DF0CEF">
        <w:rPr>
          <w:szCs w:val="22"/>
        </w:rPr>
        <w:t xml:space="preserve"> Callaway County’s geographic area and “significant coverage into Osage County, which is among the most rural in the United States.”</w:t>
      </w:r>
      <w:r>
        <w:rPr>
          <w:rStyle w:val="FootnoteReference"/>
          <w:szCs w:val="22"/>
        </w:rPr>
        <w:footnoteReference w:id="94"/>
      </w:r>
      <w:r w:rsidRPr="00267FB1" w:rsidR="00E21FFB">
        <w:rPr>
          <w:szCs w:val="22"/>
        </w:rPr>
        <w:t xml:space="preserve">  </w:t>
      </w:r>
    </w:p>
    <w:p w:rsidR="00E53B39" w:rsidRPr="001B38B6" w:rsidP="001B38B6">
      <w:pPr>
        <w:pStyle w:val="ParaNum"/>
        <w:jc w:val="left"/>
        <w:rPr>
          <w:b/>
          <w:szCs w:val="22"/>
        </w:rPr>
      </w:pPr>
      <w:r w:rsidRPr="00647124">
        <w:rPr>
          <w:szCs w:val="22"/>
        </w:rPr>
        <w:t>Ch</w:t>
      </w:r>
      <w:r w:rsidR="00746B24">
        <w:rPr>
          <w:szCs w:val="22"/>
        </w:rPr>
        <w:t xml:space="preserve">ariton </w:t>
      </w:r>
      <w:r w:rsidR="005A14BA">
        <w:rPr>
          <w:szCs w:val="22"/>
        </w:rPr>
        <w:t xml:space="preserve">however, </w:t>
      </w:r>
      <w:r w:rsidR="00746B24">
        <w:rPr>
          <w:szCs w:val="22"/>
        </w:rPr>
        <w:t xml:space="preserve">could not have demonstrated rural </w:t>
      </w:r>
      <w:r w:rsidRPr="00647124">
        <w:rPr>
          <w:szCs w:val="22"/>
        </w:rPr>
        <w:t>substantial service</w:t>
      </w:r>
      <w:r>
        <w:rPr>
          <w:szCs w:val="22"/>
        </w:rPr>
        <w:t xml:space="preserve"> </w:t>
      </w:r>
      <w:r w:rsidRPr="00647124">
        <w:rPr>
          <w:szCs w:val="22"/>
        </w:rPr>
        <w:t>in its original 2004 five-year construction showi</w:t>
      </w:r>
      <w:r w:rsidR="00746B24">
        <w:rPr>
          <w:szCs w:val="22"/>
        </w:rPr>
        <w:t>ng because the rules</w:t>
      </w:r>
      <w:r w:rsidRPr="00647124">
        <w:rPr>
          <w:szCs w:val="22"/>
        </w:rPr>
        <w:t xml:space="preserve"> adopted in the </w:t>
      </w:r>
      <w:r w:rsidRPr="00647124">
        <w:rPr>
          <w:i/>
          <w:szCs w:val="22"/>
        </w:rPr>
        <w:t>Rural Services Order</w:t>
      </w:r>
      <w:r w:rsidRPr="00647124">
        <w:rPr>
          <w:szCs w:val="22"/>
        </w:rPr>
        <w:t xml:space="preserve"> were not in effect at the time of the filing. </w:t>
      </w:r>
      <w:r w:rsidR="00E21FFB">
        <w:rPr>
          <w:szCs w:val="22"/>
        </w:rPr>
        <w:t xml:space="preserve"> Specifically, th</w:t>
      </w:r>
      <w:r w:rsidRPr="00647124" w:rsidR="00E21FFB">
        <w:rPr>
          <w:szCs w:val="22"/>
        </w:rPr>
        <w:t>e Commission received Chariton’s five-year construction notification on June 28, 2004.</w:t>
      </w:r>
      <w:r>
        <w:rPr>
          <w:rStyle w:val="FootnoteReference"/>
          <w:szCs w:val="22"/>
        </w:rPr>
        <w:footnoteReference w:id="95"/>
      </w:r>
      <w:r w:rsidRPr="00647124" w:rsidR="00E21FFB">
        <w:rPr>
          <w:szCs w:val="22"/>
        </w:rPr>
        <w:t xml:space="preserve">  Approximately three months later, in September 2004, the Commission released the </w:t>
      </w:r>
      <w:r w:rsidRPr="00647124" w:rsidR="00E21FFB">
        <w:rPr>
          <w:i/>
          <w:szCs w:val="22"/>
        </w:rPr>
        <w:t>Rural Services Order</w:t>
      </w:r>
      <w:r w:rsidRPr="00647124" w:rsidR="00E21FFB">
        <w:rPr>
          <w:szCs w:val="22"/>
        </w:rPr>
        <w:t xml:space="preserve"> adopting the rural safe harbor and rural substantial service criteria.  The effective date of the </w:t>
      </w:r>
      <w:r w:rsidR="006A611B">
        <w:rPr>
          <w:szCs w:val="22"/>
        </w:rPr>
        <w:t>construction</w:t>
      </w:r>
      <w:r w:rsidRPr="00647124" w:rsidR="00E21FFB">
        <w:rPr>
          <w:szCs w:val="22"/>
        </w:rPr>
        <w:t xml:space="preserve"> rules adopted in </w:t>
      </w:r>
      <w:r w:rsidR="006A611B">
        <w:rPr>
          <w:szCs w:val="22"/>
        </w:rPr>
        <w:t>that</w:t>
      </w:r>
      <w:r w:rsidRPr="00647124" w:rsidR="00E21FFB">
        <w:rPr>
          <w:szCs w:val="22"/>
        </w:rPr>
        <w:t xml:space="preserve"> order was February 14, 2005.</w:t>
      </w:r>
      <w:r>
        <w:rPr>
          <w:rStyle w:val="FootnoteReference"/>
          <w:szCs w:val="22"/>
        </w:rPr>
        <w:footnoteReference w:id="96"/>
      </w:r>
      <w:r w:rsidRPr="00647124" w:rsidR="00E21FFB">
        <w:rPr>
          <w:szCs w:val="22"/>
        </w:rPr>
        <w:t xml:space="preserve">  Thus, </w:t>
      </w:r>
      <w:r w:rsidR="00B51AF6">
        <w:rPr>
          <w:szCs w:val="22"/>
        </w:rPr>
        <w:t>while</w:t>
      </w:r>
      <w:r w:rsidRPr="00647124" w:rsidR="00B51AF6">
        <w:rPr>
          <w:szCs w:val="22"/>
        </w:rPr>
        <w:t xml:space="preserve"> the coverage</w:t>
      </w:r>
      <w:r w:rsidR="00B51AF6">
        <w:rPr>
          <w:szCs w:val="22"/>
        </w:rPr>
        <w:t xml:space="preserve"> map filed with the Commission </w:t>
      </w:r>
      <w:r w:rsidRPr="00647124" w:rsidR="00B51AF6">
        <w:rPr>
          <w:szCs w:val="22"/>
        </w:rPr>
        <w:t>shows some rural service coverage,</w:t>
      </w:r>
      <w:r w:rsidR="00B51AF6">
        <w:rPr>
          <w:szCs w:val="22"/>
        </w:rPr>
        <w:t xml:space="preserve"> </w:t>
      </w:r>
      <w:r w:rsidRPr="00647124" w:rsidR="00E21FFB">
        <w:rPr>
          <w:szCs w:val="22"/>
        </w:rPr>
        <w:t>Chariton could not have</w:t>
      </w:r>
      <w:r w:rsidR="00E21FFB">
        <w:rPr>
          <w:szCs w:val="22"/>
        </w:rPr>
        <w:t xml:space="preserve"> inadvertently met </w:t>
      </w:r>
      <w:r w:rsidRPr="00647124" w:rsidR="00E21FFB">
        <w:rPr>
          <w:szCs w:val="22"/>
        </w:rPr>
        <w:t xml:space="preserve">rural substantial </w:t>
      </w:r>
      <w:r w:rsidR="00E21FFB">
        <w:rPr>
          <w:szCs w:val="22"/>
        </w:rPr>
        <w:t>service</w:t>
      </w:r>
      <w:r w:rsidRPr="00647124" w:rsidR="00E21FFB">
        <w:rPr>
          <w:szCs w:val="22"/>
        </w:rPr>
        <w:t xml:space="preserve"> in </w:t>
      </w:r>
      <w:r w:rsidR="00E21FFB">
        <w:rPr>
          <w:szCs w:val="22"/>
        </w:rPr>
        <w:t xml:space="preserve">June </w:t>
      </w:r>
      <w:r w:rsidRPr="00647124" w:rsidR="00E21FFB">
        <w:rPr>
          <w:szCs w:val="22"/>
        </w:rPr>
        <w:t xml:space="preserve">2004 given that the applicable rules did not go into effect until </w:t>
      </w:r>
      <w:r w:rsidR="00E21FFB">
        <w:rPr>
          <w:szCs w:val="22"/>
        </w:rPr>
        <w:t>almost eight months later</w:t>
      </w:r>
      <w:r w:rsidRPr="00647124" w:rsidR="00E21FFB">
        <w:rPr>
          <w:szCs w:val="22"/>
        </w:rPr>
        <w:t>.</w:t>
      </w:r>
      <w:r w:rsidR="00E21FFB">
        <w:rPr>
          <w:szCs w:val="22"/>
        </w:rPr>
        <w:t xml:space="preserve"> </w:t>
      </w:r>
      <w:r w:rsidRPr="00647124">
        <w:rPr>
          <w:szCs w:val="22"/>
        </w:rPr>
        <w:t xml:space="preserve"> </w:t>
      </w:r>
      <w:r w:rsidR="00B51AF6">
        <w:rPr>
          <w:szCs w:val="22"/>
        </w:rPr>
        <w:t>T</w:t>
      </w:r>
      <w:r w:rsidRPr="00647124" w:rsidR="001A22BA">
        <w:rPr>
          <w:szCs w:val="22"/>
        </w:rPr>
        <w:t xml:space="preserve">he Petitioners </w:t>
      </w:r>
      <w:r w:rsidR="00E21FFB">
        <w:rPr>
          <w:szCs w:val="22"/>
        </w:rPr>
        <w:t>cannot now argue that the 2004 construction met</w:t>
      </w:r>
      <w:r w:rsidRPr="00647124" w:rsidR="001972B5">
        <w:rPr>
          <w:szCs w:val="22"/>
        </w:rPr>
        <w:t xml:space="preserve"> rural substantial service </w:t>
      </w:r>
      <w:r w:rsidR="00E21FFB">
        <w:rPr>
          <w:szCs w:val="22"/>
        </w:rPr>
        <w:t xml:space="preserve">by </w:t>
      </w:r>
      <w:r w:rsidRPr="00647124" w:rsidR="001972B5">
        <w:rPr>
          <w:szCs w:val="22"/>
        </w:rPr>
        <w:t>rely</w:t>
      </w:r>
      <w:r w:rsidR="00E21FFB">
        <w:rPr>
          <w:szCs w:val="22"/>
        </w:rPr>
        <w:t>ing</w:t>
      </w:r>
      <w:r w:rsidRPr="00647124" w:rsidR="001972B5">
        <w:rPr>
          <w:szCs w:val="22"/>
        </w:rPr>
        <w:t xml:space="preserve"> on substantial service criteria that were not in effect at the time</w:t>
      </w:r>
      <w:r w:rsidRPr="00647124">
        <w:rPr>
          <w:szCs w:val="22"/>
        </w:rPr>
        <w:t xml:space="preserve"> of Chariton’s </w:t>
      </w:r>
      <w:r w:rsidRPr="00647124" w:rsidR="00C170D5">
        <w:rPr>
          <w:szCs w:val="22"/>
        </w:rPr>
        <w:t xml:space="preserve">five-year construction </w:t>
      </w:r>
      <w:r w:rsidRPr="00647124" w:rsidR="00C96F1B">
        <w:rPr>
          <w:szCs w:val="22"/>
        </w:rPr>
        <w:t>filing</w:t>
      </w:r>
      <w:r w:rsidRPr="00647124" w:rsidR="001972B5">
        <w:rPr>
          <w:szCs w:val="22"/>
        </w:rPr>
        <w:t>.</w:t>
      </w:r>
      <w:r w:rsidRPr="00647124" w:rsidR="0003459A">
        <w:rPr>
          <w:szCs w:val="22"/>
        </w:rPr>
        <w:t xml:space="preserve"> </w:t>
      </w:r>
      <w:r w:rsidRPr="00647124" w:rsidR="00AE677D">
        <w:rPr>
          <w:szCs w:val="22"/>
        </w:rPr>
        <w:t xml:space="preserve">  </w:t>
      </w:r>
      <w:r w:rsidRPr="00647124" w:rsidR="00016172">
        <w:rPr>
          <w:szCs w:val="22"/>
        </w:rPr>
        <w:t xml:space="preserve"> </w:t>
      </w:r>
      <w:r w:rsidRPr="00647124" w:rsidR="0003459A">
        <w:rPr>
          <w:szCs w:val="22"/>
        </w:rPr>
        <w:t xml:space="preserve"> </w:t>
      </w:r>
    </w:p>
    <w:p w:rsidR="00AC05DD" w:rsidRPr="00647124" w:rsidP="00647124">
      <w:pPr>
        <w:pStyle w:val="Heading1"/>
        <w:jc w:val="left"/>
        <w:rPr>
          <w:szCs w:val="22"/>
        </w:rPr>
      </w:pPr>
      <w:r w:rsidRPr="00647124">
        <w:rPr>
          <w:szCs w:val="22"/>
        </w:rPr>
        <w:t>conclusion</w:t>
      </w:r>
    </w:p>
    <w:p w:rsidR="00AC05DD" w:rsidRPr="00647124" w:rsidP="00015187">
      <w:pPr>
        <w:pStyle w:val="ParaNum"/>
        <w:jc w:val="left"/>
      </w:pPr>
      <w:r w:rsidRPr="00647124">
        <w:t>For the reasons set forth above, we</w:t>
      </w:r>
      <w:r w:rsidRPr="00647124" w:rsidR="00F55CEF">
        <w:t xml:space="preserve"> </w:t>
      </w:r>
      <w:r w:rsidR="000C1B9F">
        <w:t>deny</w:t>
      </w:r>
      <w:r w:rsidRPr="00647124" w:rsidR="00B33EE2">
        <w:t xml:space="preserve"> the Petition for Re</w:t>
      </w:r>
      <w:r w:rsidR="00D8526C">
        <w:t>consideration and, as a result,</w:t>
      </w:r>
      <w:r w:rsidR="00015187">
        <w:t xml:space="preserve"> </w:t>
      </w:r>
      <w:r w:rsidRPr="00647124" w:rsidR="00B33EE2">
        <w:t xml:space="preserve">affirm that the License </w:t>
      </w:r>
      <w:r w:rsidRPr="00647124">
        <w:t>automatically terminated on June 30, 2009.</w:t>
      </w:r>
    </w:p>
    <w:p w:rsidR="00AC05DD" w:rsidRPr="00647124" w:rsidP="00647124">
      <w:pPr>
        <w:pStyle w:val="Heading1"/>
        <w:jc w:val="left"/>
        <w:rPr>
          <w:szCs w:val="22"/>
        </w:rPr>
      </w:pPr>
      <w:r w:rsidRPr="00647124">
        <w:rPr>
          <w:szCs w:val="22"/>
        </w:rPr>
        <w:t>Ordering clauses</w:t>
      </w:r>
    </w:p>
    <w:p w:rsidR="00AC05DD" w:rsidRPr="00647124" w:rsidP="00647124">
      <w:pPr>
        <w:pStyle w:val="ParaNum"/>
        <w:jc w:val="left"/>
        <w:rPr>
          <w:szCs w:val="22"/>
        </w:rPr>
      </w:pPr>
      <w:r w:rsidRPr="00647124">
        <w:rPr>
          <w:szCs w:val="22"/>
        </w:rPr>
        <w:t>Accordingly, IT IS ORDERED, pursuant to Section 4(</w:t>
      </w:r>
      <w:r w:rsidRPr="00647124">
        <w:rPr>
          <w:szCs w:val="22"/>
        </w:rPr>
        <w:t>i</w:t>
      </w:r>
      <w:r w:rsidRPr="00647124">
        <w:rPr>
          <w:szCs w:val="22"/>
        </w:rPr>
        <w:t>)</w:t>
      </w:r>
      <w:r w:rsidRPr="00647124" w:rsidR="008B0A5E">
        <w:rPr>
          <w:szCs w:val="22"/>
        </w:rPr>
        <w:t>, 4(j), and 405(a)</w:t>
      </w:r>
      <w:r w:rsidRPr="00647124">
        <w:rPr>
          <w:szCs w:val="22"/>
        </w:rPr>
        <w:t xml:space="preserve"> of the Communications Act, as amended, 47 U.S.C. </w:t>
      </w:r>
      <w:r w:rsidRPr="00647124" w:rsidR="008B0A5E">
        <w:rPr>
          <w:szCs w:val="22"/>
        </w:rPr>
        <w:t>§</w:t>
      </w:r>
      <w:r w:rsidRPr="00647124">
        <w:rPr>
          <w:szCs w:val="22"/>
        </w:rPr>
        <w:t>§ 154(</w:t>
      </w:r>
      <w:r w:rsidRPr="00647124">
        <w:rPr>
          <w:szCs w:val="22"/>
        </w:rPr>
        <w:t>i</w:t>
      </w:r>
      <w:r w:rsidRPr="00647124">
        <w:rPr>
          <w:szCs w:val="22"/>
        </w:rPr>
        <w:t>),</w:t>
      </w:r>
      <w:r w:rsidRPr="00647124" w:rsidR="008B0A5E">
        <w:rPr>
          <w:szCs w:val="22"/>
        </w:rPr>
        <w:t xml:space="preserve"> 154(j), 405(a), and Section 1.106</w:t>
      </w:r>
      <w:r w:rsidR="005A14BA">
        <w:rPr>
          <w:szCs w:val="22"/>
        </w:rPr>
        <w:t xml:space="preserve"> </w:t>
      </w:r>
      <w:r w:rsidRPr="00647124" w:rsidR="008B0A5E">
        <w:rPr>
          <w:szCs w:val="22"/>
        </w:rPr>
        <w:t xml:space="preserve">of the  Commission’s rules, 47 </w:t>
      </w:r>
      <w:r w:rsidR="00B66D14">
        <w:rPr>
          <w:szCs w:val="22"/>
        </w:rPr>
        <w:t>CFR</w:t>
      </w:r>
      <w:r w:rsidRPr="00647124" w:rsidR="008B0A5E">
        <w:rPr>
          <w:szCs w:val="22"/>
        </w:rPr>
        <w:t xml:space="preserve"> §</w:t>
      </w:r>
      <w:r w:rsidR="005A14BA">
        <w:rPr>
          <w:szCs w:val="22"/>
        </w:rPr>
        <w:t>§</w:t>
      </w:r>
      <w:r w:rsidRPr="00647124" w:rsidR="008B0A5E">
        <w:rPr>
          <w:szCs w:val="22"/>
        </w:rPr>
        <w:t xml:space="preserve"> 1.106</w:t>
      </w:r>
      <w:r w:rsidR="005A14BA">
        <w:rPr>
          <w:szCs w:val="22"/>
        </w:rPr>
        <w:t>),</w:t>
      </w:r>
      <w:r w:rsidRPr="00647124" w:rsidR="008B0A5E">
        <w:rPr>
          <w:szCs w:val="22"/>
        </w:rPr>
        <w:t xml:space="preserve"> the Petition for Reconsideration of the Request for Waiver and Extension of PCS Construction Requirements and Request for Renewal of PCS License regarding </w:t>
      </w:r>
      <w:r w:rsidR="005A14BA">
        <w:rPr>
          <w:szCs w:val="22"/>
        </w:rPr>
        <w:t>C</w:t>
      </w:r>
      <w:r w:rsidRPr="00647124" w:rsidR="008B0A5E">
        <w:rPr>
          <w:szCs w:val="22"/>
        </w:rPr>
        <w:t xml:space="preserve">all </w:t>
      </w:r>
      <w:r w:rsidR="005A14BA">
        <w:rPr>
          <w:szCs w:val="22"/>
        </w:rPr>
        <w:t>S</w:t>
      </w:r>
      <w:r w:rsidRPr="00647124" w:rsidR="008B0A5E">
        <w:rPr>
          <w:szCs w:val="22"/>
        </w:rPr>
        <w:t xml:space="preserve">ign WQGH652 filed by Crossroads Wireless Liquidating Trust and NTCH, Inc. on July 2, 2012 IS </w:t>
      </w:r>
      <w:r w:rsidRPr="00647124" w:rsidR="008B0A5E">
        <w:rPr>
          <w:szCs w:val="22"/>
        </w:rPr>
        <w:t xml:space="preserve">HEREBY </w:t>
      </w:r>
      <w:r w:rsidR="00360317">
        <w:rPr>
          <w:szCs w:val="22"/>
        </w:rPr>
        <w:t>DENIED</w:t>
      </w:r>
      <w:r w:rsidRPr="00647124" w:rsidR="008B0A5E">
        <w:rPr>
          <w:szCs w:val="22"/>
        </w:rPr>
        <w:t>.</w:t>
      </w:r>
      <w:r w:rsidRPr="00647124">
        <w:rPr>
          <w:szCs w:val="22"/>
        </w:rPr>
        <w:t xml:space="preserve">  </w:t>
      </w:r>
      <w:r w:rsidRPr="00647124" w:rsidR="008B0A5E">
        <w:rPr>
          <w:szCs w:val="22"/>
        </w:rPr>
        <w:t>Accordingly, PCS Li</w:t>
      </w:r>
      <w:r w:rsidRPr="00647124">
        <w:rPr>
          <w:szCs w:val="22"/>
        </w:rPr>
        <w:t>cense WQGH652 TERMINATED AUTOMATICALLY ON JUNE 30, 2009.</w:t>
      </w:r>
    </w:p>
    <w:p w:rsidR="00AC05DD" w:rsidRPr="00647124" w:rsidP="00647124">
      <w:pPr>
        <w:pStyle w:val="ParaNum"/>
        <w:jc w:val="left"/>
        <w:rPr>
          <w:szCs w:val="22"/>
        </w:rPr>
      </w:pPr>
      <w:r w:rsidRPr="00647124">
        <w:rPr>
          <w:szCs w:val="22"/>
        </w:rPr>
        <w:t xml:space="preserve">This action is taken under delegated authority pursuant to Sections 0.131 and 0.331 of the Commission’s rules, 47 </w:t>
      </w:r>
      <w:r w:rsidR="00B66D14">
        <w:rPr>
          <w:szCs w:val="22"/>
        </w:rPr>
        <w:t>CFR</w:t>
      </w:r>
      <w:r w:rsidRPr="00647124">
        <w:rPr>
          <w:szCs w:val="22"/>
        </w:rPr>
        <w:t xml:space="preserve"> §§ 0.131, 0.331.</w:t>
      </w:r>
    </w:p>
    <w:p w:rsidR="00AC05DD" w:rsidRPr="00647124" w:rsidP="00647124">
      <w:pPr>
        <w:pStyle w:val="ParaNum"/>
        <w:numPr>
          <w:ilvl w:val="0"/>
          <w:numId w:val="0"/>
        </w:numPr>
        <w:jc w:val="left"/>
        <w:rPr>
          <w:szCs w:val="22"/>
        </w:rPr>
      </w:pPr>
    </w:p>
    <w:p w:rsidR="00AC05DD" w:rsidRPr="00647124" w:rsidP="00E13E59">
      <w:pPr>
        <w:pStyle w:val="ParaNum"/>
        <w:numPr>
          <w:ilvl w:val="0"/>
          <w:numId w:val="0"/>
        </w:numPr>
        <w:ind w:left="1440"/>
        <w:jc w:val="left"/>
        <w:rPr>
          <w:szCs w:val="22"/>
        </w:rPr>
      </w:pPr>
      <w:r>
        <w:rPr>
          <w:szCs w:val="22"/>
        </w:rPr>
        <w:tab/>
      </w:r>
      <w:r>
        <w:rPr>
          <w:szCs w:val="22"/>
        </w:rPr>
        <w:tab/>
      </w:r>
      <w:r>
        <w:rPr>
          <w:szCs w:val="22"/>
        </w:rPr>
        <w:tab/>
      </w:r>
      <w:r>
        <w:rPr>
          <w:szCs w:val="22"/>
        </w:rPr>
        <w:tab/>
      </w:r>
      <w:r w:rsidR="005A14BA">
        <w:rPr>
          <w:szCs w:val="22"/>
        </w:rPr>
        <w:t xml:space="preserve">        </w:t>
      </w:r>
      <w:r w:rsidRPr="00647124">
        <w:rPr>
          <w:szCs w:val="22"/>
        </w:rPr>
        <w:t>FEDERAL COMMUNICATIONS COMMISSION</w:t>
      </w:r>
    </w:p>
    <w:p w:rsidR="00AC05DD" w:rsidRPr="00647124" w:rsidP="00647124">
      <w:pPr>
        <w:pStyle w:val="ParaNum"/>
        <w:numPr>
          <w:ilvl w:val="0"/>
          <w:numId w:val="0"/>
        </w:numPr>
        <w:jc w:val="left"/>
        <w:rPr>
          <w:szCs w:val="22"/>
        </w:rPr>
      </w:pPr>
    </w:p>
    <w:p w:rsidR="00AC05DD" w:rsidRPr="00647124" w:rsidP="00647124">
      <w:pPr>
        <w:pStyle w:val="ParaNum"/>
        <w:numPr>
          <w:ilvl w:val="0"/>
          <w:numId w:val="0"/>
        </w:numPr>
        <w:spacing w:after="0"/>
        <w:jc w:val="left"/>
        <w:rPr>
          <w:szCs w:val="22"/>
        </w:rPr>
      </w:pPr>
      <w:r w:rsidRPr="00647124">
        <w:rPr>
          <w:szCs w:val="22"/>
        </w:rPr>
        <w:t xml:space="preserve">                                                                        </w:t>
      </w:r>
      <w:r w:rsidRPr="00647124" w:rsidR="00D21B3B">
        <w:rPr>
          <w:szCs w:val="22"/>
        </w:rPr>
        <w:t xml:space="preserve">               Roger S. Noel</w:t>
      </w:r>
    </w:p>
    <w:p w:rsidR="00AC05DD" w:rsidRPr="00647124" w:rsidP="00647124">
      <w:pPr>
        <w:pStyle w:val="ParaNum"/>
        <w:numPr>
          <w:ilvl w:val="0"/>
          <w:numId w:val="0"/>
        </w:numPr>
        <w:spacing w:after="0"/>
        <w:jc w:val="left"/>
        <w:rPr>
          <w:szCs w:val="22"/>
        </w:rPr>
      </w:pPr>
      <w:r w:rsidRPr="00647124">
        <w:rPr>
          <w:szCs w:val="22"/>
        </w:rPr>
        <w:t xml:space="preserve">                                                              </w:t>
      </w:r>
      <w:r w:rsidRPr="00647124" w:rsidR="00D21B3B">
        <w:rPr>
          <w:szCs w:val="22"/>
        </w:rPr>
        <w:t xml:space="preserve">                         </w:t>
      </w:r>
      <w:r w:rsidRPr="00647124">
        <w:rPr>
          <w:szCs w:val="22"/>
        </w:rPr>
        <w:t>Chief, Mobility Division</w:t>
      </w:r>
    </w:p>
    <w:p w:rsidR="00AC05DD" w:rsidRPr="00647124" w:rsidP="00647124">
      <w:pPr>
        <w:pStyle w:val="ParaNum"/>
        <w:numPr>
          <w:ilvl w:val="0"/>
          <w:numId w:val="0"/>
        </w:numPr>
        <w:spacing w:after="0"/>
        <w:jc w:val="left"/>
        <w:rPr>
          <w:szCs w:val="22"/>
        </w:rPr>
      </w:pPr>
      <w:r w:rsidRPr="00647124">
        <w:rPr>
          <w:szCs w:val="22"/>
        </w:rPr>
        <w:t xml:space="preserve">                                                                                       Wireless Telecommunications Bureau</w:t>
      </w:r>
    </w:p>
    <w:p w:rsidR="00AC05DD" w:rsidRPr="00647124" w:rsidP="00647124">
      <w:pPr>
        <w:pStyle w:val="ParaNum"/>
        <w:numPr>
          <w:ilvl w:val="0"/>
          <w:numId w:val="0"/>
        </w:numPr>
        <w:jc w:val="left"/>
        <w:rPr>
          <w:szCs w:val="22"/>
        </w:rPr>
      </w:pPr>
      <w:r w:rsidRPr="00647124">
        <w:rPr>
          <w:szCs w:val="22"/>
        </w:rPr>
        <w:t xml:space="preserve">                         </w:t>
      </w:r>
    </w:p>
    <w:sectPr w:rsidSect="006D4964">
      <w:headerReference w:type="default" r:id="rId5"/>
      <w:footerReference w:type="default" r:id="rId6"/>
      <w:headerReference w:type="first" r:id="rId7"/>
      <w:pgSz w:w="12240" w:h="15840"/>
      <w:pgMar w:top="1440" w:right="1440" w:bottom="720" w:left="1440" w:header="720" w:footer="720" w:gutter="0"/>
      <w:pgNumType w:start="1"/>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5D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7234C">
      <w:pPr>
        <w:rPr>
          <w:sz w:val="20"/>
        </w:rPr>
      </w:pPr>
      <w:r>
        <w:rPr>
          <w:sz w:val="20"/>
        </w:rPr>
        <w:separator/>
      </w:r>
    </w:p>
  </w:footnote>
  <w:footnote w:type="continuationSeparator" w:id="1">
    <w:p w:rsidR="0087234C">
      <w:pPr>
        <w:rPr>
          <w:sz w:val="20"/>
        </w:rPr>
      </w:pPr>
      <w:r>
        <w:rPr>
          <w:sz w:val="20"/>
        </w:rPr>
        <w:separator/>
      </w:r>
    </w:p>
    <w:p w:rsidR="0087234C">
      <w:pPr>
        <w:rPr>
          <w:sz w:val="20"/>
        </w:rPr>
      </w:pPr>
      <w:r>
        <w:rPr>
          <w:sz w:val="20"/>
        </w:rPr>
        <w:t>(...continued from previous page)</w:t>
      </w:r>
    </w:p>
  </w:footnote>
  <w:footnote w:type="continuationNotice" w:id="2">
    <w:p w:rsidR="0087234C">
      <w:pPr>
        <w:jc w:val="right"/>
        <w:rPr>
          <w:sz w:val="20"/>
        </w:rPr>
      </w:pPr>
    </w:p>
  </w:footnote>
  <w:footnote w:id="3">
    <w:p w:rsidR="00ED41F1" w:rsidP="00ED41F1">
      <w:pPr>
        <w:pStyle w:val="FootnoteText"/>
        <w:jc w:val="left"/>
      </w:pPr>
      <w:r>
        <w:rPr>
          <w:rStyle w:val="FootnoteReference"/>
        </w:rPr>
        <w:footnoteRef/>
      </w:r>
      <w:r>
        <w:t xml:space="preserve"> Crossroads Wireless Liquidating Trust and NTCH, Inc., Petition </w:t>
      </w:r>
      <w:r>
        <w:t>For</w:t>
      </w:r>
      <w:r>
        <w:t xml:space="preserve"> Reconsideration of the Request for Waiver and Extension of PCS Construction Requirements and Request for Renewal of PCS License, filed July 2, 2012 (Petition).</w:t>
      </w:r>
    </w:p>
  </w:footnote>
  <w:footnote w:id="4">
    <w:p w:rsidR="0061406E" w:rsidP="000C1B9F">
      <w:pPr>
        <w:pStyle w:val="FootnoteText"/>
        <w:jc w:val="left"/>
      </w:pPr>
      <w:r>
        <w:rPr>
          <w:rStyle w:val="FootnoteReference"/>
        </w:rPr>
        <w:footnoteRef/>
      </w:r>
      <w:r>
        <w:t xml:space="preserve"> </w:t>
      </w:r>
      <w:r w:rsidRPr="004F3821">
        <w:rPr>
          <w:i/>
        </w:rPr>
        <w:t>See</w:t>
      </w:r>
      <w:r w:rsidRPr="00DD346D">
        <w:t xml:space="preserve"> </w:t>
      </w:r>
      <w:r w:rsidRPr="00DD346D">
        <w:t>Commnet</w:t>
      </w:r>
      <w:r w:rsidRPr="00DD346D">
        <w:t xml:space="preserve"> Supply, LLC, Crossroads License Holding Sub A, and their successors in interest, Request for Waiver and Extension of PCS Construction Requirements, Request for Renewal of PCS License</w:t>
      </w:r>
      <w:r>
        <w:t xml:space="preserve">, </w:t>
      </w:r>
      <w:r w:rsidRPr="00DD346D">
        <w:t>Order</w:t>
      </w:r>
      <w:r w:rsidRPr="0061406E">
        <w:rPr>
          <w:i/>
        </w:rPr>
        <w:t>,</w:t>
      </w:r>
      <w:r>
        <w:t xml:space="preserve"> </w:t>
      </w:r>
      <w:r w:rsidR="00F16723">
        <w:t>27</w:t>
      </w:r>
      <w:r w:rsidR="009746D8">
        <w:t xml:space="preserve"> FCC Rcd 5832 (2012) (Denial Order).</w:t>
      </w:r>
    </w:p>
  </w:footnote>
  <w:footnote w:id="5">
    <w:p w:rsidR="00031BFB" w:rsidP="00031BFB">
      <w:pPr>
        <w:pStyle w:val="FootnoteText"/>
        <w:jc w:val="left"/>
      </w:pPr>
      <w:r>
        <w:rPr>
          <w:rStyle w:val="FootnoteReference"/>
        </w:rPr>
        <w:footnoteRef/>
      </w:r>
      <w:r>
        <w:t xml:space="preserve"> </w:t>
      </w:r>
      <w:r>
        <w:tab/>
        <w:t xml:space="preserve">Crossroads Wireless, Inc., Debtor-in-Possession, Application for Renewal of Call Sign WQGH652, ULS File No. 0003805569 (filed April 13, 2009; updated May 17, 2010) (Renewal Request).  </w:t>
      </w:r>
    </w:p>
  </w:footnote>
  <w:footnote w:id="6">
    <w:p w:rsidR="00AC05DD" w:rsidP="000C1B9F">
      <w:pPr>
        <w:pStyle w:val="FootnoteText"/>
        <w:jc w:val="left"/>
      </w:pPr>
      <w:r>
        <w:rPr>
          <w:rStyle w:val="FootnoteReference"/>
        </w:rPr>
        <w:footnoteRef/>
      </w:r>
      <w:r>
        <w:t xml:space="preserve"> </w:t>
      </w:r>
      <w:r>
        <w:tab/>
        <w:t xml:space="preserve">Crossroads License Holding Sub A Inc., Request for Extension of Time to Satisfy 10-year Construction Threshold for Call Sign WQGH652, Universal Licensing System (ULS) File No. 0003818184 (filed April 24, 2009; updated and amended May 18, 2009, July 8, 2009, and May 5, 2010) (Waiver Request).  </w:t>
      </w:r>
      <w:r>
        <w:t>Commnet</w:t>
      </w:r>
      <w:r>
        <w:t>, Crossroads Sub, and its successor in interest, Crossroads Wireless, Inc. Debtor-in-Possession (Crossroad</w:t>
      </w:r>
      <w:r w:rsidR="0061406E">
        <w:t>s DIP)</w:t>
      </w:r>
      <w:r>
        <w:t xml:space="preserve"> filed three separate supplements to the original waiver request.  We refer to these filings cumulatively as the Waiver Request unless otherwise noted.  Where reference to a specific supplemental filing is necessary, we refer to them as the “Original Waiver Request,” “First Supplement,” “Second Supplement,” and “Third Supplement” consistent with the filing dates.</w:t>
      </w:r>
    </w:p>
  </w:footnote>
  <w:footnote w:id="7">
    <w:p w:rsidR="00551453" w:rsidRPr="00551453" w:rsidP="00DF1A85">
      <w:pPr>
        <w:pStyle w:val="FootnoteText"/>
        <w:jc w:val="left"/>
      </w:pPr>
      <w:r>
        <w:rPr>
          <w:rStyle w:val="FootnoteReference"/>
        </w:rPr>
        <w:footnoteRef/>
      </w:r>
      <w:r>
        <w:t xml:space="preserve"> </w:t>
      </w:r>
      <w:r w:rsidR="00186824">
        <w:t xml:space="preserve">Chariton Valley </w:t>
      </w:r>
      <w:r w:rsidR="00DF1A85">
        <w:t>disaggregated</w:t>
      </w:r>
      <w:r w:rsidR="00186824">
        <w:t xml:space="preserve"> the</w:t>
      </w:r>
      <w:r w:rsidR="00DF1A85">
        <w:t xml:space="preserve"> 10 megahertz</w:t>
      </w:r>
      <w:r w:rsidR="00186824">
        <w:t xml:space="preserve"> of spectrum</w:t>
      </w:r>
      <w:r w:rsidR="00DF1A85">
        <w:t xml:space="preserve"> to Chickasaw Wireless, Inc.  </w:t>
      </w:r>
      <w:r>
        <w:rPr>
          <w:i/>
        </w:rPr>
        <w:t>See</w:t>
      </w:r>
      <w:r>
        <w:t xml:space="preserve"> ULS File No. 0002779737</w:t>
      </w:r>
      <w:r w:rsidR="00DF1A85">
        <w:t xml:space="preserve">.  </w:t>
      </w:r>
    </w:p>
  </w:footnote>
  <w:footnote w:id="8">
    <w:p w:rsidR="00AC05DD" w:rsidP="000C1B9F">
      <w:pPr>
        <w:pStyle w:val="FootnoteText"/>
        <w:jc w:val="left"/>
      </w:pPr>
      <w:r>
        <w:rPr>
          <w:rStyle w:val="FootnoteReference"/>
        </w:rPr>
        <w:footnoteRef/>
      </w:r>
      <w:r>
        <w:t xml:space="preserve"> </w:t>
      </w:r>
      <w:r>
        <w:tab/>
        <w:t xml:space="preserve">47 </w:t>
      </w:r>
      <w:r w:rsidR="00B66D14">
        <w:t>CFR</w:t>
      </w:r>
      <w:r>
        <w:t xml:space="preserve"> § 24.203(a).</w:t>
      </w:r>
    </w:p>
  </w:footnote>
  <w:footnote w:id="9">
    <w:p w:rsidR="00AC05DD" w:rsidP="000C1B9F">
      <w:pPr>
        <w:pStyle w:val="FootnoteText"/>
        <w:jc w:val="left"/>
      </w:pPr>
      <w:r>
        <w:rPr>
          <w:rStyle w:val="FootnoteReference"/>
        </w:rPr>
        <w:footnoteRef/>
      </w:r>
      <w:r>
        <w:t xml:space="preserve"> </w:t>
      </w:r>
      <w:r>
        <w:tab/>
      </w:r>
      <w:r>
        <w:rPr>
          <w:i/>
        </w:rPr>
        <w:t>See generally</w:t>
      </w:r>
      <w:r>
        <w:t>, administrative details in ULS for call sign WPOJ715.</w:t>
      </w:r>
      <w:r w:rsidR="006557C4">
        <w:t xml:space="preserve">  </w:t>
      </w:r>
      <w:r w:rsidRPr="00DF1A85" w:rsidR="006557C4">
        <w:t xml:space="preserve">Chariton </w:t>
      </w:r>
      <w:r w:rsidR="006557C4">
        <w:t>met the first construction requirement of operating facilities that transmit with a signal level sufficient to provide adequate service to at least one-third of the population in its licensed area in 2004.</w:t>
      </w:r>
    </w:p>
  </w:footnote>
  <w:footnote w:id="10">
    <w:p w:rsidR="00AC05DD" w:rsidP="000C1B9F">
      <w:pPr>
        <w:pStyle w:val="FootnoteText"/>
        <w:jc w:val="left"/>
      </w:pPr>
      <w:r>
        <w:rPr>
          <w:rStyle w:val="FootnoteReference"/>
        </w:rPr>
        <w:footnoteRef/>
      </w:r>
      <w:r>
        <w:t xml:space="preserve"> </w:t>
      </w:r>
      <w:r>
        <w:tab/>
      </w:r>
      <w:r w:rsidR="000247AB">
        <w:t xml:space="preserve">Crossroads Wireless acquired the License from Chickasaw Wireless, Inc.  </w:t>
      </w:r>
      <w:r>
        <w:rPr>
          <w:i/>
        </w:rPr>
        <w:t xml:space="preserve">See </w:t>
      </w:r>
      <w:r>
        <w:t>ULS File No. 0002938946.</w:t>
      </w:r>
    </w:p>
  </w:footnote>
  <w:footnote w:id="11">
    <w:p w:rsidR="00AC05DD" w:rsidP="000C1B9F">
      <w:pPr>
        <w:pStyle w:val="FootnoteText"/>
        <w:jc w:val="left"/>
      </w:pPr>
      <w:r>
        <w:rPr>
          <w:rStyle w:val="FootnoteReference"/>
        </w:rPr>
        <w:footnoteRef/>
      </w:r>
      <w:r>
        <w:t xml:space="preserve"> </w:t>
      </w:r>
      <w:r>
        <w:tab/>
      </w:r>
      <w:r>
        <w:rPr>
          <w:i/>
        </w:rPr>
        <w:t xml:space="preserve">See </w:t>
      </w:r>
      <w:r>
        <w:t xml:space="preserve">47 </w:t>
      </w:r>
      <w:r w:rsidR="00B66D14">
        <w:t>CFR</w:t>
      </w:r>
      <w:r>
        <w:t xml:space="preserve"> §24.203(a).  In the alternative, licensees may cho</w:t>
      </w:r>
      <w:r w:rsidR="000C3A6C">
        <w:t>o</w:t>
      </w:r>
      <w:r>
        <w:t xml:space="preserve">se to provide “substantial service” in the license area within the appropriate five- and ten-year benchmarks.  </w:t>
      </w:r>
    </w:p>
  </w:footnote>
  <w:footnote w:id="12">
    <w:p w:rsidR="00AC05DD" w:rsidP="000C1B9F">
      <w:pPr>
        <w:pStyle w:val="FootnoteText"/>
        <w:jc w:val="left"/>
      </w:pPr>
      <w:r>
        <w:rPr>
          <w:rStyle w:val="FootnoteReference"/>
        </w:rPr>
        <w:footnoteRef/>
      </w:r>
      <w:r>
        <w:t xml:space="preserve"> </w:t>
      </w:r>
      <w:r>
        <w:rPr>
          <w:i/>
        </w:rPr>
        <w:t xml:space="preserve">See </w:t>
      </w:r>
      <w:r w:rsidR="00C02A8D">
        <w:t>Crossroads Wireless Inc.</w:t>
      </w:r>
      <w:r>
        <w:t xml:space="preserve"> Notification of Pro Form</w:t>
      </w:r>
      <w:r w:rsidR="00F16723">
        <w:t>a</w:t>
      </w:r>
      <w:r>
        <w:t xml:space="preserve"> Assignment, ULS File No. 0003535532 (filed August 6, 2008); Original Waiver Request at 1.</w:t>
      </w:r>
    </w:p>
  </w:footnote>
  <w:footnote w:id="13">
    <w:p w:rsidR="00AC05DD" w:rsidP="000C1B9F">
      <w:pPr>
        <w:pStyle w:val="FootnoteText"/>
        <w:jc w:val="left"/>
      </w:pPr>
      <w:r>
        <w:rPr>
          <w:rStyle w:val="FootnoteReference"/>
        </w:rPr>
        <w:footnoteRef/>
      </w:r>
      <w:r w:rsidR="00C02A8D">
        <w:t xml:space="preserve"> </w:t>
      </w:r>
      <w:r>
        <w:t>Original Waiver Request at 1-2.</w:t>
      </w:r>
    </w:p>
  </w:footnote>
  <w:footnote w:id="14">
    <w:p w:rsidR="00AC05DD" w:rsidP="000C1B9F">
      <w:pPr>
        <w:pStyle w:val="FootnoteText"/>
        <w:jc w:val="left"/>
      </w:pPr>
      <w:r>
        <w:rPr>
          <w:rStyle w:val="FootnoteReference"/>
        </w:rPr>
        <w:footnoteRef/>
      </w:r>
      <w:r w:rsidR="00C02A8D">
        <w:t xml:space="preserve"> </w:t>
      </w:r>
      <w:r>
        <w:rPr>
          <w:i/>
        </w:rPr>
        <w:t xml:space="preserve">Id. </w:t>
      </w:r>
      <w:r>
        <w:t>at 2; Third Supplement at 2.</w:t>
      </w:r>
    </w:p>
  </w:footnote>
  <w:footnote w:id="15">
    <w:p w:rsidR="00AC05DD" w:rsidP="000C1B9F">
      <w:pPr>
        <w:pStyle w:val="FootnoteText"/>
        <w:jc w:val="left"/>
      </w:pPr>
      <w:r>
        <w:rPr>
          <w:rStyle w:val="FootnoteReference"/>
        </w:rPr>
        <w:footnoteRef/>
      </w:r>
      <w:r>
        <w:t xml:space="preserve"> Original Waiver Request at 2.</w:t>
      </w:r>
    </w:p>
  </w:footnote>
  <w:footnote w:id="16">
    <w:p w:rsidR="00AC05DD" w:rsidP="000C1B9F">
      <w:pPr>
        <w:pStyle w:val="FootnoteText"/>
        <w:jc w:val="left"/>
        <w:rPr>
          <w:i/>
        </w:rPr>
      </w:pPr>
      <w:r>
        <w:rPr>
          <w:rStyle w:val="FootnoteReference"/>
        </w:rPr>
        <w:footnoteRef/>
      </w:r>
      <w:r>
        <w:t xml:space="preserve"> </w:t>
      </w:r>
      <w:r>
        <w:rPr>
          <w:i/>
        </w:rPr>
        <w:t>Id.</w:t>
      </w:r>
    </w:p>
  </w:footnote>
  <w:footnote w:id="17">
    <w:p w:rsidR="00AC05DD" w:rsidP="000C1B9F">
      <w:pPr>
        <w:pStyle w:val="FootnoteText"/>
        <w:jc w:val="left"/>
      </w:pPr>
      <w:r>
        <w:rPr>
          <w:rStyle w:val="FootnoteReference"/>
        </w:rPr>
        <w:footnoteRef/>
      </w:r>
      <w:r>
        <w:t xml:space="preserve"> </w:t>
      </w:r>
      <w:r>
        <w:rPr>
          <w:i/>
        </w:rPr>
        <w:t xml:space="preserve">See </w:t>
      </w:r>
      <w:r>
        <w:t>Third Supplement at 1-2.</w:t>
      </w:r>
    </w:p>
  </w:footnote>
  <w:footnote w:id="18">
    <w:p w:rsidR="00AC05DD" w:rsidP="000C1B9F">
      <w:pPr>
        <w:pStyle w:val="FootnoteText"/>
        <w:jc w:val="left"/>
      </w:pPr>
      <w:r>
        <w:rPr>
          <w:rStyle w:val="FootnoteReference"/>
        </w:rPr>
        <w:footnoteRef/>
      </w:r>
      <w:r>
        <w:t xml:space="preserve"> Original Waiver Request at 2; Third Supplement at 1-2.</w:t>
      </w:r>
    </w:p>
  </w:footnote>
  <w:footnote w:id="19">
    <w:p w:rsidR="00AC05DD" w:rsidP="000C1B9F">
      <w:pPr>
        <w:pStyle w:val="FootnoteText"/>
        <w:jc w:val="left"/>
      </w:pPr>
      <w:r>
        <w:rPr>
          <w:rStyle w:val="FootnoteReference"/>
        </w:rPr>
        <w:footnoteRef/>
      </w:r>
      <w:r>
        <w:t xml:space="preserve"> Third Supplement at 2.</w:t>
      </w:r>
    </w:p>
  </w:footnote>
  <w:footnote w:id="20">
    <w:p w:rsidR="00AC05DD" w:rsidP="000C1B9F">
      <w:pPr>
        <w:pStyle w:val="FootnoteText"/>
        <w:jc w:val="left"/>
      </w:pPr>
      <w:r>
        <w:rPr>
          <w:rStyle w:val="FootnoteReference"/>
        </w:rPr>
        <w:footnoteRef/>
      </w:r>
      <w:r>
        <w:t xml:space="preserve"> </w:t>
      </w:r>
      <w:r>
        <w:rPr>
          <w:i/>
        </w:rPr>
        <w:t xml:space="preserve">Id. </w:t>
      </w:r>
      <w:r>
        <w:t>at 2-3.</w:t>
      </w:r>
    </w:p>
  </w:footnote>
  <w:footnote w:id="21">
    <w:p w:rsidR="00AC05DD" w:rsidP="000C1B9F">
      <w:pPr>
        <w:pStyle w:val="FootnoteText"/>
        <w:jc w:val="left"/>
      </w:pPr>
      <w:r>
        <w:rPr>
          <w:rStyle w:val="FootnoteReference"/>
        </w:rPr>
        <w:footnoteRef/>
      </w:r>
      <w:r>
        <w:t xml:space="preserve"> 47 </w:t>
      </w:r>
      <w:r w:rsidR="00B66D14">
        <w:t>CFR</w:t>
      </w:r>
      <w:r>
        <w:t xml:space="preserve"> § 24.203.</w:t>
      </w:r>
    </w:p>
  </w:footnote>
  <w:footnote w:id="22">
    <w:p w:rsidR="00AC05DD" w:rsidP="000C1B9F">
      <w:pPr>
        <w:pStyle w:val="FootnoteText"/>
        <w:jc w:val="left"/>
      </w:pPr>
      <w:r>
        <w:rPr>
          <w:rStyle w:val="FootnoteReference"/>
        </w:rPr>
        <w:footnoteRef/>
      </w:r>
      <w:r>
        <w:t xml:space="preserve"> Original Waiver Request at 3.</w:t>
      </w:r>
    </w:p>
  </w:footnote>
  <w:footnote w:id="23">
    <w:p w:rsidR="00AC05DD" w:rsidP="000C1B9F">
      <w:pPr>
        <w:pStyle w:val="FootnoteText"/>
        <w:jc w:val="left"/>
      </w:pPr>
      <w:r>
        <w:rPr>
          <w:rStyle w:val="FootnoteReference"/>
        </w:rPr>
        <w:footnoteRef/>
      </w:r>
      <w:r>
        <w:t xml:space="preserve"> </w:t>
      </w:r>
      <w:r w:rsidR="00FB6F45">
        <w:rPr>
          <w:i/>
        </w:rPr>
        <w:t>Id.</w:t>
      </w:r>
    </w:p>
  </w:footnote>
  <w:footnote w:id="24">
    <w:p w:rsidR="006B15BB">
      <w:pPr>
        <w:pStyle w:val="FootnoteText"/>
      </w:pPr>
      <w:r>
        <w:rPr>
          <w:rStyle w:val="FootnoteReference"/>
        </w:rPr>
        <w:footnoteRef/>
      </w:r>
      <w:r>
        <w:t xml:space="preserve"> After filing for Chapter 11, Crossroads Wireless assigned its wireless licenses to itself as debtor-in-possession (Crossroads DIP).  </w:t>
      </w:r>
      <w:r w:rsidR="008014A1">
        <w:rPr>
          <w:i/>
        </w:rPr>
        <w:t xml:space="preserve">See </w:t>
      </w:r>
      <w:r>
        <w:t>ULS File No. 0003781303 (filed March 23, 2009).</w:t>
      </w:r>
    </w:p>
  </w:footnote>
  <w:footnote w:id="25">
    <w:p w:rsidR="00AC05DD" w:rsidP="000C1B9F">
      <w:pPr>
        <w:pStyle w:val="FootnoteText"/>
        <w:jc w:val="left"/>
      </w:pPr>
      <w:r>
        <w:rPr>
          <w:rStyle w:val="FootnoteReference"/>
        </w:rPr>
        <w:footnoteRef/>
      </w:r>
      <w:r>
        <w:t xml:space="preserve"> First Supplement at 1.</w:t>
      </w:r>
    </w:p>
  </w:footnote>
  <w:footnote w:id="26">
    <w:p w:rsidR="00AC05DD" w:rsidP="000C1B9F">
      <w:pPr>
        <w:pStyle w:val="FootnoteText"/>
        <w:jc w:val="left"/>
      </w:pPr>
      <w:r>
        <w:rPr>
          <w:rStyle w:val="FootnoteReference"/>
        </w:rPr>
        <w:footnoteRef/>
      </w:r>
      <w:r>
        <w:t xml:space="preserve"> First Supplement at 1-2.</w:t>
      </w:r>
    </w:p>
  </w:footnote>
  <w:footnote w:id="27">
    <w:p w:rsidR="00AC05DD" w:rsidP="000C1B9F">
      <w:pPr>
        <w:pStyle w:val="FootnoteText"/>
        <w:jc w:val="left"/>
      </w:pPr>
      <w:r>
        <w:rPr>
          <w:rStyle w:val="FootnoteReference"/>
        </w:rPr>
        <w:footnoteRef/>
      </w:r>
      <w:r>
        <w:t xml:space="preserve"> Second Supplement at 1.</w:t>
      </w:r>
    </w:p>
  </w:footnote>
  <w:footnote w:id="28">
    <w:p w:rsidR="00AC05DD" w:rsidP="000C1B9F">
      <w:pPr>
        <w:pStyle w:val="FootnoteText"/>
        <w:jc w:val="left"/>
      </w:pPr>
      <w:r>
        <w:rPr>
          <w:rStyle w:val="FootnoteReference"/>
        </w:rPr>
        <w:footnoteRef/>
      </w:r>
      <w:r>
        <w:t xml:space="preserve"> </w:t>
      </w:r>
      <w:r>
        <w:rPr>
          <w:i/>
        </w:rPr>
        <w:t xml:space="preserve">Id. </w:t>
      </w:r>
      <w:r>
        <w:t>at 2-3.</w:t>
      </w:r>
    </w:p>
  </w:footnote>
  <w:footnote w:id="29">
    <w:p w:rsidR="00AC05DD" w:rsidP="000C1B9F">
      <w:pPr>
        <w:pStyle w:val="FootnoteText"/>
        <w:jc w:val="left"/>
      </w:pPr>
      <w:r>
        <w:rPr>
          <w:rStyle w:val="FootnoteReference"/>
        </w:rPr>
        <w:footnoteRef/>
      </w:r>
      <w:r>
        <w:t xml:space="preserve"> Third Supplement at 3.</w:t>
      </w:r>
    </w:p>
  </w:footnote>
  <w:footnote w:id="30">
    <w:p w:rsidR="00AC05DD" w:rsidP="000C1B9F">
      <w:pPr>
        <w:pStyle w:val="FootnoteText"/>
        <w:jc w:val="left"/>
      </w:pPr>
      <w:r>
        <w:rPr>
          <w:rStyle w:val="FootnoteReference"/>
        </w:rPr>
        <w:footnoteRef/>
      </w:r>
      <w:r>
        <w:t xml:space="preserve"> </w:t>
      </w:r>
      <w:r>
        <w:rPr>
          <w:i/>
        </w:rPr>
        <w:t>See</w:t>
      </w:r>
      <w:r>
        <w:t xml:space="preserve"> ULS File No. 0004088784.</w:t>
      </w:r>
    </w:p>
  </w:footnote>
  <w:footnote w:id="31">
    <w:p w:rsidR="00AC05DD" w:rsidP="000C1B9F">
      <w:pPr>
        <w:pStyle w:val="FootnoteText"/>
        <w:jc w:val="left"/>
      </w:pPr>
      <w:r>
        <w:rPr>
          <w:rStyle w:val="FootnoteReference"/>
        </w:rPr>
        <w:footnoteRef/>
      </w:r>
      <w:r>
        <w:t xml:space="preserve"> </w:t>
      </w:r>
      <w:r>
        <w:rPr>
          <w:i/>
        </w:rPr>
        <w:t xml:space="preserve">See </w:t>
      </w:r>
      <w:r>
        <w:t>ULS File No. 0004142962, Exhibits 1 and 2.</w:t>
      </w:r>
    </w:p>
  </w:footnote>
  <w:footnote w:id="32">
    <w:p w:rsidR="00AC05DD" w:rsidP="000C1B9F">
      <w:pPr>
        <w:pStyle w:val="FootnoteText"/>
        <w:jc w:val="left"/>
      </w:pPr>
      <w:r>
        <w:rPr>
          <w:rStyle w:val="FootnoteReference"/>
        </w:rPr>
        <w:footnoteRef/>
      </w:r>
      <w:r>
        <w:t xml:space="preserve"> </w:t>
      </w:r>
      <w:r>
        <w:rPr>
          <w:i/>
        </w:rPr>
        <w:t xml:space="preserve">See </w:t>
      </w:r>
      <w:r>
        <w:t>ULS File No. 0004142962.</w:t>
      </w:r>
    </w:p>
  </w:footnote>
  <w:footnote w:id="33">
    <w:p w:rsidR="00AC05DD" w:rsidP="000C1B9F">
      <w:pPr>
        <w:pStyle w:val="FootnoteText"/>
        <w:jc w:val="left"/>
      </w:pPr>
      <w:r>
        <w:rPr>
          <w:rStyle w:val="FootnoteReference"/>
        </w:rPr>
        <w:footnoteRef/>
      </w:r>
      <w:r>
        <w:t xml:space="preserve"> Third Supplement at 3.</w:t>
      </w:r>
    </w:p>
  </w:footnote>
  <w:footnote w:id="34">
    <w:p w:rsidR="00AC05DD" w:rsidP="000C1B9F">
      <w:pPr>
        <w:pStyle w:val="FootnoteText"/>
        <w:jc w:val="left"/>
      </w:pPr>
      <w:r>
        <w:rPr>
          <w:rStyle w:val="FootnoteReference"/>
        </w:rPr>
        <w:footnoteRef/>
      </w:r>
      <w:r>
        <w:t xml:space="preserve"> Third Supplement at 3; ULS File No. 0004195749.</w:t>
      </w:r>
    </w:p>
  </w:footnote>
  <w:footnote w:id="35">
    <w:p w:rsidR="00AC05DD" w:rsidP="000C1B9F">
      <w:pPr>
        <w:pStyle w:val="FootnoteText"/>
        <w:jc w:val="left"/>
      </w:pPr>
      <w:r>
        <w:rPr>
          <w:rStyle w:val="FootnoteReference"/>
        </w:rPr>
        <w:footnoteRef/>
      </w:r>
      <w:r>
        <w:t xml:space="preserve"> </w:t>
      </w:r>
      <w:r>
        <w:rPr>
          <w:i/>
        </w:rPr>
        <w:t xml:space="preserve">See </w:t>
      </w:r>
      <w:r>
        <w:t>Third Supplement at 1.</w:t>
      </w:r>
    </w:p>
  </w:footnote>
  <w:footnote w:id="36">
    <w:p w:rsidR="00AC05DD" w:rsidP="000C1B9F">
      <w:pPr>
        <w:pStyle w:val="FootnoteText"/>
        <w:jc w:val="left"/>
      </w:pPr>
      <w:r>
        <w:rPr>
          <w:rStyle w:val="FootnoteReference"/>
        </w:rPr>
        <w:footnoteRef/>
      </w:r>
      <w:r>
        <w:t xml:space="preserve"> Third Supplement at 4.</w:t>
      </w:r>
    </w:p>
  </w:footnote>
  <w:footnote w:id="37">
    <w:p w:rsidR="00187080" w:rsidP="000C1B9F">
      <w:pPr>
        <w:pStyle w:val="FootnoteText"/>
        <w:jc w:val="left"/>
      </w:pPr>
      <w:r>
        <w:rPr>
          <w:rStyle w:val="FootnoteReference"/>
        </w:rPr>
        <w:footnoteRef/>
      </w:r>
      <w:r>
        <w:t xml:space="preserve"> </w:t>
      </w:r>
      <w:r w:rsidRPr="00187080">
        <w:rPr>
          <w:i/>
        </w:rPr>
        <w:t>See</w:t>
      </w:r>
      <w:r>
        <w:t xml:space="preserve"> 47 </w:t>
      </w:r>
      <w:r w:rsidR="00B66D14">
        <w:t>CFR</w:t>
      </w:r>
      <w:r>
        <w:t xml:space="preserve"> § 24.203(a).</w:t>
      </w:r>
    </w:p>
  </w:footnote>
  <w:footnote w:id="38">
    <w:p w:rsidR="00187080" w:rsidP="000C1B9F">
      <w:pPr>
        <w:pStyle w:val="FootnoteText"/>
        <w:jc w:val="left"/>
      </w:pPr>
      <w:r>
        <w:rPr>
          <w:rStyle w:val="FootnoteReference"/>
        </w:rPr>
        <w:footnoteRef/>
      </w:r>
      <w:r w:rsidR="00FE6546">
        <w:t xml:space="preserve"> Denial Order, 27 FCC Rcd at 5837</w:t>
      </w:r>
      <w:r w:rsidR="00DD346D">
        <w:t>, para.</w:t>
      </w:r>
      <w:r w:rsidR="00F00327">
        <w:t xml:space="preserve"> 15</w:t>
      </w:r>
      <w:r>
        <w:t>.</w:t>
      </w:r>
    </w:p>
  </w:footnote>
  <w:footnote w:id="39">
    <w:p w:rsidR="0024332F" w:rsidP="000C1B9F">
      <w:pPr>
        <w:pStyle w:val="FootnoteText"/>
        <w:jc w:val="left"/>
      </w:pPr>
      <w:r>
        <w:rPr>
          <w:rStyle w:val="FootnoteReference"/>
        </w:rPr>
        <w:footnoteRef/>
      </w:r>
      <w:r>
        <w:t xml:space="preserve"> </w:t>
      </w:r>
      <w:r w:rsidRPr="0024332F">
        <w:rPr>
          <w:i/>
        </w:rPr>
        <w:t>Id.</w:t>
      </w:r>
    </w:p>
  </w:footnote>
  <w:footnote w:id="40">
    <w:p w:rsidR="00F00327" w:rsidP="000C1B9F">
      <w:pPr>
        <w:pStyle w:val="FootnoteText"/>
        <w:jc w:val="left"/>
      </w:pPr>
      <w:r>
        <w:rPr>
          <w:rStyle w:val="FootnoteReference"/>
        </w:rPr>
        <w:footnoteRef/>
      </w:r>
      <w:r>
        <w:t xml:space="preserve"> </w:t>
      </w:r>
      <w:r w:rsidRPr="00F00327">
        <w:rPr>
          <w:i/>
        </w:rPr>
        <w:t>Id</w:t>
      </w:r>
      <w:r>
        <w:t>. at</w:t>
      </w:r>
      <w:r w:rsidR="00223027">
        <w:t xml:space="preserve"> 5837</w:t>
      </w:r>
      <w:r w:rsidR="00DD346D">
        <w:t>, para.</w:t>
      </w:r>
      <w:r w:rsidR="000247AB">
        <w:t xml:space="preserve"> </w:t>
      </w:r>
      <w:r>
        <w:t>16.</w:t>
      </w:r>
    </w:p>
  </w:footnote>
  <w:footnote w:id="41">
    <w:p w:rsidR="00AC2CFB" w:rsidP="000C1B9F">
      <w:pPr>
        <w:pStyle w:val="FootnoteText"/>
        <w:jc w:val="left"/>
      </w:pPr>
      <w:r>
        <w:rPr>
          <w:rStyle w:val="FootnoteReference"/>
        </w:rPr>
        <w:footnoteRef/>
      </w:r>
      <w:r>
        <w:t xml:space="preserve"> 47 </w:t>
      </w:r>
      <w:r w:rsidR="00B66D14">
        <w:t>CFR</w:t>
      </w:r>
      <w:r>
        <w:t xml:space="preserve"> § 1.946.</w:t>
      </w:r>
    </w:p>
  </w:footnote>
  <w:footnote w:id="42">
    <w:p w:rsidR="00AC2CFB" w:rsidP="000C1B9F">
      <w:pPr>
        <w:pStyle w:val="FootnoteText"/>
        <w:jc w:val="left"/>
      </w:pPr>
      <w:r>
        <w:rPr>
          <w:rStyle w:val="FootnoteReference"/>
        </w:rPr>
        <w:footnoteRef/>
      </w:r>
      <w:r>
        <w:t xml:space="preserve"> 47 </w:t>
      </w:r>
      <w:r w:rsidR="00B66D14">
        <w:t>CFR</w:t>
      </w:r>
      <w:r>
        <w:t xml:space="preserve"> § 1.925.</w:t>
      </w:r>
    </w:p>
  </w:footnote>
  <w:footnote w:id="43">
    <w:p w:rsidR="00D5233C" w:rsidP="000C1B9F">
      <w:pPr>
        <w:pStyle w:val="FootnoteText"/>
        <w:jc w:val="left"/>
      </w:pPr>
      <w:r>
        <w:rPr>
          <w:rStyle w:val="FootnoteReference"/>
        </w:rPr>
        <w:footnoteRef/>
      </w:r>
      <w:r w:rsidR="00FE6546">
        <w:t xml:space="preserve"> Denial Order, 27 FCC Rcd at 5838-39</w:t>
      </w:r>
      <w:r w:rsidR="00DD346D">
        <w:t xml:space="preserve">, para. </w:t>
      </w:r>
      <w:r>
        <w:t>18.</w:t>
      </w:r>
    </w:p>
  </w:footnote>
  <w:footnote w:id="44">
    <w:p w:rsidR="00C5328A" w:rsidP="000C1B9F">
      <w:pPr>
        <w:pStyle w:val="FootnoteText"/>
        <w:jc w:val="left"/>
      </w:pPr>
      <w:r>
        <w:rPr>
          <w:rStyle w:val="FootnoteReference"/>
        </w:rPr>
        <w:footnoteRef/>
      </w:r>
      <w:r>
        <w:t xml:space="preserve"> </w:t>
      </w:r>
      <w:r w:rsidRPr="00C5328A">
        <w:rPr>
          <w:i/>
        </w:rPr>
        <w:t>Id.</w:t>
      </w:r>
      <w:r w:rsidR="008A73C2">
        <w:t xml:space="preserve"> at 5839</w:t>
      </w:r>
      <w:r w:rsidR="00DD346D">
        <w:t xml:space="preserve">, para. </w:t>
      </w:r>
      <w:r>
        <w:t>19.</w:t>
      </w:r>
    </w:p>
  </w:footnote>
  <w:footnote w:id="45">
    <w:p w:rsidR="00441972" w:rsidP="000C1B9F">
      <w:pPr>
        <w:pStyle w:val="FootnoteText"/>
        <w:jc w:val="left"/>
      </w:pPr>
      <w:r>
        <w:rPr>
          <w:rStyle w:val="FootnoteReference"/>
        </w:rPr>
        <w:footnoteRef/>
      </w:r>
      <w:r w:rsidR="008A73C2">
        <w:t xml:space="preserve"> </w:t>
      </w:r>
      <w:r w:rsidR="000C3A6C">
        <w:t>Petition</w:t>
      </w:r>
      <w:r>
        <w:t xml:space="preserve"> at 2.</w:t>
      </w:r>
    </w:p>
  </w:footnote>
  <w:footnote w:id="46">
    <w:p w:rsidR="0026538B" w:rsidP="000C1B9F">
      <w:pPr>
        <w:pStyle w:val="FootnoteText"/>
        <w:jc w:val="left"/>
      </w:pPr>
      <w:r>
        <w:rPr>
          <w:rStyle w:val="FootnoteReference"/>
        </w:rPr>
        <w:footnoteRef/>
      </w:r>
      <w:r>
        <w:t xml:space="preserve"> </w:t>
      </w:r>
      <w:r w:rsidRPr="0026538B">
        <w:rPr>
          <w:i/>
        </w:rPr>
        <w:t>Id.</w:t>
      </w:r>
      <w:r w:rsidR="0098338C">
        <w:t xml:space="preserve"> at 2-6; </w:t>
      </w:r>
      <w:r w:rsidR="0098338C">
        <w:rPr>
          <w:i/>
        </w:rPr>
        <w:t>s</w:t>
      </w:r>
      <w:r w:rsidRPr="00AA1B7E" w:rsidR="0098338C">
        <w:rPr>
          <w:i/>
        </w:rPr>
        <w:t>ee</w:t>
      </w:r>
      <w:r w:rsidR="0098338C">
        <w:t xml:space="preserve"> </w:t>
      </w:r>
      <w:r w:rsidRPr="00DD346D" w:rsidR="0098338C">
        <w:rPr>
          <w:i/>
        </w:rPr>
        <w:t>Facilitating the Provision of Spectrum-Based Services to Rural Areas and Promoting Opportunities for Rural Telephone Companies to Provide Spectrum-Based Services</w:t>
      </w:r>
      <w:r w:rsidR="0098338C">
        <w:t xml:space="preserve">, </w:t>
      </w:r>
      <w:r w:rsidRPr="00DD346D" w:rsidR="0098338C">
        <w:t>Report and Order and Further Notice of Proposed Rulemaking</w:t>
      </w:r>
      <w:r w:rsidR="0098338C">
        <w:t>, 19 FC</w:t>
      </w:r>
      <w:r w:rsidR="00FC0705">
        <w:t>C Rcd 19078, 19124</w:t>
      </w:r>
      <w:r w:rsidR="00DD346D">
        <w:t xml:space="preserve">, para. </w:t>
      </w:r>
      <w:r w:rsidR="002D7369">
        <w:t>80</w:t>
      </w:r>
      <w:r w:rsidR="0098338C">
        <w:t xml:space="preserve"> (2004) (</w:t>
      </w:r>
      <w:r w:rsidRPr="00B73D30" w:rsidR="0098338C">
        <w:rPr>
          <w:i/>
        </w:rPr>
        <w:t>Rural Services Order</w:t>
      </w:r>
      <w:r w:rsidR="0098338C">
        <w:t>).</w:t>
      </w:r>
    </w:p>
  </w:footnote>
  <w:footnote w:id="47">
    <w:p w:rsidR="0026538B" w:rsidRPr="0026538B" w:rsidP="000C1B9F">
      <w:pPr>
        <w:pStyle w:val="FootnoteText"/>
        <w:jc w:val="left"/>
        <w:rPr>
          <w:i/>
        </w:rPr>
      </w:pPr>
      <w:r>
        <w:rPr>
          <w:rStyle w:val="FootnoteReference"/>
        </w:rPr>
        <w:footnoteRef/>
      </w:r>
      <w:r>
        <w:t xml:space="preserve"> </w:t>
      </w:r>
      <w:r w:rsidR="000C3A6C">
        <w:t>Petition</w:t>
      </w:r>
      <w:r w:rsidR="0098338C">
        <w:t xml:space="preserve"> at 2-6.</w:t>
      </w:r>
    </w:p>
  </w:footnote>
  <w:footnote w:id="48">
    <w:p w:rsidR="0026538B" w:rsidP="000C1B9F">
      <w:pPr>
        <w:pStyle w:val="FootnoteText"/>
        <w:jc w:val="left"/>
      </w:pPr>
      <w:r>
        <w:rPr>
          <w:rStyle w:val="FootnoteReference"/>
        </w:rPr>
        <w:footnoteRef/>
      </w:r>
      <w:r>
        <w:t xml:space="preserve"> </w:t>
      </w:r>
      <w:r w:rsidRPr="0026538B">
        <w:rPr>
          <w:i/>
        </w:rPr>
        <w:t>Id.</w:t>
      </w:r>
      <w:r>
        <w:t xml:space="preserve"> at 6-10.</w:t>
      </w:r>
    </w:p>
  </w:footnote>
  <w:footnote w:id="49">
    <w:p w:rsidR="0026538B" w:rsidRPr="0026538B" w:rsidP="000C1B9F">
      <w:pPr>
        <w:pStyle w:val="FootnoteText"/>
        <w:jc w:val="left"/>
        <w:rPr>
          <w:i/>
        </w:rPr>
      </w:pPr>
      <w:r>
        <w:rPr>
          <w:rStyle w:val="FootnoteReference"/>
        </w:rPr>
        <w:footnoteRef/>
      </w:r>
      <w:r>
        <w:t xml:space="preserve"> </w:t>
      </w:r>
      <w:r w:rsidRPr="0026538B">
        <w:rPr>
          <w:i/>
        </w:rPr>
        <w:t>Id.</w:t>
      </w:r>
    </w:p>
  </w:footnote>
  <w:footnote w:id="50">
    <w:p w:rsidR="000E0913" w:rsidP="000C1B9F">
      <w:pPr>
        <w:pStyle w:val="FootnoteText"/>
        <w:jc w:val="left"/>
      </w:pPr>
      <w:r>
        <w:rPr>
          <w:rStyle w:val="FootnoteReference"/>
        </w:rPr>
        <w:footnoteRef/>
      </w:r>
      <w:r>
        <w:t xml:space="preserve"> </w:t>
      </w:r>
      <w:r w:rsidRPr="00081F69">
        <w:rPr>
          <w:i/>
        </w:rPr>
        <w:t xml:space="preserve">See </w:t>
      </w:r>
      <w:r w:rsidRPr="00DD346D">
        <w:rPr>
          <w:i/>
        </w:rPr>
        <w:t xml:space="preserve">Complaint of </w:t>
      </w:r>
      <w:r w:rsidRPr="00DD346D">
        <w:rPr>
          <w:i/>
        </w:rPr>
        <w:t>Lankenau</w:t>
      </w:r>
      <w:r w:rsidRPr="00DD346D">
        <w:rPr>
          <w:i/>
        </w:rPr>
        <w:t xml:space="preserve"> Small Media Network, Inc. Against Ohio Cablevision Network, Inc. d/b/a TCI</w:t>
      </w:r>
      <w:r w:rsidRPr="00DD346D" w:rsidR="00081F69">
        <w:rPr>
          <w:i/>
        </w:rPr>
        <w:t xml:space="preserve"> Cablevision of Ohio, CSR 5030-M, Request for Carriage of WDFM-LP, Defiance, Ohio</w:t>
      </w:r>
      <w:r w:rsidR="00081F69">
        <w:t xml:space="preserve">, </w:t>
      </w:r>
      <w:r w:rsidRPr="00DD346D" w:rsidR="00081F69">
        <w:t>Memorandum Opinion and Order</w:t>
      </w:r>
      <w:r w:rsidR="00081F69">
        <w:t xml:space="preserve">, 13 FCC Rcd 4497 (Cable Bur. 1998); 47 </w:t>
      </w:r>
      <w:r w:rsidR="00B66D14">
        <w:t>CFR</w:t>
      </w:r>
      <w:r w:rsidR="00081F69">
        <w:t xml:space="preserve"> § 1.106(c)(1).</w:t>
      </w:r>
    </w:p>
  </w:footnote>
  <w:footnote w:id="51">
    <w:p w:rsidR="00081F69" w:rsidP="000C1B9F">
      <w:pPr>
        <w:pStyle w:val="FootnoteText"/>
        <w:jc w:val="left"/>
      </w:pPr>
      <w:r>
        <w:rPr>
          <w:rStyle w:val="FootnoteReference"/>
        </w:rPr>
        <w:footnoteRef/>
      </w:r>
      <w:r>
        <w:t xml:space="preserve"> </w:t>
      </w:r>
      <w:r w:rsidR="000C3A6C">
        <w:t>Petition</w:t>
      </w:r>
      <w:r>
        <w:t xml:space="preserve"> at 6.</w:t>
      </w:r>
    </w:p>
  </w:footnote>
  <w:footnote w:id="52">
    <w:p w:rsidR="00685791" w:rsidP="000C1B9F">
      <w:pPr>
        <w:pStyle w:val="FootnoteText"/>
        <w:jc w:val="left"/>
      </w:pPr>
      <w:r>
        <w:rPr>
          <w:rStyle w:val="FootnoteReference"/>
        </w:rPr>
        <w:footnoteRef/>
      </w:r>
      <w:r>
        <w:t xml:space="preserve"> </w:t>
      </w:r>
      <w:r w:rsidRPr="00685791">
        <w:rPr>
          <w:i/>
        </w:rPr>
        <w:t>Id.</w:t>
      </w:r>
      <w:r>
        <w:t xml:space="preserve"> at 7-8.</w:t>
      </w:r>
    </w:p>
  </w:footnote>
  <w:footnote w:id="53">
    <w:p w:rsidR="00685791" w:rsidP="000C1B9F">
      <w:pPr>
        <w:pStyle w:val="FootnoteText"/>
        <w:jc w:val="left"/>
      </w:pPr>
      <w:r>
        <w:rPr>
          <w:rStyle w:val="FootnoteReference"/>
        </w:rPr>
        <w:footnoteRef/>
      </w:r>
      <w:r>
        <w:t xml:space="preserve"> </w:t>
      </w:r>
      <w:r w:rsidRPr="00685791">
        <w:rPr>
          <w:i/>
        </w:rPr>
        <w:t>Id.</w:t>
      </w:r>
      <w:r>
        <w:t xml:space="preserve"> at 8-9.</w:t>
      </w:r>
    </w:p>
  </w:footnote>
  <w:footnote w:id="54">
    <w:p w:rsidR="00AC05DD" w:rsidP="000C1B9F">
      <w:pPr>
        <w:pStyle w:val="FootnoteText"/>
        <w:jc w:val="left"/>
      </w:pPr>
      <w:r>
        <w:rPr>
          <w:rStyle w:val="FootnoteReference"/>
        </w:rPr>
        <w:footnoteRef/>
      </w:r>
      <w:r>
        <w:t xml:space="preserve"> 47 </w:t>
      </w:r>
      <w:r w:rsidR="00B66D14">
        <w:t>CFR</w:t>
      </w:r>
      <w:r>
        <w:t xml:space="preserve"> § 1.946(e).</w:t>
      </w:r>
    </w:p>
  </w:footnote>
  <w:footnote w:id="55">
    <w:p w:rsidR="00AC05DD" w:rsidP="000C1B9F">
      <w:pPr>
        <w:pStyle w:val="FootnoteText"/>
        <w:jc w:val="left"/>
      </w:pPr>
      <w:r>
        <w:rPr>
          <w:rStyle w:val="FootnoteReference"/>
        </w:rPr>
        <w:footnoteRef/>
      </w:r>
      <w:r>
        <w:t xml:space="preserve"> Original Waiver Request at 4.</w:t>
      </w:r>
    </w:p>
  </w:footnote>
  <w:footnote w:id="56">
    <w:p w:rsidR="00164413" w:rsidP="00164413">
      <w:pPr>
        <w:pStyle w:val="FootnoteText"/>
        <w:jc w:val="left"/>
      </w:pPr>
      <w:r>
        <w:rPr>
          <w:rStyle w:val="FootnoteReference"/>
        </w:rPr>
        <w:footnoteRef/>
      </w:r>
      <w:r>
        <w:t xml:space="preserve"> </w:t>
      </w:r>
      <w:r>
        <w:rPr>
          <w:i/>
        </w:rPr>
        <w:t xml:space="preserve">See Federal Communications Commission v. </w:t>
      </w:r>
      <w:r>
        <w:rPr>
          <w:i/>
        </w:rPr>
        <w:t>NextWave</w:t>
      </w:r>
      <w:r>
        <w:rPr>
          <w:i/>
        </w:rPr>
        <w:t xml:space="preserve"> Personal Communications Inc.</w:t>
      </w:r>
      <w:r>
        <w:t xml:space="preserve">, 537 U.S. 293 (January 2003); </w:t>
      </w:r>
      <w:r w:rsidRPr="00DD346D">
        <w:rPr>
          <w:i/>
        </w:rPr>
        <w:t>NextWave</w:t>
      </w:r>
      <w:r w:rsidRPr="00DD346D">
        <w:rPr>
          <w:i/>
        </w:rPr>
        <w:t xml:space="preserve"> Personal Communications Inc. and </w:t>
      </w:r>
      <w:r w:rsidRPr="00DD346D">
        <w:rPr>
          <w:i/>
        </w:rPr>
        <w:t>NextWave</w:t>
      </w:r>
      <w:r w:rsidRPr="00DD346D">
        <w:rPr>
          <w:i/>
        </w:rPr>
        <w:t xml:space="preserve"> Power Partners Inc</w:t>
      </w:r>
      <w:r>
        <w:t xml:space="preserve">., </w:t>
      </w:r>
      <w:r w:rsidRPr="00DD346D">
        <w:t>Order</w:t>
      </w:r>
      <w:r>
        <w:t xml:space="preserve">, 18 FCC Rcd 3235 (WTB 2003); </w:t>
      </w:r>
      <w:r w:rsidRPr="00DD346D">
        <w:rPr>
          <w:i/>
        </w:rPr>
        <w:t>Urban Comm-North Carolina, Inc</w:t>
      </w:r>
      <w:r>
        <w:t xml:space="preserve">., </w:t>
      </w:r>
      <w:r w:rsidRPr="00DD346D">
        <w:t>Order</w:t>
      </w:r>
      <w:r>
        <w:t xml:space="preserve">, 20 FCC Rcd 993 (WTB 2005); </w:t>
      </w:r>
      <w:r w:rsidRPr="00DD346D">
        <w:rPr>
          <w:i/>
        </w:rPr>
        <w:t>Urban Comm-North Carolina, Inc</w:t>
      </w:r>
      <w:r>
        <w:t xml:space="preserve">., </w:t>
      </w:r>
      <w:r w:rsidRPr="00DD346D">
        <w:t>Order</w:t>
      </w:r>
      <w:r>
        <w:t xml:space="preserve">, 21 FCC Rcd 10824 (WTB 2006) (collectively, </w:t>
      </w:r>
      <w:r>
        <w:rPr>
          <w:i/>
        </w:rPr>
        <w:t>Nextwave</w:t>
      </w:r>
      <w:r>
        <w:rPr>
          <w:i/>
        </w:rPr>
        <w:t>/</w:t>
      </w:r>
      <w:r>
        <w:rPr>
          <w:i/>
        </w:rPr>
        <w:t>Urbancomm</w:t>
      </w:r>
      <w:r>
        <w:t>).</w:t>
      </w:r>
    </w:p>
  </w:footnote>
  <w:footnote w:id="57">
    <w:p w:rsidR="00164413" w:rsidP="00164413">
      <w:pPr>
        <w:pStyle w:val="FootnoteText"/>
        <w:jc w:val="left"/>
      </w:pPr>
      <w:r w:rsidRPr="00E13E59">
        <w:rPr>
          <w:rStyle w:val="FootnoteReference"/>
        </w:rPr>
        <w:footnoteRef/>
      </w:r>
      <w:r w:rsidRPr="00E13E59">
        <w:t xml:space="preserve"> Rainbow Broadcasting Company, </w:t>
      </w:r>
      <w:r w:rsidRPr="00E13E59">
        <w:rPr>
          <w:i/>
        </w:rPr>
        <w:t>Decision</w:t>
      </w:r>
      <w:r w:rsidRPr="00E13E59">
        <w:t>, 13 FCC Rcd 21000</w:t>
      </w:r>
      <w:r w:rsidRPr="00E13E59">
        <w:rPr>
          <w:b/>
        </w:rPr>
        <w:t xml:space="preserve"> </w:t>
      </w:r>
      <w:r w:rsidRPr="00E13E59">
        <w:t>(1998) (</w:t>
      </w:r>
      <w:r w:rsidRPr="00E13E59">
        <w:rPr>
          <w:i/>
        </w:rPr>
        <w:t>Rainbow Broadcasting</w:t>
      </w:r>
      <w:r w:rsidRPr="00E13E59">
        <w:t>).</w:t>
      </w:r>
    </w:p>
  </w:footnote>
  <w:footnote w:id="58">
    <w:p w:rsidR="00164413" w:rsidP="00164413">
      <w:pPr>
        <w:pStyle w:val="FootnoteText"/>
        <w:jc w:val="left"/>
      </w:pPr>
      <w:r>
        <w:rPr>
          <w:rStyle w:val="FootnoteReference"/>
        </w:rPr>
        <w:footnoteRef/>
      </w:r>
      <w:r>
        <w:t xml:space="preserve"> Original Waiver Request at 4-7.</w:t>
      </w:r>
    </w:p>
  </w:footnote>
  <w:footnote w:id="59">
    <w:p w:rsidR="00AC05DD" w:rsidP="000C1B9F">
      <w:pPr>
        <w:pStyle w:val="FootnoteText"/>
        <w:jc w:val="left"/>
      </w:pPr>
      <w:r>
        <w:rPr>
          <w:rStyle w:val="FootnoteReference"/>
        </w:rPr>
        <w:footnoteRef/>
      </w:r>
      <w:r>
        <w:t xml:space="preserve"> Third Supplement at 5.</w:t>
      </w:r>
    </w:p>
  </w:footnote>
  <w:footnote w:id="60">
    <w:p w:rsidR="00670A72" w:rsidP="000C1B9F">
      <w:pPr>
        <w:pStyle w:val="FootnoteText"/>
        <w:jc w:val="left"/>
      </w:pPr>
      <w:r>
        <w:rPr>
          <w:rStyle w:val="FootnoteReference"/>
        </w:rPr>
        <w:footnoteRef/>
      </w:r>
      <w:r w:rsidR="00EE72AB">
        <w:t xml:space="preserve"> Denial Order, 27</w:t>
      </w:r>
      <w:r>
        <w:t xml:space="preserve"> FCC Rcd at </w:t>
      </w:r>
      <w:r w:rsidR="00EE72AB">
        <w:t>5837</w:t>
      </w:r>
      <w:r w:rsidR="00DD346D">
        <w:t xml:space="preserve">, para. </w:t>
      </w:r>
      <w:r w:rsidR="00273D30">
        <w:t>15.</w:t>
      </w:r>
    </w:p>
  </w:footnote>
  <w:footnote w:id="61">
    <w:p w:rsidR="00F147E1" w:rsidP="000C1B9F">
      <w:pPr>
        <w:pStyle w:val="FootnoteText"/>
        <w:jc w:val="left"/>
      </w:pPr>
      <w:r>
        <w:rPr>
          <w:rStyle w:val="FootnoteReference"/>
        </w:rPr>
        <w:footnoteRef/>
      </w:r>
      <w:r>
        <w:t xml:space="preserve"> </w:t>
      </w:r>
      <w:r w:rsidR="000C3A6C">
        <w:t>Petition</w:t>
      </w:r>
      <w:r>
        <w:t xml:space="preserve"> at 8-9.</w:t>
      </w:r>
      <w:r w:rsidR="00D75EA7">
        <w:rPr>
          <w:i/>
        </w:rPr>
        <w:t xml:space="preserve">  See </w:t>
      </w:r>
      <w:r w:rsidRPr="00DD346D" w:rsidR="00D75EA7">
        <w:rPr>
          <w:i/>
        </w:rPr>
        <w:t>ComScape</w:t>
      </w:r>
      <w:r w:rsidRPr="00DD346D" w:rsidR="00D75EA7">
        <w:rPr>
          <w:i/>
        </w:rPr>
        <w:t xml:space="preserve"> Communications, Inc</w:t>
      </w:r>
      <w:r w:rsidR="00D75EA7">
        <w:t xml:space="preserve">., </w:t>
      </w:r>
      <w:r w:rsidRPr="00DD346D" w:rsidR="00D75EA7">
        <w:t>Order</w:t>
      </w:r>
      <w:r w:rsidRPr="00D17BB6" w:rsidR="00D75EA7">
        <w:rPr>
          <w:i/>
        </w:rPr>
        <w:t>,</w:t>
      </w:r>
      <w:r w:rsidR="00D75EA7">
        <w:t xml:space="preserve"> 26 FCC Rcd 8831 (WTB-Mobility Division 2011) (</w:t>
      </w:r>
      <w:r w:rsidRPr="00D17BB6" w:rsidR="00D75EA7">
        <w:rPr>
          <w:i/>
        </w:rPr>
        <w:t>ComScape</w:t>
      </w:r>
      <w:r w:rsidR="00D75EA7">
        <w:t xml:space="preserve">) (finding that internecine litigation as well as the subsequent petition for voluntary bankruptcy were both circumstances well within </w:t>
      </w:r>
      <w:r w:rsidR="00D75EA7">
        <w:t>ComScape’s</w:t>
      </w:r>
      <w:r w:rsidR="00D75EA7">
        <w:t xml:space="preserve"> control and thus insufficient grounds for grant of an extension).</w:t>
      </w:r>
    </w:p>
  </w:footnote>
  <w:footnote w:id="62">
    <w:p w:rsidR="005F6FF1" w:rsidP="000C1B9F">
      <w:pPr>
        <w:pStyle w:val="FootnoteText"/>
        <w:jc w:val="left"/>
      </w:pPr>
      <w:r>
        <w:rPr>
          <w:rStyle w:val="FootnoteReference"/>
        </w:rPr>
        <w:footnoteRef/>
      </w:r>
      <w:r>
        <w:t xml:space="preserve"> </w:t>
      </w:r>
      <w:r>
        <w:rPr>
          <w:i/>
        </w:rPr>
        <w:t xml:space="preserve">See </w:t>
      </w:r>
      <w:r>
        <w:t>Original Waiver Request at 9-10.</w:t>
      </w:r>
    </w:p>
  </w:footnote>
  <w:footnote w:id="63">
    <w:p w:rsidR="005F6FF1" w:rsidP="000C1B9F">
      <w:pPr>
        <w:pStyle w:val="FootnoteText"/>
        <w:jc w:val="left"/>
      </w:pPr>
      <w:r>
        <w:rPr>
          <w:rStyle w:val="FootnoteReference"/>
        </w:rPr>
        <w:footnoteRef/>
      </w:r>
      <w:r>
        <w:t xml:space="preserve"> </w:t>
      </w:r>
      <w:r w:rsidR="000C3A6C">
        <w:t>Petition</w:t>
      </w:r>
      <w:r>
        <w:t xml:space="preserve"> at 9.</w:t>
      </w:r>
    </w:p>
  </w:footnote>
  <w:footnote w:id="64">
    <w:p w:rsidR="006F72B6" w:rsidP="000C1B9F">
      <w:pPr>
        <w:pStyle w:val="FootnoteText"/>
        <w:jc w:val="left"/>
      </w:pPr>
      <w:r>
        <w:rPr>
          <w:rStyle w:val="FootnoteReference"/>
        </w:rPr>
        <w:footnoteRef/>
      </w:r>
      <w:r>
        <w:t xml:space="preserve"> </w:t>
      </w:r>
      <w:r w:rsidRPr="006F72B6">
        <w:rPr>
          <w:i/>
        </w:rPr>
        <w:t>Id.</w:t>
      </w:r>
    </w:p>
  </w:footnote>
  <w:footnote w:id="65">
    <w:p w:rsidR="00AC05DD" w:rsidP="000C1B9F">
      <w:pPr>
        <w:pStyle w:val="FootnoteText"/>
        <w:jc w:val="left"/>
      </w:pPr>
      <w:r>
        <w:rPr>
          <w:rStyle w:val="FootnoteReference"/>
        </w:rPr>
        <w:footnoteRef/>
      </w:r>
      <w:r>
        <w:t xml:space="preserve"> </w:t>
      </w:r>
      <w:r w:rsidR="008332D6">
        <w:t>Denial Order, 27</w:t>
      </w:r>
      <w:r w:rsidR="006F72B6">
        <w:t xml:space="preserve"> FCC Rcd at 5</w:t>
      </w:r>
      <w:r w:rsidR="008332D6">
        <w:t>839</w:t>
      </w:r>
      <w:r w:rsidR="00DD346D">
        <w:t xml:space="preserve">, para. </w:t>
      </w:r>
      <w:r w:rsidR="006F72B6">
        <w:t xml:space="preserve">20; </w:t>
      </w:r>
      <w:r w:rsidR="006F72B6">
        <w:rPr>
          <w:i/>
        </w:rPr>
        <w:t>s</w:t>
      </w:r>
      <w:r>
        <w:rPr>
          <w:i/>
        </w:rPr>
        <w:t>ee generally</w:t>
      </w:r>
      <w:r>
        <w:t xml:space="preserve">, </w:t>
      </w:r>
      <w:r>
        <w:rPr>
          <w:i/>
        </w:rPr>
        <w:t>NextWave</w:t>
      </w:r>
      <w:r>
        <w:rPr>
          <w:i/>
        </w:rPr>
        <w:t>/</w:t>
      </w:r>
      <w:r>
        <w:rPr>
          <w:i/>
        </w:rPr>
        <w:t>Urbancomm</w:t>
      </w:r>
      <w:r>
        <w:t>.</w:t>
      </w:r>
    </w:p>
  </w:footnote>
  <w:footnote w:id="66">
    <w:p w:rsidR="006F72B6" w:rsidP="000C1B9F">
      <w:pPr>
        <w:pStyle w:val="FootnoteText"/>
        <w:jc w:val="left"/>
      </w:pPr>
      <w:r>
        <w:rPr>
          <w:rStyle w:val="FootnoteReference"/>
        </w:rPr>
        <w:footnoteRef/>
      </w:r>
      <w:r>
        <w:t xml:space="preserve"> </w:t>
      </w:r>
      <w:r w:rsidRPr="006F72B6">
        <w:rPr>
          <w:i/>
        </w:rPr>
        <w:t>Id.</w:t>
      </w:r>
    </w:p>
  </w:footnote>
  <w:footnote w:id="67">
    <w:p w:rsidR="00FE367C" w:rsidP="000C1B9F">
      <w:pPr>
        <w:pStyle w:val="FootnoteText"/>
        <w:jc w:val="left"/>
      </w:pPr>
      <w:r>
        <w:rPr>
          <w:rStyle w:val="FootnoteReference"/>
        </w:rPr>
        <w:footnoteRef/>
      </w:r>
      <w:r>
        <w:t xml:space="preserve"> </w:t>
      </w:r>
      <w:r w:rsidRPr="00FE367C">
        <w:rPr>
          <w:i/>
        </w:rPr>
        <w:t xml:space="preserve">See </w:t>
      </w:r>
      <w:r>
        <w:t xml:space="preserve">47 </w:t>
      </w:r>
      <w:r w:rsidR="00B66D14">
        <w:t>CFR</w:t>
      </w:r>
      <w:r>
        <w:t xml:space="preserve"> § 1.106(p)(3).</w:t>
      </w:r>
    </w:p>
  </w:footnote>
  <w:footnote w:id="68">
    <w:p w:rsidR="003E0113" w:rsidP="000C1B9F">
      <w:pPr>
        <w:pStyle w:val="FootnoteText"/>
        <w:jc w:val="left"/>
      </w:pPr>
      <w:r>
        <w:rPr>
          <w:rStyle w:val="FootnoteReference"/>
        </w:rPr>
        <w:footnoteRef/>
      </w:r>
      <w:r>
        <w:t xml:space="preserve"> </w:t>
      </w:r>
      <w:r w:rsidR="000C3A6C">
        <w:t>Petition</w:t>
      </w:r>
      <w:r>
        <w:t xml:space="preserve"> at 2-6.</w:t>
      </w:r>
    </w:p>
  </w:footnote>
  <w:footnote w:id="69">
    <w:p w:rsidR="003E0113" w:rsidP="000C1B9F">
      <w:pPr>
        <w:pStyle w:val="FootnoteText"/>
        <w:jc w:val="left"/>
      </w:pPr>
      <w:r>
        <w:rPr>
          <w:rStyle w:val="FootnoteReference"/>
        </w:rPr>
        <w:footnoteRef/>
      </w:r>
      <w:r>
        <w:t xml:space="preserve"> </w:t>
      </w:r>
      <w:r w:rsidRPr="003E0113">
        <w:rPr>
          <w:i/>
        </w:rPr>
        <w:t>Id.</w:t>
      </w:r>
      <w:r>
        <w:t xml:space="preserve"> at 2.</w:t>
      </w:r>
    </w:p>
  </w:footnote>
  <w:footnote w:id="70">
    <w:p w:rsidR="00C52AD9" w:rsidP="000C1B9F">
      <w:pPr>
        <w:pStyle w:val="FootnoteText"/>
        <w:jc w:val="left"/>
      </w:pPr>
      <w:r>
        <w:rPr>
          <w:rStyle w:val="FootnoteReference"/>
        </w:rPr>
        <w:footnoteRef/>
      </w:r>
      <w:r>
        <w:t xml:space="preserve"> </w:t>
      </w:r>
      <w:bookmarkStart w:id="2" w:name="_Hlk520452411"/>
      <w:r>
        <w:t xml:space="preserve">47 </w:t>
      </w:r>
      <w:r w:rsidR="00B66D14">
        <w:t>CFR</w:t>
      </w:r>
      <w:r>
        <w:t xml:space="preserve"> § 1.106(c)(2).</w:t>
      </w:r>
      <w:bookmarkEnd w:id="2"/>
    </w:p>
  </w:footnote>
  <w:footnote w:id="71">
    <w:p w:rsidR="005A5E3D">
      <w:pPr>
        <w:pStyle w:val="FootnoteText"/>
      </w:pPr>
      <w:r>
        <w:rPr>
          <w:rStyle w:val="FootnoteReference"/>
        </w:rPr>
        <w:footnoteRef/>
      </w:r>
      <w:r>
        <w:t xml:space="preserve"> 47 CFR § 1.106(c)(1).</w:t>
      </w:r>
    </w:p>
  </w:footnote>
  <w:footnote w:id="72">
    <w:p w:rsidR="005A5E3D">
      <w:pPr>
        <w:pStyle w:val="FootnoteText"/>
      </w:pPr>
      <w:r>
        <w:rPr>
          <w:rStyle w:val="FootnoteReference"/>
        </w:rPr>
        <w:footnoteRef/>
      </w:r>
      <w:r>
        <w:t xml:space="preserve"> 47 CFR § 1.106(c)(1).</w:t>
      </w:r>
    </w:p>
  </w:footnote>
  <w:footnote w:id="73">
    <w:p w:rsidR="0023001B">
      <w:pPr>
        <w:pStyle w:val="FootnoteText"/>
      </w:pPr>
      <w:r>
        <w:rPr>
          <w:rStyle w:val="FootnoteReference"/>
        </w:rPr>
        <w:footnoteRef/>
      </w:r>
      <w:r>
        <w:t xml:space="preserve"> 47 CFR 106(c)</w:t>
      </w:r>
      <w:r w:rsidR="005A5E3D">
        <w:t>(2)</w:t>
      </w:r>
      <w:r>
        <w:t>.</w:t>
      </w:r>
    </w:p>
  </w:footnote>
  <w:footnote w:id="74">
    <w:p w:rsidR="00675665">
      <w:pPr>
        <w:pStyle w:val="FootnoteText"/>
      </w:pPr>
      <w:r>
        <w:rPr>
          <w:rStyle w:val="FootnoteReference"/>
        </w:rPr>
        <w:footnoteRef/>
      </w:r>
      <w:r>
        <w:t xml:space="preserve"> </w:t>
      </w:r>
      <w:r w:rsidR="00C519AF">
        <w:t>Petition at 3.</w:t>
      </w:r>
    </w:p>
  </w:footnote>
  <w:footnote w:id="75">
    <w:p w:rsidR="00BB5B26" w:rsidRPr="00BB5B26">
      <w:pPr>
        <w:pStyle w:val="FootnoteText"/>
        <w:rPr>
          <w:i/>
        </w:rPr>
      </w:pPr>
      <w:r>
        <w:rPr>
          <w:rStyle w:val="FootnoteReference"/>
        </w:rPr>
        <w:footnoteRef/>
      </w:r>
      <w:r>
        <w:t xml:space="preserve"> </w:t>
      </w:r>
      <w:r>
        <w:rPr>
          <w:i/>
        </w:rPr>
        <w:t>Id.</w:t>
      </w:r>
    </w:p>
  </w:footnote>
  <w:footnote w:id="76">
    <w:p w:rsidR="006A611B" w:rsidP="006A611B">
      <w:pPr>
        <w:pStyle w:val="FootnoteText"/>
        <w:jc w:val="left"/>
      </w:pPr>
      <w:r>
        <w:rPr>
          <w:rStyle w:val="FootnoteReference"/>
        </w:rPr>
        <w:footnoteRef/>
      </w:r>
      <w:r>
        <w:t xml:space="preserve"> 47 U.S.C. § 309(j)(4)(B).</w:t>
      </w:r>
    </w:p>
  </w:footnote>
  <w:footnote w:id="77">
    <w:p w:rsidR="006A611B" w:rsidP="006A611B">
      <w:pPr>
        <w:pStyle w:val="FootnoteText"/>
        <w:jc w:val="left"/>
      </w:pPr>
      <w:r>
        <w:rPr>
          <w:rStyle w:val="FootnoteReference"/>
        </w:rPr>
        <w:footnoteRef/>
      </w:r>
      <w:r>
        <w:t xml:space="preserve"> Original Waiver Request at 2.</w:t>
      </w:r>
    </w:p>
  </w:footnote>
  <w:footnote w:id="78">
    <w:p w:rsidR="005B3EE5" w:rsidP="000C1B9F">
      <w:pPr>
        <w:pStyle w:val="FootnoteText"/>
        <w:jc w:val="left"/>
      </w:pPr>
      <w:r>
        <w:rPr>
          <w:rStyle w:val="FootnoteReference"/>
        </w:rPr>
        <w:footnoteRef/>
      </w:r>
      <w:r>
        <w:t xml:space="preserve"> </w:t>
      </w:r>
      <w:r w:rsidR="000C3A6C">
        <w:t>Petition</w:t>
      </w:r>
      <w:r>
        <w:t xml:space="preserve"> at 3.</w:t>
      </w:r>
    </w:p>
  </w:footnote>
  <w:footnote w:id="79">
    <w:p w:rsidR="00757DBD" w:rsidP="000C1B9F">
      <w:pPr>
        <w:pStyle w:val="FootnoteText"/>
        <w:jc w:val="left"/>
      </w:pPr>
      <w:r>
        <w:rPr>
          <w:rStyle w:val="FootnoteReference"/>
        </w:rPr>
        <w:footnoteRef/>
      </w:r>
      <w:r>
        <w:t xml:space="preserve"> </w:t>
      </w:r>
      <w:r w:rsidRPr="00757DBD">
        <w:rPr>
          <w:i/>
        </w:rPr>
        <w:t>Id.</w:t>
      </w:r>
      <w:r>
        <w:t>, citing FCC File No. 0001786584.</w:t>
      </w:r>
    </w:p>
  </w:footnote>
  <w:footnote w:id="80">
    <w:p w:rsidR="00757DBD" w:rsidP="000C1B9F">
      <w:pPr>
        <w:pStyle w:val="FootnoteText"/>
        <w:jc w:val="left"/>
      </w:pPr>
      <w:r>
        <w:rPr>
          <w:rStyle w:val="FootnoteReference"/>
        </w:rPr>
        <w:footnoteRef/>
      </w:r>
      <w:r>
        <w:t xml:space="preserve"> </w:t>
      </w:r>
      <w:r w:rsidRPr="00757DBD">
        <w:rPr>
          <w:i/>
        </w:rPr>
        <w:t>Id.</w:t>
      </w:r>
    </w:p>
  </w:footnote>
  <w:footnote w:id="81">
    <w:p w:rsidR="006C69FC" w:rsidP="000C1B9F">
      <w:pPr>
        <w:pStyle w:val="FootnoteText"/>
        <w:jc w:val="left"/>
      </w:pPr>
      <w:r>
        <w:rPr>
          <w:rStyle w:val="FootnoteReference"/>
        </w:rPr>
        <w:footnoteRef/>
      </w:r>
      <w:r>
        <w:t xml:space="preserve"> </w:t>
      </w:r>
      <w:r w:rsidRPr="006C69FC">
        <w:rPr>
          <w:i/>
        </w:rPr>
        <w:t>Id</w:t>
      </w:r>
      <w:r>
        <w:t xml:space="preserve">.  Section 24.203(a) of the Commission’s rules requires Broadband PCS </w:t>
      </w:r>
      <w:r>
        <w:t>licensees</w:t>
      </w:r>
      <w:r>
        <w:t xml:space="preserve"> to meet construction requirements by operating facilities that transmit with a signal level sufficient to provide adequate service to at least one-third of the population in their licensed area within five years of being licensed and two-thirds of the population in their licensed area within ten years of being licensed.  47 </w:t>
      </w:r>
      <w:r w:rsidR="00B66D14">
        <w:t>CFR</w:t>
      </w:r>
      <w:r>
        <w:t xml:space="preserve"> § 24.203(a).</w:t>
      </w:r>
    </w:p>
  </w:footnote>
  <w:footnote w:id="82">
    <w:p w:rsidR="007666B6" w:rsidP="000C1B9F">
      <w:pPr>
        <w:pStyle w:val="FootnoteText"/>
        <w:jc w:val="left"/>
      </w:pPr>
      <w:r>
        <w:rPr>
          <w:rStyle w:val="FootnoteReference"/>
        </w:rPr>
        <w:footnoteRef/>
      </w:r>
      <w:r>
        <w:t xml:space="preserve"> </w:t>
      </w:r>
      <w:r w:rsidR="000C3A6C">
        <w:t>Petition</w:t>
      </w:r>
      <w:r>
        <w:t xml:space="preserve"> at 3-6.</w:t>
      </w:r>
    </w:p>
  </w:footnote>
  <w:footnote w:id="83">
    <w:p w:rsidR="00A6301E" w:rsidP="000C1B9F">
      <w:pPr>
        <w:pStyle w:val="FootnoteText"/>
        <w:jc w:val="left"/>
      </w:pPr>
      <w:r>
        <w:rPr>
          <w:rStyle w:val="FootnoteReference"/>
        </w:rPr>
        <w:footnoteRef/>
      </w:r>
      <w:r>
        <w:t xml:space="preserve"> </w:t>
      </w:r>
      <w:r w:rsidRPr="00A6301E">
        <w:rPr>
          <w:i/>
        </w:rPr>
        <w:t>Id.</w:t>
      </w:r>
      <w:r>
        <w:t xml:space="preserve"> at 6.</w:t>
      </w:r>
    </w:p>
  </w:footnote>
  <w:footnote w:id="84">
    <w:p w:rsidR="00BF65F0" w:rsidP="000C1B9F">
      <w:pPr>
        <w:pStyle w:val="FootnoteText"/>
        <w:jc w:val="left"/>
      </w:pPr>
      <w:r>
        <w:rPr>
          <w:rStyle w:val="FootnoteReference"/>
        </w:rPr>
        <w:footnoteRef/>
      </w:r>
      <w:r>
        <w:t xml:space="preserve"> </w:t>
      </w:r>
      <w:r w:rsidRPr="00BF65F0">
        <w:rPr>
          <w:i/>
        </w:rPr>
        <w:t>Id.</w:t>
      </w:r>
      <w:r>
        <w:t xml:space="preserve"> at 5.</w:t>
      </w:r>
      <w:r w:rsidR="00984CAC">
        <w:t xml:space="preserve">  </w:t>
      </w:r>
    </w:p>
  </w:footnote>
  <w:footnote w:id="85">
    <w:p w:rsidR="00BF65F0" w:rsidP="000C1B9F">
      <w:pPr>
        <w:pStyle w:val="FootnoteText"/>
        <w:jc w:val="left"/>
      </w:pPr>
      <w:r>
        <w:rPr>
          <w:rStyle w:val="FootnoteReference"/>
        </w:rPr>
        <w:footnoteRef/>
      </w:r>
      <w:r>
        <w:t xml:space="preserve"> </w:t>
      </w:r>
      <w:r w:rsidRPr="00BF65F0">
        <w:rPr>
          <w:i/>
        </w:rPr>
        <w:t>Id.</w:t>
      </w:r>
      <w:r>
        <w:t xml:space="preserve"> at 6.</w:t>
      </w:r>
    </w:p>
  </w:footnote>
  <w:footnote w:id="86">
    <w:p w:rsidR="00A4513E" w:rsidRPr="0099401B" w:rsidP="000C1B9F">
      <w:pPr>
        <w:pStyle w:val="FootnoteText"/>
        <w:jc w:val="left"/>
      </w:pPr>
      <w:r>
        <w:rPr>
          <w:rStyle w:val="FootnoteReference"/>
        </w:rPr>
        <w:footnoteRef/>
      </w:r>
      <w:r>
        <w:t xml:space="preserve"> </w:t>
      </w:r>
      <w:r w:rsidRPr="00A4513E">
        <w:rPr>
          <w:i/>
        </w:rPr>
        <w:t>Id.</w:t>
      </w:r>
      <w:r w:rsidR="0099401B">
        <w:t xml:space="preserve">; 47 </w:t>
      </w:r>
      <w:r w:rsidR="00B66D14">
        <w:t>CFR</w:t>
      </w:r>
      <w:r w:rsidR="0099401B">
        <w:t xml:space="preserve"> § 24.203(a).</w:t>
      </w:r>
    </w:p>
  </w:footnote>
  <w:footnote w:id="87">
    <w:p w:rsidR="00375130" w:rsidP="000C1B9F">
      <w:pPr>
        <w:pStyle w:val="FootnoteText"/>
        <w:jc w:val="left"/>
      </w:pPr>
      <w:r>
        <w:rPr>
          <w:rStyle w:val="FootnoteReference"/>
        </w:rPr>
        <w:footnoteRef/>
      </w:r>
      <w:r>
        <w:t xml:space="preserve"> </w:t>
      </w:r>
      <w:r w:rsidR="000C3A6C">
        <w:t>Petition</w:t>
      </w:r>
      <w:r>
        <w:t>, Exhibit A (emphasis added).</w:t>
      </w:r>
    </w:p>
  </w:footnote>
  <w:footnote w:id="88">
    <w:p w:rsidR="002B2644" w:rsidP="000C1B9F">
      <w:pPr>
        <w:pStyle w:val="FootnoteText"/>
        <w:jc w:val="left"/>
      </w:pPr>
      <w:r>
        <w:rPr>
          <w:rStyle w:val="FootnoteReference"/>
        </w:rPr>
        <w:footnoteRef/>
      </w:r>
      <w:r>
        <w:t xml:space="preserve"> </w:t>
      </w:r>
      <w:r w:rsidRPr="002B2644">
        <w:rPr>
          <w:i/>
        </w:rPr>
        <w:t>Id.</w:t>
      </w:r>
      <w:r>
        <w:t>, Exhibit B.</w:t>
      </w:r>
    </w:p>
  </w:footnote>
  <w:footnote w:id="89">
    <w:p w:rsidR="002B2644" w:rsidRPr="00E13E59" w:rsidP="000C1B9F">
      <w:pPr>
        <w:pStyle w:val="FootnoteText"/>
        <w:jc w:val="left"/>
        <w:rPr>
          <w:i/>
        </w:rPr>
      </w:pPr>
      <w:r w:rsidRPr="00E13E59">
        <w:rPr>
          <w:rStyle w:val="FootnoteReference"/>
        </w:rPr>
        <w:footnoteRef/>
      </w:r>
      <w:r w:rsidRPr="00E13E59">
        <w:t xml:space="preserve"> </w:t>
      </w:r>
      <w:r w:rsidRPr="00E13E59">
        <w:rPr>
          <w:i/>
        </w:rPr>
        <w:t>Id.</w:t>
      </w:r>
    </w:p>
  </w:footnote>
  <w:footnote w:id="90">
    <w:p w:rsidR="00650D75" w:rsidP="000C1B9F">
      <w:pPr>
        <w:pStyle w:val="FootnoteText"/>
        <w:jc w:val="left"/>
      </w:pPr>
      <w:r>
        <w:rPr>
          <w:rStyle w:val="FootnoteReference"/>
        </w:rPr>
        <w:footnoteRef/>
      </w:r>
      <w:r>
        <w:t xml:space="preserve"> </w:t>
      </w:r>
      <w:r w:rsidRPr="00650D75">
        <w:rPr>
          <w:i/>
        </w:rPr>
        <w:t>Id.</w:t>
      </w:r>
      <w:r>
        <w:t xml:space="preserve"> at 3-5.</w:t>
      </w:r>
    </w:p>
  </w:footnote>
  <w:footnote w:id="91">
    <w:p w:rsidR="00DE51F1" w:rsidRPr="00AA1B7E" w:rsidP="00DE51F1">
      <w:pPr>
        <w:pStyle w:val="FootnoteText"/>
        <w:jc w:val="left"/>
      </w:pPr>
      <w:r>
        <w:rPr>
          <w:rStyle w:val="FootnoteReference"/>
        </w:rPr>
        <w:footnoteRef/>
      </w:r>
      <w:r>
        <w:t xml:space="preserve"> 47 CFR § 24.203(a).</w:t>
      </w:r>
    </w:p>
  </w:footnote>
  <w:footnote w:id="92">
    <w:p w:rsidR="00AA1B7E" w:rsidP="000C1B9F">
      <w:pPr>
        <w:pStyle w:val="FootnoteText"/>
        <w:jc w:val="left"/>
      </w:pPr>
      <w:r>
        <w:rPr>
          <w:rStyle w:val="FootnoteReference"/>
        </w:rPr>
        <w:footnoteRef/>
      </w:r>
      <w:r>
        <w:t xml:space="preserve"> </w:t>
      </w:r>
      <w:r w:rsidR="000C3A6C">
        <w:t>Petition</w:t>
      </w:r>
      <w:r w:rsidR="00B0584D">
        <w:t xml:space="preserve"> at 4; </w:t>
      </w:r>
      <w:r w:rsidR="00B0584D">
        <w:rPr>
          <w:i/>
        </w:rPr>
        <w:t>s</w:t>
      </w:r>
      <w:r w:rsidRPr="00AA1B7E">
        <w:rPr>
          <w:i/>
        </w:rPr>
        <w:t>ee</w:t>
      </w:r>
      <w:r w:rsidR="000B6BB3">
        <w:rPr>
          <w:i/>
        </w:rPr>
        <w:t xml:space="preserve"> Rural Services Order,</w:t>
      </w:r>
      <w:r>
        <w:t xml:space="preserve"> </w:t>
      </w:r>
      <w:r w:rsidR="000B6BB3">
        <w:t>19 FCC Rcd at</w:t>
      </w:r>
      <w:r>
        <w:t xml:space="preserve"> </w:t>
      </w:r>
      <w:r w:rsidR="00A97755">
        <w:t>19123</w:t>
      </w:r>
      <w:r w:rsidR="00DD346D">
        <w:t xml:space="preserve">, para. </w:t>
      </w:r>
      <w:r w:rsidR="00A97755">
        <w:t>79</w:t>
      </w:r>
      <w:r>
        <w:t>.</w:t>
      </w:r>
      <w:r w:rsidR="00746B24">
        <w:t xml:space="preserve">  </w:t>
      </w:r>
      <w:r w:rsidR="00746B24">
        <w:rPr>
          <w:szCs w:val="22"/>
        </w:rPr>
        <w:t xml:space="preserve">In the construction context, the </w:t>
      </w:r>
      <w:r w:rsidR="00746B24">
        <w:rPr>
          <w:i/>
          <w:szCs w:val="22"/>
        </w:rPr>
        <w:t xml:space="preserve">Rural Services Order </w:t>
      </w:r>
      <w:r w:rsidRPr="001B38B6" w:rsidR="00746B24">
        <w:rPr>
          <w:szCs w:val="22"/>
        </w:rPr>
        <w:t xml:space="preserve">defined </w:t>
      </w:r>
      <w:r w:rsidR="00746B24">
        <w:rPr>
          <w:szCs w:val="22"/>
        </w:rPr>
        <w:t xml:space="preserve">rural areas </w:t>
      </w:r>
      <w:r w:rsidRPr="001B38B6" w:rsidR="00746B24">
        <w:rPr>
          <w:szCs w:val="22"/>
        </w:rPr>
        <w:t>as areas with population densities of less t</w:t>
      </w:r>
      <w:r w:rsidR="00746B24">
        <w:rPr>
          <w:szCs w:val="22"/>
        </w:rPr>
        <w:t>han 100 persons per square mile.</w:t>
      </w:r>
    </w:p>
  </w:footnote>
  <w:footnote w:id="93">
    <w:p w:rsidR="005B75DF" w:rsidP="000C1B9F">
      <w:pPr>
        <w:pStyle w:val="FootnoteText"/>
        <w:jc w:val="left"/>
      </w:pPr>
      <w:r>
        <w:rPr>
          <w:rStyle w:val="FootnoteReference"/>
        </w:rPr>
        <w:footnoteRef/>
      </w:r>
      <w:r>
        <w:t xml:space="preserve"> </w:t>
      </w:r>
      <w:r w:rsidRPr="005B75DF">
        <w:rPr>
          <w:i/>
        </w:rPr>
        <w:t>Id.</w:t>
      </w:r>
      <w:r>
        <w:t xml:space="preserve"> at</w:t>
      </w:r>
      <w:r w:rsidR="00A97755">
        <w:t xml:space="preserve"> 19124</w:t>
      </w:r>
      <w:r w:rsidR="00DD346D">
        <w:t>,</w:t>
      </w:r>
      <w:r>
        <w:t xml:space="preserve"> </w:t>
      </w:r>
      <w:r w:rsidR="00DD346D">
        <w:t>para.</w:t>
      </w:r>
      <w:r>
        <w:t xml:space="preserve"> 80.</w:t>
      </w:r>
    </w:p>
  </w:footnote>
  <w:footnote w:id="94">
    <w:p w:rsidR="00DF0CEF" w:rsidP="000C1B9F">
      <w:pPr>
        <w:pStyle w:val="FootnoteText"/>
        <w:jc w:val="left"/>
      </w:pPr>
      <w:r>
        <w:rPr>
          <w:rStyle w:val="FootnoteReference"/>
        </w:rPr>
        <w:footnoteRef/>
      </w:r>
      <w:r>
        <w:t xml:space="preserve"> </w:t>
      </w:r>
      <w:r w:rsidR="000C3A6C">
        <w:t>Petition</w:t>
      </w:r>
      <w:r>
        <w:t xml:space="preserve"> at 5.</w:t>
      </w:r>
    </w:p>
  </w:footnote>
  <w:footnote w:id="95">
    <w:p w:rsidR="00E21FFB" w:rsidP="00E21FFB">
      <w:pPr>
        <w:pStyle w:val="FootnoteText"/>
        <w:jc w:val="left"/>
      </w:pPr>
      <w:r>
        <w:rPr>
          <w:rStyle w:val="FootnoteReference"/>
        </w:rPr>
        <w:footnoteRef/>
      </w:r>
      <w:r>
        <w:t xml:space="preserve"> </w:t>
      </w:r>
      <w:r w:rsidRPr="005D2CA6">
        <w:rPr>
          <w:i/>
        </w:rPr>
        <w:t>See</w:t>
      </w:r>
      <w:r>
        <w:t xml:space="preserve"> ULS administrative details for call sign WPOJ715.</w:t>
      </w:r>
    </w:p>
  </w:footnote>
  <w:footnote w:id="96">
    <w:p w:rsidR="00E21FFB" w:rsidP="00E21FFB">
      <w:pPr>
        <w:pStyle w:val="FootnoteText"/>
        <w:jc w:val="left"/>
      </w:pPr>
      <w:r>
        <w:rPr>
          <w:rStyle w:val="FootnoteReference"/>
        </w:rPr>
        <w:footnoteRef/>
      </w:r>
      <w:r>
        <w:t xml:space="preserve"> </w:t>
      </w:r>
      <w:r>
        <w:rPr>
          <w:i/>
        </w:rPr>
        <w:t xml:space="preserve">See </w:t>
      </w:r>
      <w:r>
        <w:t>69 Fed. Reg. 75144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5DD">
    <w:pPr>
      <w:pStyle w:val="Header"/>
      <w:tabs>
        <w:tab w:val="clear" w:pos="4320"/>
        <w:tab w:val="center" w:pos="4680"/>
        <w:tab w:val="clear" w:pos="8640"/>
        <w:tab w:val="right" w:pos="9360"/>
      </w:tabs>
      <w:rPr>
        <w:b/>
      </w:rPr>
    </w:pPr>
    <w:r>
      <w:rPr>
        <w:b/>
      </w:rPr>
      <w:tab/>
      <w:t>Federal Com</w:t>
    </w:r>
    <w:r w:rsidR="006D4964">
      <w:rPr>
        <w:b/>
      </w:rPr>
      <w:t>munications Commission</w:t>
    </w:r>
    <w:r w:rsidR="006D4964">
      <w:rPr>
        <w:b/>
      </w:rPr>
      <w:tab/>
    </w:r>
    <w:r w:rsidR="00605209">
      <w:rPr>
        <w:b/>
      </w:rPr>
      <w:t>DA 18-820</w:t>
    </w:r>
    <w:r w:rsidR="006D4964">
      <w:rPr>
        <w:b/>
      </w:rPr>
      <w:t xml:space="preserve"> </w:t>
    </w:r>
    <w:r>
      <w:rPr>
        <w:b/>
      </w:rPr>
      <w:t xml:space="preserve"> </w:t>
    </w:r>
  </w:p>
  <w:p w:rsidR="00AC05DD">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AC0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C05DD">
    <w:pPr>
      <w:pStyle w:val="Header"/>
      <w:tabs>
        <w:tab w:val="clear" w:pos="4320"/>
        <w:tab w:val="center" w:pos="4680"/>
        <w:tab w:val="clear" w:pos="8640"/>
        <w:tab w:val="right" w:pos="9360"/>
      </w:tabs>
      <w:rPr>
        <w:b/>
      </w:rPr>
    </w:pPr>
    <w:r>
      <w:rPr>
        <w:b/>
      </w:rPr>
      <w:tab/>
      <w:t>Federal Com</w:t>
    </w:r>
    <w:r w:rsidR="006D4964">
      <w:rPr>
        <w:b/>
      </w:rPr>
      <w:t>munications Commission</w:t>
    </w:r>
    <w:r w:rsidR="006D4964">
      <w:rPr>
        <w:b/>
      </w:rPr>
      <w:tab/>
    </w:r>
    <w:r w:rsidR="00605209">
      <w:rPr>
        <w:b/>
      </w:rPr>
      <w:t>DA 18-820</w:t>
    </w:r>
    <w:r w:rsidR="006D4964">
      <w:rPr>
        <w:b/>
      </w:rPr>
      <w:t xml:space="preserve"> </w:t>
    </w:r>
    <w:r>
      <w:rPr>
        <w:b/>
      </w:rPr>
      <w:t xml:space="preserve"> </w:t>
    </w:r>
  </w:p>
  <w:p w:rsidR="00AC05DD">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EEC882E"/>
    <w:lvl w:ilvl="0">
      <w:start w:val="1"/>
      <w:numFmt w:val="decimal"/>
      <w:lvlText w:val="%1."/>
      <w:lvlJc w:val="left"/>
      <w:pPr>
        <w:tabs>
          <w:tab w:val="num" w:pos="1800"/>
        </w:tabs>
        <w:ind w:left="1800" w:hanging="360"/>
      </w:pPr>
    </w:lvl>
  </w:abstractNum>
  <w:abstractNum w:abstractNumId="1">
    <w:nsid w:val="FFFFFF7D"/>
    <w:multiLevelType w:val="singleLevel"/>
    <w:tmpl w:val="7B0602FA"/>
    <w:lvl w:ilvl="0">
      <w:start w:val="1"/>
      <w:numFmt w:val="decimal"/>
      <w:lvlText w:val="%1."/>
      <w:lvlJc w:val="left"/>
      <w:pPr>
        <w:tabs>
          <w:tab w:val="num" w:pos="1440"/>
        </w:tabs>
        <w:ind w:left="1440" w:hanging="360"/>
      </w:pPr>
    </w:lvl>
  </w:abstractNum>
  <w:abstractNum w:abstractNumId="2">
    <w:nsid w:val="FFFFFF7E"/>
    <w:multiLevelType w:val="singleLevel"/>
    <w:tmpl w:val="7B169F7E"/>
    <w:lvl w:ilvl="0">
      <w:start w:val="1"/>
      <w:numFmt w:val="decimal"/>
      <w:lvlText w:val="%1."/>
      <w:lvlJc w:val="left"/>
      <w:pPr>
        <w:tabs>
          <w:tab w:val="num" w:pos="1080"/>
        </w:tabs>
        <w:ind w:left="1080" w:hanging="360"/>
      </w:pPr>
    </w:lvl>
  </w:abstractNum>
  <w:abstractNum w:abstractNumId="3">
    <w:nsid w:val="FFFFFF7F"/>
    <w:multiLevelType w:val="singleLevel"/>
    <w:tmpl w:val="0F1019BC"/>
    <w:lvl w:ilvl="0">
      <w:start w:val="1"/>
      <w:numFmt w:val="decimal"/>
      <w:lvlText w:val="%1."/>
      <w:lvlJc w:val="left"/>
      <w:pPr>
        <w:tabs>
          <w:tab w:val="num" w:pos="720"/>
        </w:tabs>
        <w:ind w:left="720" w:hanging="360"/>
      </w:pPr>
    </w:lvl>
  </w:abstractNum>
  <w:abstractNum w:abstractNumId="4">
    <w:nsid w:val="FFFFFF80"/>
    <w:multiLevelType w:val="singleLevel"/>
    <w:tmpl w:val="D25475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1C25E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8BA32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334955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5454"/>
    <w:lvl w:ilvl="0">
      <w:start w:val="1"/>
      <w:numFmt w:val="decimal"/>
      <w:lvlText w:val="%1."/>
      <w:lvlJc w:val="left"/>
      <w:pPr>
        <w:tabs>
          <w:tab w:val="num" w:pos="360"/>
        </w:tabs>
        <w:ind w:left="360" w:hanging="360"/>
      </w:pPr>
    </w:lvl>
  </w:abstractNum>
  <w:abstractNum w:abstractNumId="9">
    <w:nsid w:val="FFFFFF89"/>
    <w:multiLevelType w:val="singleLevel"/>
    <w:tmpl w:val="1D246F3A"/>
    <w:lvl w:ilvl="0">
      <w:start w:val="1"/>
      <w:numFmt w:val="bullet"/>
      <w:lvlText w:val=""/>
      <w:lvlJc w:val="left"/>
      <w:pPr>
        <w:tabs>
          <w:tab w:val="num" w:pos="360"/>
        </w:tabs>
        <w:ind w:left="360" w:hanging="360"/>
      </w:pPr>
      <w:rPr>
        <w:rFonts w:ascii="Symbol" w:hAnsi="Symbol" w:hint="default"/>
      </w:rPr>
    </w:lvl>
  </w:abstractNum>
  <w:abstractNum w:abstractNumId="1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0">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1">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2">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4">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5">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6">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7">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0">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9"/>
  </w:num>
  <w:num w:numId="2">
    <w:abstractNumId w:val="30"/>
  </w:num>
  <w:num w:numId="3">
    <w:abstractNumId w:val="13"/>
  </w:num>
  <w:num w:numId="4">
    <w:abstractNumId w:val="25"/>
  </w:num>
  <w:num w:numId="5">
    <w:abstractNumId w:val="14"/>
  </w:num>
  <w:num w:numId="6">
    <w:abstractNumId w:val="28"/>
  </w:num>
  <w:num w:numId="7">
    <w:abstractNumId w:val="22"/>
  </w:num>
  <w:num w:numId="8">
    <w:abstractNumId w:val="15"/>
  </w:num>
  <w:num w:numId="9">
    <w:abstractNumId w:val="27"/>
  </w:num>
  <w:num w:numId="10">
    <w:abstractNumId w:val="20"/>
  </w:num>
  <w:num w:numId="11">
    <w:abstractNumId w:val="19"/>
  </w:num>
  <w:num w:numId="12">
    <w:abstractNumId w:val="16"/>
  </w:num>
  <w:num w:numId="13">
    <w:abstractNumId w:val="21"/>
  </w:num>
  <w:num w:numId="14">
    <w:abstractNumId w:val="26"/>
  </w:num>
  <w:num w:numId="15">
    <w:abstractNumId w:val="11"/>
  </w:num>
  <w:num w:numId="16">
    <w:abstractNumId w:val="12"/>
  </w:num>
  <w:num w:numId="17">
    <w:abstractNumId w:val="17"/>
  </w:num>
  <w:num w:numId="18">
    <w:abstractNumId w:val="10"/>
  </w:num>
  <w:num w:numId="19">
    <w:abstractNumId w:val="18"/>
  </w:num>
  <w:num w:numId="20">
    <w:abstractNumId w:val="23"/>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stylePaneFormatFilter w:val="0004" w:allStyles="0" w:alternateStyleNames="0" w:clearFormatting="0" w:customStyles="0" w:directFormattingOnNumbering="0" w:directFormattingOnParagraphs="0" w:directFormattingOnRuns="0" w:directFormattingOnTables="0" w:headingStyles="0" w:latentStyles="1" w:numberingStyles="0" w:stylesInUse="0" w:tableStyles="0" w:top3HeadingStyles="0" w:visibleStyles="0"/>
  <w:doNotTrackFormatting/>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11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