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67653" w:rsidRPr="006D73F2">
      <w:pPr>
        <w:pStyle w:val="Title"/>
        <w:rPr>
          <w:szCs w:val="22"/>
        </w:rPr>
      </w:pPr>
      <w:bookmarkStart w:id="0" w:name="_GoBack"/>
      <w:bookmarkEnd w:id="0"/>
      <w:r w:rsidRPr="006D73F2">
        <w:rPr>
          <w:szCs w:val="22"/>
        </w:rPr>
        <w:t>Before the</w:t>
      </w:r>
    </w:p>
    <w:p w:rsidR="00467653" w:rsidRPr="006D73F2">
      <w:pPr>
        <w:tabs>
          <w:tab w:val="center" w:pos="4680"/>
        </w:tabs>
        <w:spacing w:line="226" w:lineRule="auto"/>
        <w:jc w:val="center"/>
        <w:rPr>
          <w:b/>
          <w:szCs w:val="22"/>
        </w:rPr>
      </w:pPr>
      <w:r w:rsidRPr="006D73F2">
        <w:rPr>
          <w:b/>
          <w:szCs w:val="22"/>
        </w:rPr>
        <w:t>Federal Communications Commission</w:t>
      </w:r>
    </w:p>
    <w:p w:rsidR="00467653" w:rsidRPr="006D73F2">
      <w:pPr>
        <w:tabs>
          <w:tab w:val="center" w:pos="4680"/>
        </w:tabs>
        <w:spacing w:line="226" w:lineRule="auto"/>
        <w:jc w:val="center"/>
        <w:rPr>
          <w:szCs w:val="22"/>
        </w:rPr>
      </w:pPr>
      <w:r w:rsidRPr="006D73F2">
        <w:rPr>
          <w:b/>
          <w:szCs w:val="22"/>
        </w:rPr>
        <w:t>Washington, DC 20554</w:t>
      </w:r>
    </w:p>
    <w:p w:rsidR="00467653" w:rsidRPr="00B27008" w:rsidP="00B27008">
      <w:pPr>
        <w:tabs>
          <w:tab w:val="left" w:pos="-720"/>
        </w:tabs>
        <w:suppressAutoHyphens/>
        <w:spacing w:line="227" w:lineRule="auto"/>
        <w:rPr>
          <w:spacing w:val="-2"/>
        </w:rPr>
      </w:pPr>
    </w:p>
    <w:tbl>
      <w:tblPr>
        <w:tblW w:w="9540" w:type="dxa"/>
        <w:tblInd w:w="108" w:type="dxa"/>
        <w:tblLayout w:type="fixed"/>
        <w:tblLook w:val="0000"/>
      </w:tblPr>
      <w:tblGrid>
        <w:gridCol w:w="4590"/>
        <w:gridCol w:w="270"/>
        <w:gridCol w:w="4680"/>
      </w:tblGrid>
      <w:tr w:rsidTr="00677CC4">
        <w:tblPrEx>
          <w:tblW w:w="9540" w:type="dxa"/>
          <w:tblInd w:w="108" w:type="dxa"/>
          <w:tblLayout w:type="fixed"/>
          <w:tblLook w:val="0000"/>
        </w:tblPrEx>
        <w:tc>
          <w:tcPr>
            <w:tcW w:w="4590" w:type="dxa"/>
          </w:tcPr>
          <w:p w:rsidR="003264EC" w:rsidRPr="006D73F2" w:rsidP="00303553">
            <w:pPr>
              <w:rPr>
                <w:szCs w:val="22"/>
              </w:rPr>
            </w:pPr>
            <w:r w:rsidRPr="006D73F2">
              <w:rPr>
                <w:spacing w:val="-2"/>
                <w:szCs w:val="22"/>
              </w:rPr>
              <w:t>In the Matter of</w:t>
            </w:r>
            <w:r w:rsidRPr="006D73F2">
              <w:rPr>
                <w:szCs w:val="22"/>
              </w:rPr>
              <w:t xml:space="preserve"> </w:t>
            </w:r>
          </w:p>
          <w:p w:rsidR="003264EC" w:rsidRPr="006D73F2" w:rsidP="00303553">
            <w:pPr>
              <w:rPr>
                <w:szCs w:val="22"/>
              </w:rPr>
            </w:pPr>
          </w:p>
          <w:p w:rsidR="0033192C" w:rsidP="0033192C">
            <w:pPr>
              <w:widowControl/>
              <w:autoSpaceDE w:val="0"/>
              <w:autoSpaceDN w:val="0"/>
              <w:adjustRightInd w:val="0"/>
              <w:rPr>
                <w:rFonts w:ascii="TimesNewRomanPSMT" w:hAnsi="TimesNewRomanPSMT" w:cs="TimesNewRomanPSMT"/>
                <w:snapToGrid/>
                <w:color w:val="010101"/>
                <w:kern w:val="0"/>
                <w:szCs w:val="22"/>
              </w:rPr>
            </w:pPr>
            <w:r>
              <w:rPr>
                <w:rFonts w:ascii="TimesNewRomanPSMT" w:hAnsi="TimesNewRomanPSMT" w:cs="TimesNewRomanPSMT"/>
                <w:snapToGrid/>
                <w:color w:val="010101"/>
                <w:kern w:val="0"/>
                <w:szCs w:val="22"/>
              </w:rPr>
              <w:t>Juan Carlos Uribe</w:t>
            </w:r>
          </w:p>
          <w:p w:rsidR="001136EF" w:rsidP="0033192C">
            <w:pPr>
              <w:widowControl/>
              <w:autoSpaceDE w:val="0"/>
              <w:autoSpaceDN w:val="0"/>
              <w:adjustRightInd w:val="0"/>
              <w:rPr>
                <w:rFonts w:ascii="TimesNewRomanPSMT" w:hAnsi="TimesNewRomanPSMT" w:cs="TimesNewRomanPSMT"/>
                <w:snapToGrid/>
                <w:color w:val="010101"/>
                <w:kern w:val="0"/>
                <w:szCs w:val="22"/>
              </w:rPr>
            </w:pPr>
          </w:p>
          <w:p w:rsidR="003264EC" w:rsidRPr="006D73F2" w:rsidP="0033192C">
            <w:pPr>
              <w:rPr>
                <w:spacing w:val="-2"/>
                <w:szCs w:val="22"/>
              </w:rPr>
            </w:pPr>
            <w:r>
              <w:rPr>
                <w:rFonts w:ascii="TimesNewRomanPSMT" w:hAnsi="TimesNewRomanPSMT" w:cs="TimesNewRomanPSMT"/>
                <w:snapToGrid/>
                <w:color w:val="010101"/>
                <w:kern w:val="0"/>
                <w:szCs w:val="22"/>
              </w:rPr>
              <w:t>Van Nuys, California</w:t>
            </w:r>
            <w:r w:rsidR="00BC7474">
              <w:rPr>
                <w:spacing w:val="-2"/>
                <w:szCs w:val="22"/>
              </w:rPr>
              <w:t xml:space="preserve">  </w:t>
            </w:r>
          </w:p>
        </w:tc>
        <w:tc>
          <w:tcPr>
            <w:tcW w:w="270" w:type="dxa"/>
          </w:tcPr>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RPr="006D73F2" w:rsidP="00303553">
            <w:pPr>
              <w:tabs>
                <w:tab w:val="center" w:pos="4680"/>
              </w:tabs>
              <w:suppressAutoHyphens/>
              <w:spacing w:line="240" w:lineRule="atLeast"/>
              <w:jc w:val="both"/>
              <w:outlineLvl w:val="0"/>
              <w:rPr>
                <w:szCs w:val="22"/>
              </w:rPr>
            </w:pPr>
            <w:r w:rsidRPr="006D73F2">
              <w:rPr>
                <w:szCs w:val="22"/>
              </w:rPr>
              <w:t>)</w:t>
            </w:r>
          </w:p>
          <w:p w:rsidR="003264EC" w:rsidP="00303553">
            <w:pPr>
              <w:tabs>
                <w:tab w:val="center" w:pos="4680"/>
              </w:tabs>
              <w:suppressAutoHyphens/>
              <w:spacing w:line="240" w:lineRule="atLeast"/>
              <w:jc w:val="both"/>
              <w:outlineLvl w:val="0"/>
              <w:rPr>
                <w:szCs w:val="22"/>
              </w:rPr>
            </w:pPr>
            <w:r w:rsidRPr="006D73F2">
              <w:rPr>
                <w:szCs w:val="22"/>
              </w:rPr>
              <w:t>)</w:t>
            </w:r>
          </w:p>
          <w:p w:rsidR="00CD5709" w:rsidRPr="006D73F2" w:rsidP="00303553">
            <w:pPr>
              <w:tabs>
                <w:tab w:val="center" w:pos="4680"/>
              </w:tabs>
              <w:suppressAutoHyphens/>
              <w:spacing w:line="240" w:lineRule="atLeast"/>
              <w:jc w:val="both"/>
              <w:outlineLvl w:val="0"/>
              <w:rPr>
                <w:szCs w:val="22"/>
              </w:rPr>
            </w:pPr>
            <w:r>
              <w:rPr>
                <w:szCs w:val="22"/>
              </w:rPr>
              <w:t>)</w:t>
            </w:r>
          </w:p>
          <w:p w:rsidR="003264EC" w:rsidRPr="006D73F2" w:rsidP="00303553">
            <w:pPr>
              <w:tabs>
                <w:tab w:val="center" w:pos="4680"/>
              </w:tabs>
              <w:suppressAutoHyphens/>
              <w:spacing w:line="240" w:lineRule="atLeast"/>
              <w:jc w:val="both"/>
              <w:outlineLvl w:val="0"/>
              <w:rPr>
                <w:szCs w:val="22"/>
              </w:rPr>
            </w:pPr>
          </w:p>
        </w:tc>
        <w:tc>
          <w:tcPr>
            <w:tcW w:w="4680" w:type="dxa"/>
          </w:tcPr>
          <w:p w:rsidR="003264EC" w:rsidRPr="006D73F2" w:rsidP="00303553">
            <w:pPr>
              <w:rPr>
                <w:spacing w:val="-2"/>
                <w:szCs w:val="22"/>
              </w:rPr>
            </w:pPr>
          </w:p>
          <w:p w:rsidR="003264EC" w:rsidRPr="006D73F2" w:rsidP="00303553">
            <w:pPr>
              <w:ind w:left="702"/>
              <w:rPr>
                <w:spacing w:val="-2"/>
                <w:szCs w:val="22"/>
              </w:rPr>
            </w:pPr>
          </w:p>
          <w:p w:rsidR="00510041" w:rsidP="00303553">
            <w:pPr>
              <w:ind w:left="702"/>
              <w:rPr>
                <w:color w:val="000000" w:themeColor="text1"/>
                <w:spacing w:val="-2"/>
                <w:szCs w:val="22"/>
              </w:rPr>
            </w:pPr>
            <w:r w:rsidRPr="006D73F2">
              <w:rPr>
                <w:szCs w:val="22"/>
              </w:rPr>
              <w:t xml:space="preserve">File No.:  </w:t>
            </w:r>
            <w:r w:rsidRPr="001136EF" w:rsidR="001136EF">
              <w:rPr>
                <w:szCs w:val="22"/>
              </w:rPr>
              <w:t>EB-FIELDWR-16-00022797</w:t>
            </w:r>
            <w:r>
              <w:rPr>
                <w:rStyle w:val="FootnoteReference"/>
                <w:szCs w:val="22"/>
              </w:rPr>
              <w:footnoteReference w:id="3"/>
            </w:r>
          </w:p>
          <w:p w:rsidR="003264EC" w:rsidRPr="006D73F2" w:rsidP="00303553">
            <w:pPr>
              <w:ind w:left="702"/>
              <w:rPr>
                <w:szCs w:val="22"/>
              </w:rPr>
            </w:pPr>
            <w:r w:rsidRPr="006D73F2">
              <w:rPr>
                <w:szCs w:val="22"/>
              </w:rPr>
              <w:t xml:space="preserve">NAL/Acct. No.: </w:t>
            </w:r>
            <w:r w:rsidR="004306BC">
              <w:rPr>
                <w:szCs w:val="22"/>
              </w:rPr>
              <w:t xml:space="preserve"> </w:t>
            </w:r>
            <w:r w:rsidR="004306BC">
              <w:t>201832030001</w:t>
            </w:r>
          </w:p>
          <w:p w:rsidR="003264EC" w:rsidRPr="006D73F2" w:rsidP="006204AA">
            <w:pPr>
              <w:ind w:left="702"/>
              <w:rPr>
                <w:szCs w:val="22"/>
              </w:rPr>
            </w:pPr>
            <w:r w:rsidRPr="006D73F2">
              <w:rPr>
                <w:szCs w:val="22"/>
              </w:rPr>
              <w:t>FRN:</w:t>
            </w:r>
            <w:r w:rsidR="00510041">
              <w:rPr>
                <w:color w:val="000000" w:themeColor="text1"/>
                <w:spacing w:val="-2"/>
                <w:szCs w:val="22"/>
              </w:rPr>
              <w:t xml:space="preserve"> </w:t>
            </w:r>
            <w:r w:rsidR="008C39E5">
              <w:rPr>
                <w:color w:val="000000" w:themeColor="text1"/>
                <w:spacing w:val="-2"/>
                <w:szCs w:val="22"/>
              </w:rPr>
              <w:t xml:space="preserve"> </w:t>
            </w:r>
            <w:r w:rsidR="001E2CCB">
              <w:rPr>
                <w:rFonts w:ascii="TimesNewRomanPSMT" w:hAnsi="TimesNewRomanPSMT" w:cs="TimesNewRomanPSMT"/>
                <w:snapToGrid/>
                <w:color w:val="010101"/>
                <w:kern w:val="0"/>
                <w:szCs w:val="22"/>
              </w:rPr>
              <w:t>0024463671</w:t>
            </w:r>
          </w:p>
        </w:tc>
      </w:tr>
    </w:tbl>
    <w:p w:rsidR="00467653" w:rsidRPr="005514FC" w:rsidP="005514FC">
      <w:pPr>
        <w:jc w:val="center"/>
        <w:rPr>
          <w:b/>
        </w:rPr>
      </w:pPr>
      <w:r w:rsidRPr="005514FC">
        <w:rPr>
          <w:b/>
        </w:rPr>
        <w:t>FORFEITURE ORDER</w:t>
      </w:r>
    </w:p>
    <w:p w:rsidR="00EE33F3" w:rsidRPr="006D73F2" w:rsidP="005362D6">
      <w:pPr>
        <w:spacing w:line="226" w:lineRule="auto"/>
        <w:jc w:val="both"/>
        <w:rPr>
          <w:b/>
          <w:szCs w:val="22"/>
        </w:rPr>
      </w:pPr>
    </w:p>
    <w:p w:rsidR="00467653" w:rsidRPr="00B27008" w:rsidP="009F09D9">
      <w:pPr>
        <w:tabs>
          <w:tab w:val="right" w:pos="9360"/>
        </w:tabs>
        <w:spacing w:line="226" w:lineRule="auto"/>
        <w:rPr>
          <w:b/>
        </w:rPr>
      </w:pPr>
      <w:r w:rsidRPr="00816F70">
        <w:rPr>
          <w:b/>
          <w:szCs w:val="22"/>
        </w:rPr>
        <w:t>Adopted:</w:t>
      </w:r>
      <w:r w:rsidR="00824814">
        <w:rPr>
          <w:b/>
          <w:szCs w:val="22"/>
        </w:rPr>
        <w:t xml:space="preserve"> </w:t>
      </w:r>
      <w:r w:rsidR="009F09D9">
        <w:rPr>
          <w:b/>
          <w:szCs w:val="22"/>
        </w:rPr>
        <w:t>August</w:t>
      </w:r>
      <w:r w:rsidR="00C86B7D">
        <w:rPr>
          <w:b/>
          <w:szCs w:val="22"/>
        </w:rPr>
        <w:t xml:space="preserve"> 6</w:t>
      </w:r>
      <w:r w:rsidR="00824814">
        <w:rPr>
          <w:b/>
          <w:szCs w:val="22"/>
        </w:rPr>
        <w:t>, 201</w:t>
      </w:r>
      <w:r w:rsidR="001136EF">
        <w:rPr>
          <w:b/>
          <w:szCs w:val="22"/>
        </w:rPr>
        <w:t>8</w:t>
      </w:r>
      <w:r w:rsidR="009F09D9">
        <w:rPr>
          <w:b/>
          <w:szCs w:val="22"/>
        </w:rPr>
        <w:tab/>
      </w:r>
      <w:r w:rsidRPr="00816F70">
        <w:rPr>
          <w:b/>
          <w:szCs w:val="22"/>
        </w:rPr>
        <w:t>Released:</w:t>
      </w:r>
      <w:r w:rsidR="00824814">
        <w:rPr>
          <w:b/>
        </w:rPr>
        <w:t xml:space="preserve"> </w:t>
      </w:r>
      <w:r w:rsidR="00A8738E">
        <w:rPr>
          <w:b/>
        </w:rPr>
        <w:t xml:space="preserve"> </w:t>
      </w:r>
      <w:r w:rsidR="009F09D9">
        <w:rPr>
          <w:b/>
        </w:rPr>
        <w:t>August</w:t>
      </w:r>
      <w:r w:rsidR="00824814">
        <w:rPr>
          <w:b/>
        </w:rPr>
        <w:t xml:space="preserve"> </w:t>
      </w:r>
      <w:r w:rsidR="00C86B7D">
        <w:rPr>
          <w:b/>
        </w:rPr>
        <w:t>6</w:t>
      </w:r>
      <w:r w:rsidR="00824814">
        <w:rPr>
          <w:b/>
        </w:rPr>
        <w:t>, 201</w:t>
      </w:r>
      <w:r w:rsidR="001136EF">
        <w:rPr>
          <w:b/>
        </w:rPr>
        <w:t>8</w:t>
      </w:r>
    </w:p>
    <w:p w:rsidR="00467653" w:rsidRPr="006D73F2">
      <w:pPr>
        <w:spacing w:line="226" w:lineRule="auto"/>
        <w:jc w:val="both"/>
        <w:rPr>
          <w:b/>
          <w:szCs w:val="22"/>
        </w:rPr>
      </w:pPr>
    </w:p>
    <w:p w:rsidR="00467653" w:rsidRPr="006D73F2">
      <w:pPr>
        <w:tabs>
          <w:tab w:val="left" w:pos="720"/>
          <w:tab w:val="left" w:pos="5760"/>
        </w:tabs>
        <w:suppressAutoHyphens/>
        <w:spacing w:line="227" w:lineRule="auto"/>
        <w:jc w:val="both"/>
        <w:rPr>
          <w:spacing w:val="-2"/>
          <w:szCs w:val="22"/>
        </w:rPr>
      </w:pPr>
      <w:r w:rsidRPr="006D73F2">
        <w:rPr>
          <w:spacing w:val="-2"/>
          <w:szCs w:val="22"/>
        </w:rPr>
        <w:t xml:space="preserve">By the </w:t>
      </w:r>
      <w:r w:rsidRPr="006D73F2" w:rsidR="009F11A1">
        <w:rPr>
          <w:spacing w:val="-2"/>
          <w:szCs w:val="22"/>
        </w:rPr>
        <w:t>Regional Director</w:t>
      </w:r>
      <w:r w:rsidR="00633D23">
        <w:rPr>
          <w:spacing w:val="-2"/>
          <w:szCs w:val="22"/>
        </w:rPr>
        <w:t xml:space="preserve">, Region </w:t>
      </w:r>
      <w:r w:rsidR="00C576D7">
        <w:rPr>
          <w:spacing w:val="-2"/>
          <w:szCs w:val="22"/>
        </w:rPr>
        <w:t>Three</w:t>
      </w:r>
      <w:r w:rsidR="00633D23">
        <w:rPr>
          <w:spacing w:val="-2"/>
          <w:szCs w:val="22"/>
        </w:rPr>
        <w:t>, Enforcement Bureau</w:t>
      </w:r>
      <w:r w:rsidRPr="006D73F2">
        <w:rPr>
          <w:spacing w:val="-2"/>
          <w:szCs w:val="22"/>
        </w:rPr>
        <w:t>:</w:t>
      </w:r>
    </w:p>
    <w:p w:rsidR="00467653" w:rsidRPr="006D73F2">
      <w:pPr>
        <w:tabs>
          <w:tab w:val="left" w:pos="0"/>
        </w:tabs>
        <w:suppressAutoHyphens/>
        <w:spacing w:line="240" w:lineRule="atLeast"/>
        <w:jc w:val="both"/>
        <w:rPr>
          <w:spacing w:val="-2"/>
          <w:szCs w:val="22"/>
        </w:rPr>
      </w:pPr>
    </w:p>
    <w:p w:rsidR="00750FC3" w:rsidP="001D52C9">
      <w:pPr>
        <w:pStyle w:val="ParaNum"/>
      </w:pPr>
      <w:r w:rsidRPr="009D2142">
        <w:rPr>
          <w:spacing w:val="-2"/>
          <w:szCs w:val="22"/>
        </w:rPr>
        <w:t>We</w:t>
      </w:r>
      <w:r>
        <w:rPr>
          <w:spacing w:val="-2"/>
          <w:szCs w:val="22"/>
        </w:rPr>
        <w:t xml:space="preserve"> impose</w:t>
      </w:r>
      <w:r w:rsidRPr="009D2142">
        <w:rPr>
          <w:spacing w:val="-2"/>
          <w:szCs w:val="22"/>
        </w:rPr>
        <w:t xml:space="preserve"> a penalty of $15,000 against </w:t>
      </w:r>
      <w:r w:rsidR="001136EF">
        <w:rPr>
          <w:spacing w:val="-2"/>
          <w:szCs w:val="22"/>
        </w:rPr>
        <w:t>Juan Carlos Uribe</w:t>
      </w:r>
      <w:r w:rsidR="006204AA">
        <w:rPr>
          <w:spacing w:val="-2"/>
          <w:szCs w:val="22"/>
        </w:rPr>
        <w:t xml:space="preserve"> </w:t>
      </w:r>
      <w:r w:rsidRPr="009D2142">
        <w:rPr>
          <w:spacing w:val="-2"/>
          <w:szCs w:val="22"/>
        </w:rPr>
        <w:t xml:space="preserve">for operating an unlicensed radio station on </w:t>
      </w:r>
      <w:r w:rsidR="001136EF">
        <w:rPr>
          <w:rFonts w:ascii="TimesNewRomanPSMT" w:hAnsi="TimesNewRomanPSMT" w:cs="TimesNewRomanPSMT"/>
          <w:snapToGrid/>
          <w:color w:val="010101"/>
          <w:kern w:val="0"/>
          <w:szCs w:val="22"/>
        </w:rPr>
        <w:t>95.1 MHz in Van Nuys, California</w:t>
      </w:r>
      <w:r w:rsidRPr="009D2142">
        <w:rPr>
          <w:spacing w:val="-2"/>
          <w:szCs w:val="22"/>
        </w:rPr>
        <w:t xml:space="preserve">.  </w:t>
      </w:r>
      <w:r>
        <w:rPr>
          <w:spacing w:val="-2"/>
          <w:szCs w:val="22"/>
        </w:rPr>
        <w:t xml:space="preserve">Commission Field Agents observed Mr. </w:t>
      </w:r>
      <w:r w:rsidR="001136EF">
        <w:rPr>
          <w:spacing w:val="-2"/>
          <w:szCs w:val="22"/>
        </w:rPr>
        <w:t>Uribe</w:t>
      </w:r>
      <w:r w:rsidR="000E63E1">
        <w:rPr>
          <w:spacing w:val="-2"/>
          <w:szCs w:val="22"/>
        </w:rPr>
        <w:t xml:space="preserve"> </w:t>
      </w:r>
      <w:r>
        <w:rPr>
          <w:spacing w:val="-2"/>
          <w:szCs w:val="22"/>
        </w:rPr>
        <w:t xml:space="preserve">operating his unauthorized radio station </w:t>
      </w:r>
      <w:r w:rsidR="001136EF">
        <w:rPr>
          <w:spacing w:val="-2"/>
          <w:szCs w:val="22"/>
        </w:rPr>
        <w:t>in 2016</w:t>
      </w:r>
      <w:r>
        <w:rPr>
          <w:spacing w:val="-2"/>
          <w:szCs w:val="22"/>
        </w:rPr>
        <w:t xml:space="preserve">.  </w:t>
      </w:r>
      <w:r w:rsidRPr="009D2142">
        <w:rPr>
          <w:spacing w:val="-2"/>
          <w:szCs w:val="22"/>
        </w:rPr>
        <w:t xml:space="preserve">Commission action in this area is essential because </w:t>
      </w:r>
      <w:r w:rsidR="00A14FEF">
        <w:rPr>
          <w:spacing w:val="-2"/>
          <w:szCs w:val="22"/>
        </w:rPr>
        <w:t xml:space="preserve">unlicensed radio stations do not broadcast Emergency Alert Service (EAS) messages, and so create a public safety hazard for their listeners.  Moreover, </w:t>
      </w:r>
      <w:r w:rsidRPr="009D2142">
        <w:rPr>
          <w:spacing w:val="-2"/>
          <w:szCs w:val="22"/>
        </w:rPr>
        <w:t xml:space="preserve">unlicensed radio stations create a danger of interference to licensed communications and undermine the Commission’s authority over FM broadcast radio operations. </w:t>
      </w:r>
    </w:p>
    <w:p w:rsidR="006D73F2" w:rsidRPr="006D73F2" w:rsidP="001D52C9">
      <w:pPr>
        <w:pStyle w:val="ParaNum"/>
      </w:pPr>
      <w:r w:rsidRPr="006D73F2">
        <w:t>O</w:t>
      </w:r>
      <w:r w:rsidRPr="006D73F2" w:rsidR="003264EC">
        <w:t xml:space="preserve">n </w:t>
      </w:r>
      <w:r w:rsidR="001136EF">
        <w:t>November 2</w:t>
      </w:r>
      <w:r w:rsidR="000E63E1">
        <w:t>1,</w:t>
      </w:r>
      <w:r w:rsidR="00750FC3">
        <w:t xml:space="preserve"> 201</w:t>
      </w:r>
      <w:r w:rsidR="001136EF">
        <w:t>7</w:t>
      </w:r>
      <w:r w:rsidRPr="006D73F2" w:rsidR="00EC393B">
        <w:t>, the Enforcement Bureau</w:t>
      </w:r>
      <w:r w:rsidR="00750FC3">
        <w:t xml:space="preserve"> (Bureau) </w:t>
      </w:r>
      <w:r w:rsidRPr="006D73F2" w:rsidR="00467653">
        <w:t xml:space="preserve">issued </w:t>
      </w:r>
      <w:r w:rsidR="00816F70">
        <w:t>a</w:t>
      </w:r>
      <w:r w:rsidRPr="006D73F2" w:rsidR="00172FB7">
        <w:t xml:space="preserve"> </w:t>
      </w:r>
      <w:r w:rsidR="00816F70">
        <w:t>Notice of Apparent Liability for Forfeiture (</w:t>
      </w:r>
      <w:r w:rsidRPr="006D73F2" w:rsidR="00467653">
        <w:rPr>
          <w:i/>
        </w:rPr>
        <w:t>NAL</w:t>
      </w:r>
      <w:r w:rsidR="00816F70">
        <w:t>)</w:t>
      </w:r>
      <w:r w:rsidRPr="006D73F2" w:rsidR="009F11A1">
        <w:t xml:space="preserve"> </w:t>
      </w:r>
      <w:r w:rsidRPr="006D73F2" w:rsidR="008F7F2E">
        <w:t>proposing a $</w:t>
      </w:r>
      <w:r w:rsidR="00750FC3">
        <w:t>15,000</w:t>
      </w:r>
      <w:r w:rsidRPr="006D73F2" w:rsidR="007C0C63">
        <w:t xml:space="preserve"> </w:t>
      </w:r>
      <w:r w:rsidRPr="006D73F2" w:rsidR="008F7F2E">
        <w:t>forfeiture against</w:t>
      </w:r>
      <w:r w:rsidRPr="006D73F2" w:rsidR="007C0C63">
        <w:t xml:space="preserve"> </w:t>
      </w:r>
      <w:r w:rsidR="00750FC3">
        <w:t xml:space="preserve">Mr. </w:t>
      </w:r>
      <w:r w:rsidR="001136EF">
        <w:t>Uribe</w:t>
      </w:r>
      <w:r w:rsidR="00B550DD">
        <w:t xml:space="preserve"> </w:t>
      </w:r>
      <w:r w:rsidRPr="006D73F2">
        <w:rPr>
          <w:color w:val="000000"/>
        </w:rPr>
        <w:t>for willful</w:t>
      </w:r>
      <w:r w:rsidR="00A206DF">
        <w:rPr>
          <w:color w:val="000000"/>
        </w:rPr>
        <w:t>ly</w:t>
      </w:r>
      <w:r w:rsidRPr="006D73F2">
        <w:rPr>
          <w:color w:val="000000"/>
        </w:rPr>
        <w:t xml:space="preserve"> </w:t>
      </w:r>
      <w:r w:rsidRPr="006D73F2" w:rsidR="00A206DF">
        <w:rPr>
          <w:color w:val="000000"/>
        </w:rPr>
        <w:t>violati</w:t>
      </w:r>
      <w:r w:rsidR="00A206DF">
        <w:rPr>
          <w:color w:val="000000"/>
        </w:rPr>
        <w:t>ng</w:t>
      </w:r>
      <w:r w:rsidRPr="006D73F2">
        <w:rPr>
          <w:color w:val="000000"/>
        </w:rPr>
        <w:t xml:space="preserve"> </w:t>
      </w:r>
      <w:r w:rsidR="00750FC3">
        <w:rPr>
          <w:color w:val="000000"/>
        </w:rPr>
        <w:t>Section 301 of the Communications Act</w:t>
      </w:r>
      <w:r w:rsidR="00CB0B0C">
        <w:rPr>
          <w:color w:val="000000"/>
        </w:rPr>
        <w:t xml:space="preserve"> of 1934</w:t>
      </w:r>
      <w:r w:rsidR="00633D23">
        <w:rPr>
          <w:color w:val="000000"/>
        </w:rPr>
        <w:t>, as amended (Act)</w:t>
      </w:r>
      <w:r w:rsidR="00750FC3">
        <w:rPr>
          <w:color w:val="000000"/>
        </w:rPr>
        <w:t>,</w:t>
      </w:r>
      <w:r>
        <w:rPr>
          <w:rStyle w:val="FootnoteReference"/>
        </w:rPr>
        <w:footnoteReference w:id="4"/>
      </w:r>
      <w:r w:rsidRPr="006D73F2" w:rsidR="008F7F2E">
        <w:rPr>
          <w:color w:val="000000"/>
        </w:rPr>
        <w:t xml:space="preserve"> by </w:t>
      </w:r>
      <w:r w:rsidR="00750FC3">
        <w:rPr>
          <w:color w:val="000000"/>
        </w:rPr>
        <w:t>operating an unlicensed radio station</w:t>
      </w:r>
      <w:r w:rsidRPr="009C4DA9" w:rsidR="009C4DA9">
        <w:rPr>
          <w:color w:val="000000"/>
        </w:rPr>
        <w:t xml:space="preserve"> </w:t>
      </w:r>
      <w:r w:rsidR="009C4DA9">
        <w:rPr>
          <w:color w:val="000000"/>
        </w:rPr>
        <w:t xml:space="preserve">in </w:t>
      </w:r>
      <w:r w:rsidR="001136EF">
        <w:rPr>
          <w:rFonts w:ascii="TimesNewRomanPSMT" w:hAnsi="TimesNewRomanPSMT" w:cs="TimesNewRomanPSMT"/>
          <w:snapToGrid/>
          <w:color w:val="010101"/>
          <w:kern w:val="0"/>
          <w:szCs w:val="22"/>
        </w:rPr>
        <w:t>Van Nuys, California</w:t>
      </w:r>
      <w:r w:rsidR="001136EF">
        <w:rPr>
          <w:color w:val="000000"/>
        </w:rPr>
        <w:t xml:space="preserve"> </w:t>
      </w:r>
      <w:r w:rsidR="00750FC3">
        <w:rPr>
          <w:color w:val="000000"/>
        </w:rPr>
        <w:t xml:space="preserve">on </w:t>
      </w:r>
      <w:r w:rsidR="000E63E1">
        <w:rPr>
          <w:spacing w:val="-2"/>
          <w:szCs w:val="22"/>
        </w:rPr>
        <w:t xml:space="preserve">December </w:t>
      </w:r>
      <w:r w:rsidR="001136EF">
        <w:rPr>
          <w:spacing w:val="-2"/>
          <w:szCs w:val="22"/>
        </w:rPr>
        <w:t>17</w:t>
      </w:r>
      <w:r w:rsidR="000E63E1">
        <w:rPr>
          <w:spacing w:val="-2"/>
          <w:szCs w:val="22"/>
        </w:rPr>
        <w:t>,</w:t>
      </w:r>
      <w:r w:rsidRPr="009D2142" w:rsidR="00750FC3">
        <w:rPr>
          <w:szCs w:val="22"/>
        </w:rPr>
        <w:t xml:space="preserve"> 201</w:t>
      </w:r>
      <w:r w:rsidR="001136EF">
        <w:rPr>
          <w:szCs w:val="22"/>
        </w:rPr>
        <w:t>6</w:t>
      </w:r>
      <w:r w:rsidRPr="00750FC3" w:rsidR="008F7F2E">
        <w:rPr>
          <w:color w:val="000000"/>
        </w:rPr>
        <w:t>.</w:t>
      </w:r>
      <w:r>
        <w:rPr>
          <w:rStyle w:val="FootnoteReference"/>
          <w:spacing w:val="-2"/>
          <w:sz w:val="22"/>
        </w:rPr>
        <w:footnoteReference w:id="5"/>
      </w:r>
      <w:r w:rsidRPr="006D73F2" w:rsidR="008F7F2E">
        <w:rPr>
          <w:i/>
          <w:color w:val="000000"/>
        </w:rPr>
        <w:t xml:space="preserve">  </w:t>
      </w:r>
      <w:r w:rsidR="00750FC3">
        <w:rPr>
          <w:color w:val="000000"/>
        </w:rPr>
        <w:t xml:space="preserve">Mr. </w:t>
      </w:r>
      <w:r w:rsidR="001136EF">
        <w:rPr>
          <w:color w:val="000000"/>
        </w:rPr>
        <w:t>Uribe</w:t>
      </w:r>
      <w:r w:rsidR="00B550DD">
        <w:rPr>
          <w:color w:val="000000"/>
        </w:rPr>
        <w:t xml:space="preserve"> </w:t>
      </w:r>
      <w:r w:rsidRPr="006D73F2" w:rsidR="00467653">
        <w:t xml:space="preserve">has not filed a </w:t>
      </w:r>
      <w:r w:rsidRPr="00D74257" w:rsidR="00467653">
        <w:t>response</w:t>
      </w:r>
      <w:r w:rsidRPr="006D73F2" w:rsidR="00467653">
        <w:t xml:space="preserve"> to the </w:t>
      </w:r>
      <w:r w:rsidRPr="006D73F2" w:rsidR="00467653">
        <w:rPr>
          <w:i/>
        </w:rPr>
        <w:t>NAL</w:t>
      </w:r>
      <w:r w:rsidRPr="006D73F2" w:rsidR="00467653">
        <w:t xml:space="preserve">.  Based on the </w:t>
      </w:r>
      <w:r w:rsidR="008E0561">
        <w:t>i</w:t>
      </w:r>
      <w:r w:rsidRPr="00D74257" w:rsidR="00467653">
        <w:t>nformation</w:t>
      </w:r>
      <w:r w:rsidRPr="006D73F2" w:rsidR="00467653">
        <w:t xml:space="preserve"> before us, we affirm the forfeiture</w:t>
      </w:r>
      <w:r w:rsidRPr="006D73F2">
        <w:t xml:space="preserve"> proposed in the </w:t>
      </w:r>
      <w:r w:rsidRPr="006D73F2">
        <w:rPr>
          <w:i/>
        </w:rPr>
        <w:t>NAL</w:t>
      </w:r>
      <w:r w:rsidRPr="006D73F2" w:rsidR="00467653">
        <w:t>.</w:t>
      </w:r>
    </w:p>
    <w:p w:rsidR="006D73F2" w:rsidRPr="006D73F2" w:rsidP="001D52C9">
      <w:pPr>
        <w:pStyle w:val="ParaNum"/>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Act</w:t>
      </w:r>
      <w:r w:rsidR="00633D23">
        <w:t>,</w:t>
      </w:r>
      <w:r>
        <w:rPr>
          <w:rStyle w:val="FootnoteReference"/>
          <w:sz w:val="22"/>
          <w:szCs w:val="22"/>
        </w:rPr>
        <w:footnoteReference w:id="6"/>
      </w:r>
      <w:r w:rsidRPr="006D73F2">
        <w:t xml:space="preserve"> and Sections 0.111, 0.204, 0.311</w:t>
      </w:r>
      <w:r w:rsidR="00633D23">
        <w:t>, and 1.80</w:t>
      </w:r>
      <w:r w:rsidRPr="006D73F2">
        <w:t xml:space="preserve"> of the </w:t>
      </w:r>
      <w:r w:rsidR="00633D23">
        <w:t>Commission’s r</w:t>
      </w:r>
      <w:r w:rsidRPr="006D73F2">
        <w:t>ules</w:t>
      </w:r>
      <w:r w:rsidR="006857CD">
        <w:t>,</w:t>
      </w:r>
      <w:r>
        <w:rPr>
          <w:rStyle w:val="FootnoteReference"/>
          <w:sz w:val="22"/>
          <w:szCs w:val="22"/>
        </w:rPr>
        <w:footnoteReference w:id="7"/>
      </w:r>
      <w:r w:rsidRPr="006D73F2">
        <w:t xml:space="preserve"> </w:t>
      </w:r>
      <w:r w:rsidR="001136EF">
        <w:t>Juan Carlos Uribe</w:t>
      </w:r>
      <w:r w:rsidR="008E0561">
        <w:t xml:space="preserve"> </w:t>
      </w:r>
      <w:r w:rsidRPr="006D73F2">
        <w:rPr>
          <w:b/>
        </w:rPr>
        <w:t>IS LIABLE FOR A MONETARY FORFEITURE</w:t>
      </w:r>
      <w:r w:rsidRPr="006D73F2">
        <w:t xml:space="preserve"> in the amount of </w:t>
      </w:r>
      <w:r w:rsidR="006857CD">
        <w:t xml:space="preserve">Fifteen Thousand </w:t>
      </w:r>
      <w:r w:rsidRPr="006D73F2">
        <w:t>dollars ($</w:t>
      </w:r>
      <w:r w:rsidR="006857CD">
        <w:t>15,000</w:t>
      </w:r>
      <w:r w:rsidRPr="006D73F2">
        <w:t xml:space="preserve">) for willfully violating </w:t>
      </w:r>
      <w:r w:rsidRPr="006D73F2" w:rsidR="006857CD">
        <w:t>Section</w:t>
      </w:r>
      <w:r w:rsidRPr="006D73F2">
        <w:t xml:space="preserve"> </w:t>
      </w:r>
      <w:r w:rsidR="00CB0B0C">
        <w:t xml:space="preserve">301 </w:t>
      </w:r>
      <w:r w:rsidRPr="006D73F2">
        <w:t>of the Act</w:t>
      </w:r>
      <w:r w:rsidR="006857CD">
        <w:t>.</w:t>
      </w:r>
      <w:r>
        <w:rPr>
          <w:rStyle w:val="FootnoteReference"/>
          <w:sz w:val="22"/>
          <w:szCs w:val="22"/>
        </w:rPr>
        <w:footnoteReference w:id="8"/>
      </w:r>
      <w:r w:rsidRPr="006D73F2">
        <w:t xml:space="preserve"> </w:t>
      </w:r>
    </w:p>
    <w:p w:rsidR="006D73F2" w:rsidRPr="006D73F2" w:rsidP="00091888">
      <w:pPr>
        <w:pStyle w:val="ParaNum"/>
        <w:widowControl/>
        <w:rPr>
          <w:spacing w:val="-2"/>
        </w:rPr>
      </w:pPr>
      <w:r w:rsidRPr="00D74257">
        <w:rPr>
          <w:color w:val="000000"/>
          <w:spacing w:val="-2"/>
        </w:rPr>
        <w:t>Payment</w:t>
      </w:r>
      <w:r w:rsidRPr="006D73F2">
        <w:t xml:space="preserve"> of the forfeiture shall be made in the manner provided for in Section 1.80 of the </w:t>
      </w:r>
      <w:r w:rsidR="00CD5709">
        <w:t>Commission’s r</w:t>
      </w:r>
      <w:r w:rsidRPr="006D73F2">
        <w:t xml:space="preserve">ules within </w:t>
      </w:r>
      <w:r w:rsidRPr="006D73F2" w:rsidR="00CB3197">
        <w:t>thirty</w:t>
      </w:r>
      <w:r w:rsidRPr="006D73F2">
        <w:t xml:space="preserve"> (</w:t>
      </w:r>
      <w:r w:rsidRPr="006D73F2" w:rsidR="00CB3197">
        <w:t>30</w:t>
      </w:r>
      <w:r w:rsidRPr="006D73F2">
        <w:t>)</w:t>
      </w:r>
      <w:r w:rsidRPr="006D73F2" w:rsidR="00CB3197">
        <w:t xml:space="preserve"> </w:t>
      </w:r>
      <w:r w:rsidRPr="006D73F2">
        <w:t>calendar days after the release date of this Forfeiture Order.</w:t>
      </w:r>
      <w:r>
        <w:rPr>
          <w:rStyle w:val="FootnoteReference"/>
          <w:sz w:val="22"/>
          <w:szCs w:val="22"/>
        </w:rPr>
        <w:footnoteReference w:id="9"/>
      </w:r>
      <w:r w:rsidRPr="006D73F2">
        <w:t xml:space="preserve">  If the forfeiture is not paid within the period specified, the case may be referred to the U.S. Department of Justice for enforcement of the forfeiture pursuant to Section 504(a) of the Act.</w:t>
      </w:r>
      <w:r>
        <w:rPr>
          <w:rStyle w:val="FootnoteReference"/>
          <w:sz w:val="22"/>
          <w:szCs w:val="22"/>
        </w:rPr>
        <w:footnoteReference w:id="10"/>
      </w:r>
      <w:r w:rsidRPr="006D73F2">
        <w:t xml:space="preserve">  </w:t>
      </w:r>
    </w:p>
    <w:p w:rsidR="008F7F2E" w:rsidRPr="006D73F2" w:rsidP="00097E25">
      <w:pPr>
        <w:pStyle w:val="ParaNum"/>
        <w:keepNext/>
        <w:widowControl/>
        <w:rPr>
          <w:spacing w:val="-2"/>
        </w:rPr>
      </w:pPr>
      <w:r w:rsidRPr="00D74257">
        <w:rPr>
          <w:color w:val="000000"/>
          <w:spacing w:val="-2"/>
        </w:rPr>
        <w:t>Payment</w:t>
      </w:r>
      <w:r>
        <w:t xml:space="preserve"> of the forfeiture </w:t>
      </w:r>
      <w:r w:rsidRPr="006D73F2">
        <w:t xml:space="preserve">must be made by check or similar instrument, wire transfer, or credit card, and must include the NAL/Account Number and FRN referenced </w:t>
      </w:r>
      <w:r>
        <w:t>above</w:t>
      </w:r>
      <w:r w:rsidRPr="006D73F2">
        <w:t xml:space="preserve">.  </w:t>
      </w:r>
      <w:r w:rsidR="009539EB">
        <w:t>Juan Carlos Uribe</w:t>
      </w:r>
      <w:r w:rsidR="00B550DD">
        <w:t xml:space="preserve"> </w:t>
      </w:r>
      <w:r w:rsidRPr="006D73F2">
        <w:t xml:space="preserve">shall send electronic notification </w:t>
      </w:r>
      <w:r>
        <w:t xml:space="preserve">of </w:t>
      </w:r>
      <w:r w:rsidRPr="006D73F2">
        <w:t xml:space="preserve">payment to </w:t>
      </w:r>
      <w:r w:rsidR="0024724A">
        <w:t xml:space="preserve">Steven Spaeth </w:t>
      </w:r>
      <w:r w:rsidRPr="006D73F2">
        <w:t xml:space="preserve">at </w:t>
      </w:r>
      <w:r w:rsidR="0024724A">
        <w:t>steven.spaeth</w:t>
      </w:r>
      <w:r w:rsidRPr="006D73F2">
        <w:t>@fcc.gov on the date said payment is made.</w:t>
      </w:r>
      <w:r>
        <w:t xml:space="preserve">  </w:t>
      </w:r>
      <w:r w:rsidRPr="006D73F2">
        <w:t>Regardless of the form of payment, a completed FCC Form 159 (Remittance Advice) must be submitted.</w:t>
      </w:r>
      <w:r>
        <w:rPr>
          <w:rStyle w:val="FootnoteReference"/>
          <w:sz w:val="22"/>
          <w:szCs w:val="22"/>
        </w:rPr>
        <w:footnoteReference w:id="11"/>
      </w:r>
      <w:r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Pr="006D73F2">
        <w:t>based on the form of payment select</w:t>
      </w:r>
      <w:r w:rsidR="00373669">
        <w:t>ed</w:t>
      </w:r>
      <w:r w:rsidRPr="006D73F2">
        <w:t>:</w:t>
      </w:r>
    </w:p>
    <w:p w:rsidR="008F7F2E" w:rsidRPr="006D73F2"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6D73F2" w:rsidRPr="00816F70" w:rsidP="001D52C9">
      <w:pPr>
        <w:pStyle w:val="ParaNum"/>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Pr>
          <w:rStyle w:val="FootnoteReference"/>
          <w:sz w:val="22"/>
          <w:szCs w:val="22"/>
        </w:rPr>
        <w:footnoteReference w:id="12"/>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r>
        <w:fldChar w:fldCharType="begin"/>
      </w:r>
      <w:r>
        <w:instrText xml:space="preserve"> HYPERLINK "mailto:ARINQUIRIES@fcc.gov" </w:instrText>
      </w:r>
      <w:r>
        <w:fldChar w:fldCharType="separate"/>
      </w:r>
      <w:r w:rsidRPr="00D2402E" w:rsidR="00D50AB5">
        <w:rPr>
          <w:rStyle w:val="Hyperlink"/>
        </w:rPr>
        <w:t>ARINQUIRIES@fcc.gov</w:t>
      </w:r>
      <w:r>
        <w:fldChar w:fldCharType="end"/>
      </w:r>
      <w:r w:rsidRPr="00373669">
        <w:t>.</w:t>
      </w:r>
    </w:p>
    <w:p w:rsidR="008F7F2E" w:rsidRPr="006D73F2" w:rsidP="001D52C9">
      <w:pPr>
        <w:pStyle w:val="ParaNum"/>
      </w:pPr>
      <w:r w:rsidRPr="006D73F2">
        <w:rPr>
          <w:b/>
        </w:rPr>
        <w:t>IT IS FURTHER ORDERED</w:t>
      </w:r>
      <w:r w:rsidRPr="006D73F2">
        <w:t xml:space="preserve"> </w:t>
      </w:r>
      <w:r w:rsidRPr="005109E0">
        <w:t xml:space="preserve">that a copy of this Forfeiture Order </w:t>
      </w:r>
      <w:r w:rsidRPr="00BD5A2B" w:rsidR="005109E0">
        <w:t xml:space="preserve">shall be sent by first class mail and certified </w:t>
      </w:r>
      <w:r w:rsidRPr="00D74257" w:rsidR="005109E0">
        <w:rPr>
          <w:color w:val="000000"/>
          <w:spacing w:val="-2"/>
        </w:rPr>
        <w:t>mail</w:t>
      </w:r>
      <w:r w:rsidRPr="00BD5A2B" w:rsidR="005109E0">
        <w:t xml:space="preserve">, return receipt requested, </w:t>
      </w:r>
      <w:r w:rsidRPr="009D2142" w:rsidR="0024724A">
        <w:rPr>
          <w:szCs w:val="22"/>
        </w:rPr>
        <w:t xml:space="preserve">to </w:t>
      </w:r>
      <w:r w:rsidR="00B33DB6">
        <w:rPr>
          <w:szCs w:val="22"/>
        </w:rPr>
        <w:t>Juan Carlos Uribe</w:t>
      </w:r>
      <w:r w:rsidR="008E0561">
        <w:rPr>
          <w:szCs w:val="22"/>
        </w:rPr>
        <w:t xml:space="preserve"> </w:t>
      </w:r>
      <w:r w:rsidRPr="009D2142" w:rsidR="0024724A">
        <w:rPr>
          <w:szCs w:val="22"/>
        </w:rPr>
        <w:t>at his address of record.</w:t>
      </w:r>
      <w:r w:rsidR="0024724A">
        <w:rPr>
          <w:szCs w:val="22"/>
        </w:rPr>
        <w:t xml:space="preserve">    </w:t>
      </w:r>
    </w:p>
    <w:p w:rsidR="008F7F2E" w:rsidRPr="006D73F2" w:rsidP="008F7F2E">
      <w:pPr>
        <w:rPr>
          <w:szCs w:val="22"/>
        </w:rPr>
      </w:pPr>
    </w:p>
    <w:p w:rsidR="0024724A" w:rsidP="0024724A">
      <w:pPr>
        <w:ind w:left="4406"/>
        <w:rPr>
          <w:szCs w:val="22"/>
        </w:rPr>
      </w:pPr>
    </w:p>
    <w:p w:rsidR="008F7F2E" w:rsidRPr="00BD5A2B" w:rsidP="0024724A">
      <w:pPr>
        <w:ind w:left="4320"/>
      </w:pPr>
      <w:r w:rsidRPr="00BD5A2B">
        <w:t>FEDERAL COMMUNICATIONS COMMISSION</w:t>
      </w:r>
    </w:p>
    <w:p w:rsidR="008F7F2E" w:rsidRPr="006D73F2" w:rsidP="008F7F2E">
      <w:pPr>
        <w:ind w:left="4410"/>
        <w:rPr>
          <w:szCs w:val="22"/>
        </w:rPr>
      </w:pPr>
    </w:p>
    <w:p w:rsidR="008F7F2E" w:rsidP="008F7F2E">
      <w:pPr>
        <w:ind w:left="4410"/>
        <w:rPr>
          <w:szCs w:val="22"/>
        </w:rPr>
      </w:pPr>
    </w:p>
    <w:p w:rsidR="00FC50A3" w:rsidRPr="006D73F2" w:rsidP="008F7F2E">
      <w:pPr>
        <w:ind w:left="4410"/>
        <w:rPr>
          <w:szCs w:val="22"/>
        </w:rPr>
      </w:pPr>
    </w:p>
    <w:p w:rsidR="008F7F2E" w:rsidRPr="006D73F2" w:rsidP="008F7F2E">
      <w:pPr>
        <w:ind w:left="4410"/>
        <w:rPr>
          <w:szCs w:val="22"/>
        </w:rPr>
      </w:pPr>
    </w:p>
    <w:p w:rsidR="0024724A" w:rsidRPr="009D2142" w:rsidP="0024724A">
      <w:pPr>
        <w:ind w:left="3600"/>
        <w:rPr>
          <w:bCs/>
          <w:szCs w:val="22"/>
        </w:rPr>
      </w:pPr>
      <w:r>
        <w:rPr>
          <w:bCs/>
          <w:szCs w:val="22"/>
        </w:rPr>
        <w:tab/>
      </w:r>
      <w:r w:rsidR="00C576D7">
        <w:rPr>
          <w:bCs/>
          <w:szCs w:val="22"/>
        </w:rPr>
        <w:t>Lark Hadley</w:t>
      </w:r>
    </w:p>
    <w:p w:rsidR="0024724A" w:rsidRPr="009D2142" w:rsidP="0024724A">
      <w:pPr>
        <w:ind w:left="3600" w:firstLine="720"/>
        <w:rPr>
          <w:bCs/>
          <w:szCs w:val="22"/>
        </w:rPr>
      </w:pPr>
      <w:r w:rsidRPr="009D2142">
        <w:rPr>
          <w:bCs/>
          <w:szCs w:val="22"/>
        </w:rPr>
        <w:t>Regional Director</w:t>
      </w:r>
    </w:p>
    <w:p w:rsidR="0024724A" w:rsidRPr="009D2142" w:rsidP="0024724A">
      <w:pPr>
        <w:ind w:left="3600" w:firstLine="720"/>
        <w:rPr>
          <w:bCs/>
          <w:szCs w:val="22"/>
        </w:rPr>
      </w:pPr>
      <w:r w:rsidRPr="009D2142">
        <w:rPr>
          <w:bCs/>
          <w:szCs w:val="22"/>
        </w:rPr>
        <w:t xml:space="preserve">Region </w:t>
      </w:r>
      <w:r>
        <w:rPr>
          <w:bCs/>
          <w:szCs w:val="22"/>
        </w:rPr>
        <w:t>T</w:t>
      </w:r>
      <w:r w:rsidR="00C576D7">
        <w:rPr>
          <w:bCs/>
          <w:szCs w:val="22"/>
        </w:rPr>
        <w:t>hree</w:t>
      </w:r>
    </w:p>
    <w:p w:rsidR="008F7F2E" w:rsidRPr="006D73F2" w:rsidP="00C96C92">
      <w:pPr>
        <w:ind w:left="3600" w:firstLine="720"/>
        <w:rPr>
          <w:szCs w:val="22"/>
        </w:rPr>
      </w:pPr>
      <w:r w:rsidRPr="009D2142">
        <w:rPr>
          <w:bCs/>
          <w:szCs w:val="22"/>
        </w:rPr>
        <w:t>Enforcement Bureau</w:t>
      </w:r>
      <w:r>
        <w:rPr>
          <w:szCs w:val="22"/>
        </w:rPr>
        <w:t xml:space="preserve"> </w:t>
      </w:r>
    </w:p>
    <w:p w:rsidR="008F7F2E" w:rsidRPr="006D73F2" w:rsidP="008F7F2E">
      <w:pPr>
        <w:ind w:left="4410"/>
        <w:rPr>
          <w:szCs w:val="22"/>
        </w:rPr>
      </w:pPr>
    </w:p>
    <w:sectPr>
      <w:headerReference w:type="default" r:id="rId5"/>
      <w:footerReference w:type="even" r:id="rId6"/>
      <w:footerReference w:type="default" r:id="rId7"/>
      <w:headerReference w:type="first" r:id="rId8"/>
      <w:pgSz w:w="12240" w:h="15840" w:code="1"/>
      <w:pgMar w:top="90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30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261C">
      <w:r>
        <w:separator/>
      </w:r>
    </w:p>
  </w:footnote>
  <w:footnote w:type="continuationSeparator" w:id="1">
    <w:p w:rsidR="0032261C">
      <w:r>
        <w:continuationSeparator/>
      </w:r>
    </w:p>
  </w:footnote>
  <w:footnote w:type="continuationNotice" w:id="2">
    <w:p w:rsidR="0032261C"/>
  </w:footnote>
  <w:footnote w:id="3">
    <w:p w:rsidR="001136EF" w:rsidP="001136EF">
      <w:pPr>
        <w:widowControl/>
        <w:autoSpaceDE w:val="0"/>
        <w:autoSpaceDN w:val="0"/>
        <w:adjustRightInd w:val="0"/>
        <w:rPr>
          <w:rFonts w:ascii="TimesNewRomanPSMT" w:hAnsi="TimesNewRomanPSMT" w:cs="TimesNewRomanPSMT"/>
          <w:snapToGrid/>
          <w:color w:val="010101"/>
          <w:kern w:val="0"/>
          <w:sz w:val="20"/>
        </w:rPr>
      </w:pPr>
      <w:r>
        <w:rPr>
          <w:rStyle w:val="FootnoteReference"/>
        </w:rPr>
        <w:footnoteRef/>
      </w:r>
      <w:r>
        <w:t xml:space="preserve"> </w:t>
      </w:r>
      <w:r>
        <w:rPr>
          <w:rFonts w:ascii="TimesNewRomanPSMT" w:hAnsi="TimesNewRomanPSMT" w:cs="TimesNewRomanPSMT"/>
          <w:snapToGrid/>
          <w:color w:val="010101"/>
          <w:kern w:val="0"/>
          <w:sz w:val="20"/>
        </w:rPr>
        <w:t>The investigation began under File No. EB-FIELDWR-16-00022674 and was subsequently assigned File No. EBFIELDWR-16-00022797. Any future correspondence with the Commission concerning this matter should reflect</w:t>
      </w:r>
    </w:p>
    <w:p w:rsidR="001136EF" w:rsidP="001136EF">
      <w:pPr>
        <w:pStyle w:val="FootnoteText"/>
      </w:pPr>
      <w:r>
        <w:rPr>
          <w:rFonts w:ascii="TimesNewRomanPSMT" w:hAnsi="TimesNewRomanPSMT" w:cs="TimesNewRomanPSMT"/>
          <w:color w:val="010101"/>
        </w:rPr>
        <w:t xml:space="preserve">the new case </w:t>
      </w:r>
      <w:r>
        <w:rPr>
          <w:rFonts w:ascii="TimesNewRomanPSMT" w:hAnsi="TimesNewRomanPSMT" w:cs="TimesNewRomanPSMT"/>
          <w:color w:val="010101"/>
        </w:rPr>
        <w:t>number</w:t>
      </w:r>
      <w:r>
        <w:rPr>
          <w:rFonts w:ascii="TimesNewRomanPSMT" w:hAnsi="TimesNewRomanPSMT" w:cs="TimesNewRomanPSMT"/>
          <w:color w:val="010101"/>
        </w:rPr>
        <w:t>.</w:t>
      </w:r>
    </w:p>
  </w:footnote>
  <w:footnote w:id="4">
    <w:p w:rsidR="00750FC3">
      <w:pPr>
        <w:pStyle w:val="FootnoteText"/>
      </w:pPr>
      <w:r>
        <w:rPr>
          <w:rStyle w:val="FootnoteReference"/>
        </w:rPr>
        <w:footnoteRef/>
      </w:r>
      <w:r>
        <w:t xml:space="preserve"> 47 U.S.C. § 301. </w:t>
      </w:r>
    </w:p>
  </w:footnote>
  <w:footnote w:id="5">
    <w:p w:rsidR="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Pr="00B33DB6" w:rsidR="00B33DB6">
        <w:rPr>
          <w:i/>
        </w:rPr>
        <w:t>See</w:t>
      </w:r>
      <w:r w:rsidR="00B33DB6">
        <w:t xml:space="preserve"> </w:t>
      </w:r>
      <w:r w:rsidR="001136EF">
        <w:rPr>
          <w:i/>
        </w:rPr>
        <w:t>Juan Carlos Uribe</w:t>
      </w:r>
      <w:r w:rsidR="00750FC3">
        <w:t>, Not</w:t>
      </w:r>
      <w:r w:rsidR="00077577">
        <w:t xml:space="preserve">ice of Apparent Liability for Forfeiture, </w:t>
      </w:r>
      <w:r w:rsidR="004C3687">
        <w:t>3</w:t>
      </w:r>
      <w:r w:rsidR="001136EF">
        <w:t>2</w:t>
      </w:r>
      <w:r w:rsidR="004C3687">
        <w:t xml:space="preserve"> FCC </w:t>
      </w:r>
      <w:r w:rsidR="004C3687">
        <w:t>Rcd</w:t>
      </w:r>
      <w:r w:rsidR="004C3687">
        <w:t xml:space="preserve"> </w:t>
      </w:r>
      <w:r w:rsidR="00287D24">
        <w:t>9</w:t>
      </w:r>
      <w:r w:rsidR="001136EF">
        <w:t>515</w:t>
      </w:r>
      <w:r w:rsidR="004C3687">
        <w:t xml:space="preserve">, </w:t>
      </w:r>
      <w:r w:rsidR="00287D24">
        <w:t>9</w:t>
      </w:r>
      <w:r w:rsidR="001136EF">
        <w:t>515</w:t>
      </w:r>
      <w:r w:rsidR="00287D24">
        <w:t>-</w:t>
      </w:r>
      <w:r w:rsidR="009539EB">
        <w:t>16</w:t>
      </w:r>
      <w:r w:rsidR="004B120D">
        <w:t>, paras.</w:t>
      </w:r>
      <w:r w:rsidR="00F73AD5">
        <w:t> </w:t>
      </w:r>
      <w:r w:rsidR="004B120D">
        <w:t>2</w:t>
      </w:r>
      <w:r w:rsidR="00F73AD5">
        <w:noBreakHyphen/>
      </w:r>
      <w:r w:rsidR="001136EF">
        <w:t>3</w:t>
      </w:r>
      <w:r w:rsidR="004B120D">
        <w:t xml:space="preserve"> (EB</w:t>
      </w:r>
      <w:r w:rsidR="004C3687">
        <w:t xml:space="preserve"> 201</w:t>
      </w:r>
      <w:r w:rsidR="001136EF">
        <w:t>7</w:t>
      </w:r>
      <w:r w:rsidR="00816F70">
        <w:t>)</w:t>
      </w:r>
      <w:r w:rsidR="00750FC3">
        <w:t>.</w:t>
      </w:r>
      <w:r w:rsidR="001136EF">
        <w:t xml:space="preserve"> </w:t>
      </w:r>
    </w:p>
  </w:footnote>
  <w:footnote w:id="6">
    <w:p w:rsidR="008F7F2E" w:rsidRPr="00344C0B" w:rsidP="00607AA0">
      <w:pPr>
        <w:pStyle w:val="FootnoteText"/>
      </w:pPr>
      <w:r w:rsidRPr="00344C0B">
        <w:rPr>
          <w:rStyle w:val="FootnoteReference"/>
        </w:rPr>
        <w:footnoteRef/>
      </w:r>
      <w:r w:rsidRPr="00344C0B">
        <w:t xml:space="preserve"> 47 U.S.C. § 503(b).</w:t>
      </w:r>
    </w:p>
  </w:footnote>
  <w:footnote w:id="7">
    <w:p w:rsidR="008F7F2E" w:rsidP="00607AA0">
      <w:pPr>
        <w:pStyle w:val="FootnoteText"/>
      </w:pPr>
      <w:r>
        <w:rPr>
          <w:rStyle w:val="FootnoteReference"/>
        </w:rPr>
        <w:footnoteRef/>
      </w:r>
      <w:r>
        <w:t xml:space="preserve"> 47 </w:t>
      </w:r>
      <w:r w:rsidR="00017A7B">
        <w:t>CFR</w:t>
      </w:r>
      <w:r>
        <w:t xml:space="preserve"> </w:t>
      </w:r>
      <w:r w:rsidRPr="00344C0B">
        <w:t>§§</w:t>
      </w:r>
      <w:r w:rsidR="00816F70">
        <w:t xml:space="preserve"> </w:t>
      </w:r>
      <w:r>
        <w:t>0.111, 0.204, 0.311</w:t>
      </w:r>
      <w:r w:rsidR="00633D23">
        <w:t>, 1.80</w:t>
      </w:r>
      <w:r>
        <w:t>.</w:t>
      </w:r>
      <w:r w:rsidR="00CB3197">
        <w:t xml:space="preserve"> </w:t>
      </w:r>
    </w:p>
  </w:footnote>
  <w:footnote w:id="8">
    <w:p w:rsidR="00816F70" w:rsidP="00816F70">
      <w:pPr>
        <w:pStyle w:val="FootnoteText"/>
      </w:pPr>
      <w:r>
        <w:rPr>
          <w:rStyle w:val="FootnoteReference"/>
        </w:rPr>
        <w:footnoteRef/>
      </w:r>
      <w:r w:rsidR="006857CD">
        <w:t xml:space="preserve"> </w:t>
      </w:r>
      <w:r w:rsidRPr="00344C0B" w:rsidR="006857CD">
        <w:t xml:space="preserve">47 U.S.C. § </w:t>
      </w:r>
      <w:r w:rsidR="006857CD">
        <w:t xml:space="preserve">301.   </w:t>
      </w:r>
    </w:p>
  </w:footnote>
  <w:footnote w:id="9">
    <w:p w:rsidR="008F7F2E" w:rsidRPr="007D40D2" w:rsidP="00607AA0">
      <w:pPr>
        <w:pStyle w:val="FootnoteText"/>
      </w:pPr>
      <w:r w:rsidRPr="00344C0B">
        <w:rPr>
          <w:rStyle w:val="FootnoteReference"/>
        </w:rPr>
        <w:footnoteRef/>
      </w:r>
      <w:r w:rsidRPr="00344C0B">
        <w:t xml:space="preserve"> 47 CFR § 1.80.</w:t>
      </w:r>
    </w:p>
  </w:footnote>
  <w:footnote w:id="10">
    <w:p w:rsidR="008F7F2E" w:rsidRPr="00344C0B" w:rsidP="00607AA0">
      <w:pPr>
        <w:pStyle w:val="FootnoteText"/>
      </w:pPr>
      <w:r w:rsidRPr="00344C0B">
        <w:rPr>
          <w:rStyle w:val="FootnoteReference"/>
        </w:rPr>
        <w:footnoteRef/>
      </w:r>
      <w:r w:rsidRPr="00344C0B">
        <w:t xml:space="preserve"> 47 U.S.C. § 504(a).</w:t>
      </w:r>
    </w:p>
  </w:footnote>
  <w:footnote w:id="11">
    <w:p w:rsidR="008F7F2E" w:rsidRPr="00344C0B"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fldChar w:fldCharType="begin"/>
      </w:r>
      <w:r>
        <w:instrText xml:space="preserve"> HYPERLINK "http://www.fcc.gov/Forms/Form159/159.pdf" </w:instrText>
      </w:r>
      <w:r>
        <w:fldChar w:fldCharType="separate"/>
      </w:r>
      <w:r w:rsidRPr="00372DD7" w:rsidR="009406AF">
        <w:rPr>
          <w:rStyle w:val="Hyperlink"/>
        </w:rPr>
        <w:t>http://www.fcc.gov/Forms/Form159/159.pdf</w:t>
      </w:r>
      <w:r>
        <w:fldChar w:fldCharType="end"/>
      </w:r>
      <w:r w:rsidRPr="00344C0B">
        <w:rPr>
          <w:rStyle w:val="FootnoteTextChar2"/>
        </w:rPr>
        <w:t>.</w:t>
      </w:r>
    </w:p>
  </w:footnote>
  <w:footnote w:id="12">
    <w:p w:rsidR="008F7F2E" w:rsidRPr="0030738C" w:rsidP="00607AA0">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DA</w:t>
    </w:r>
    <w:r w:rsidR="00B13864">
      <w:rPr>
        <w:b/>
        <w:spacing w:val="-2"/>
      </w:rPr>
      <w:t xml:space="preserve"> 1</w:t>
    </w:r>
    <w:r w:rsidR="00C576D7">
      <w:rPr>
        <w:b/>
        <w:spacing w:val="-2"/>
      </w:rPr>
      <w:t>8</w:t>
    </w:r>
    <w:r w:rsidR="00B13864">
      <w:rPr>
        <w:b/>
        <w:spacing w:val="-2"/>
      </w:rPr>
      <w:t>-</w:t>
    </w:r>
    <w:r w:rsidR="00E56E2A">
      <w:rPr>
        <w:b/>
        <w:spacing w:val="-2"/>
      </w:rPr>
      <w:t>823</w:t>
    </w:r>
  </w:p>
  <w:p w:rsidR="00303553" w:rsidP="00810B3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303553" w:rsidP="00810B3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303553" w:rsidP="00810B3F"/>
                </w:txbxContent>
              </v:textbox>
              <w10:wrap anchorx="margin"/>
            </v:rect>
          </w:pict>
        </mc:Fallback>
      </mc:AlternateContent>
    </w:r>
  </w:p>
  <w:p w:rsidR="00303553" w:rsidP="00810B3F">
    <w:pPr>
      <w:pStyle w:val="Header"/>
      <w:pBdr>
        <w:between w:val="single" w:sz="4" w:space="1" w:color="auto"/>
      </w:pBdr>
      <w:tabs>
        <w:tab w:val="left" w:pos="8434"/>
      </w:tabs>
      <w:rPr>
        <w:b w:val="0"/>
      </w:rPr>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553" w:rsidRPr="00510041">
    <w:pPr>
      <w:tabs>
        <w:tab w:val="center" w:pos="4680"/>
        <w:tab w:val="right" w:pos="9360"/>
      </w:tabs>
      <w:suppressAutoHyphens/>
      <w:spacing w:line="227" w:lineRule="auto"/>
      <w:jc w:val="both"/>
      <w:rPr>
        <w:b/>
        <w:spacing w:val="-2"/>
      </w:rPr>
    </w:pPr>
    <w:r>
      <w:rPr>
        <w:b/>
        <w:spacing w:val="-2"/>
      </w:rPr>
      <w:tab/>
      <w:t>Federal Communications Commission</w:t>
    </w:r>
    <w:r>
      <w:rPr>
        <w:b/>
        <w:spacing w:val="-2"/>
      </w:rPr>
      <w:tab/>
      <w:t xml:space="preserve">DA </w:t>
    </w:r>
    <w:r w:rsidR="001136EF">
      <w:rPr>
        <w:b/>
        <w:spacing w:val="-2"/>
      </w:rPr>
      <w:t>18-</w:t>
    </w:r>
    <w:r w:rsidR="00E56E2A">
      <w:rPr>
        <w:b/>
        <w:spacing w:val="-2"/>
      </w:rPr>
      <w:t>823</w:t>
    </w:r>
  </w:p>
  <w:p w:rsidR="00303553">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30355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303553"/>
                </w:txbxContent>
              </v:textbox>
              <w10:wrap anchorx="margin"/>
            </v:rect>
          </w:pict>
        </mc:Fallback>
      </mc:AlternateContent>
    </w:r>
  </w:p>
  <w:p w:rsidR="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start w:val="1"/>
      <w:numFmt w:val="bullet"/>
      <w:lvlText w:val=""/>
      <w:lvlJc w:val="left"/>
      <w:pPr>
        <w:tabs>
          <w:tab w:val="num" w:pos="1080"/>
        </w:tabs>
        <w:ind w:left="1080" w:hanging="360"/>
      </w:pPr>
      <w:rPr>
        <w:rFonts w:ascii="Wingdings" w:hAnsi="Wingdings" w:hint="default"/>
        <w:color w:val="auto"/>
        <w:sz w:val="16"/>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bullet"/>
      <w:lvlText w:val=""/>
      <w:lvlJc w:val="left"/>
      <w:pPr>
        <w:tabs>
          <w:tab w:val="num" w:pos="1440"/>
        </w:tabs>
        <w:ind w:left="1440" w:hanging="360"/>
      </w:pPr>
      <w:rPr>
        <w:rFonts w:ascii="Wingdings" w:hAnsi="Wingdings" w:hint="default"/>
        <w:b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start w:va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915"/>
    <w:pPr>
      <w:widowControl w:val="0"/>
    </w:pPr>
    <w:rPr>
      <w:snapToGrid w:val="0"/>
      <w:kern w:val="28"/>
      <w:sz w:val="22"/>
    </w:rPr>
  </w:style>
  <w:style w:type="paragraph" w:styleId="Heading1">
    <w:name w:val="heading 1"/>
    <w:basedOn w:val="Normal"/>
    <w:next w:val="ParaNum"/>
    <w:qFormat/>
    <w:rsid w:val="009C1915"/>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C1915"/>
    <w:pPr>
      <w:keepNext/>
      <w:numPr>
        <w:ilvl w:val="1"/>
        <w:numId w:val="13"/>
      </w:numPr>
      <w:spacing w:after="120"/>
      <w:outlineLvl w:val="1"/>
    </w:pPr>
    <w:rPr>
      <w:b/>
    </w:rPr>
  </w:style>
  <w:style w:type="paragraph" w:styleId="Heading3">
    <w:name w:val="heading 3"/>
    <w:basedOn w:val="Normal"/>
    <w:next w:val="ParaNum"/>
    <w:link w:val="Heading3Char"/>
    <w:qFormat/>
    <w:rsid w:val="009C1915"/>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9C1915"/>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9C1915"/>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9C1915"/>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9C1915"/>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9C1915"/>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1915"/>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19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1915"/>
  </w:style>
  <w:style w:type="paragraph" w:styleId="Header">
    <w:name w:val="header"/>
    <w:basedOn w:val="Normal"/>
    <w:link w:val="HeaderChar"/>
    <w:autoRedefine/>
    <w:rsid w:val="009C1915"/>
    <w:pPr>
      <w:tabs>
        <w:tab w:val="center" w:pos="4680"/>
        <w:tab w:val="right" w:pos="9360"/>
      </w:tabs>
    </w:pPr>
    <w:rPr>
      <w:b/>
    </w:rPr>
  </w:style>
  <w:style w:type="paragraph" w:styleId="Footer">
    <w:name w:val="footer"/>
    <w:basedOn w:val="Normal"/>
    <w:link w:val="FooterChar"/>
    <w:uiPriority w:val="99"/>
    <w:rsid w:val="009C1915"/>
    <w:pPr>
      <w:tabs>
        <w:tab w:val="center" w:pos="4320"/>
        <w:tab w:val="right" w:pos="8640"/>
      </w:tabs>
    </w:pPr>
  </w:style>
  <w:style w:type="character" w:styleId="PageNumber">
    <w:name w:val="page number"/>
    <w:basedOn w:val="DefaultParagraphFont"/>
    <w:rsid w:val="009C1915"/>
  </w:style>
  <w:style w:type="character" w:styleId="FootnoteReference">
    <w:name w:val="footnote reference"/>
    <w:aliases w:val="(NECG) Footnote Reference,Appel note de bas de p,FR,Footnote Reference/,Style 12,Style 124,Style 13,Style 17,Style 3,Style 4,Style 6,fr,o"/>
    <w:rsid w:val="009C1915"/>
    <w:rPr>
      <w:rFonts w:ascii="Times New Roman" w:hAnsi="Times New Roman"/>
      <w:dstrike w:val="0"/>
      <w:color w:val="auto"/>
      <w:sz w:val="20"/>
      <w:vertAlign w:val="superscript"/>
    </w:rPr>
  </w:style>
  <w:style w:type="paragraph" w:styleId="FootnoteText">
    <w:name w:val="footnote text"/>
    <w:aliases w:val="Footnote Text Char,Footnote Text Char Char,Footnote Text Char Char Char,Footnote Text Char1,Footnote Text Char1 Char,Footnote Text Char1 Char Char Char,f,rrfootnote,rrfootnote Char Char,rrfootnote Char Char Char Char,rrfootnote Char1"/>
    <w:link w:val="FootnoteTextChar2"/>
    <w:rsid w:val="009C1915"/>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9C1915"/>
    <w:rPr>
      <w:sz w:val="20"/>
    </w:rPr>
  </w:style>
  <w:style w:type="character" w:styleId="EndnoteReference">
    <w:name w:val="endnote reference"/>
    <w:semiHidden/>
    <w:rsid w:val="009C1915"/>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9C1915"/>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Footnote Text Char Char Char Char,Footnote Text Char Char Char1,Footnote Text Char Char1,Footnote Text Char1 Char Char,Footnote Text Char1 Char1,f Char,rrfootnote Char Char Char,rrfootnote Char1 Char,rrfootnote Char2"/>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9C1915"/>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Footnote Text Char Char Char Char1,Footnote Text Char1 Char Char Char Char1,Footnote Text Char1 Char Char1,rrfootnote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9C1915"/>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9C1915"/>
    <w:pPr>
      <w:tabs>
        <w:tab w:val="left" w:pos="360"/>
        <w:tab w:val="right" w:leader="dot" w:pos="9360"/>
      </w:tabs>
      <w:suppressAutoHyphens/>
      <w:ind w:left="360" w:right="720" w:hanging="360"/>
    </w:pPr>
    <w:rPr>
      <w:caps/>
      <w:noProof/>
    </w:rPr>
  </w:style>
  <w:style w:type="paragraph" w:styleId="TOC2">
    <w:name w:val="toc 2"/>
    <w:basedOn w:val="Normal"/>
    <w:next w:val="Normal"/>
    <w:rsid w:val="009C1915"/>
    <w:pPr>
      <w:tabs>
        <w:tab w:val="left" w:pos="720"/>
        <w:tab w:val="right" w:leader="dot" w:pos="9360"/>
      </w:tabs>
      <w:suppressAutoHyphens/>
      <w:ind w:left="720" w:right="720" w:hanging="360"/>
    </w:pPr>
    <w:rPr>
      <w:noProof/>
    </w:rPr>
  </w:style>
  <w:style w:type="paragraph" w:styleId="TOC3">
    <w:name w:val="toc 3"/>
    <w:basedOn w:val="Normal"/>
    <w:next w:val="Normal"/>
    <w:rsid w:val="009C191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C191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C1915"/>
    <w:pPr>
      <w:tabs>
        <w:tab w:val="left" w:pos="1800"/>
        <w:tab w:val="right" w:leader="dot" w:pos="9360"/>
      </w:tabs>
      <w:suppressAutoHyphens/>
      <w:ind w:left="1800" w:right="720" w:hanging="360"/>
    </w:pPr>
    <w:rPr>
      <w:noProof/>
    </w:rPr>
  </w:style>
  <w:style w:type="paragraph" w:styleId="TOC7">
    <w:name w:val="toc 7"/>
    <w:basedOn w:val="Normal"/>
    <w:next w:val="Normal"/>
    <w:autoRedefine/>
    <w:rsid w:val="009C1915"/>
    <w:pPr>
      <w:tabs>
        <w:tab w:val="left" w:pos="2520"/>
        <w:tab w:val="right" w:leader="dot" w:pos="9360"/>
      </w:tabs>
      <w:suppressAutoHyphens/>
      <w:ind w:left="2520" w:hanging="360"/>
    </w:pPr>
    <w:rPr>
      <w:noProof/>
    </w:rPr>
  </w:style>
  <w:style w:type="paragraph" w:styleId="TOC8">
    <w:name w:val="toc 8"/>
    <w:basedOn w:val="Normal"/>
    <w:next w:val="Normal"/>
    <w:autoRedefine/>
    <w:rsid w:val="009C1915"/>
    <w:pPr>
      <w:tabs>
        <w:tab w:val="left" w:pos="2880"/>
        <w:tab w:val="right" w:leader="dot" w:pos="9360"/>
      </w:tabs>
      <w:suppressAutoHyphens/>
      <w:ind w:left="2880" w:hanging="360"/>
    </w:pPr>
    <w:rPr>
      <w:noProof/>
    </w:rPr>
  </w:style>
  <w:style w:type="paragraph" w:styleId="TOC9">
    <w:name w:val="toc 9"/>
    <w:basedOn w:val="Normal"/>
    <w:next w:val="Normal"/>
    <w:autoRedefine/>
    <w:rsid w:val="009C1915"/>
    <w:pPr>
      <w:tabs>
        <w:tab w:val="left" w:pos="3240"/>
        <w:tab w:val="right" w:leader="dot" w:pos="9360"/>
      </w:tabs>
      <w:suppressAutoHyphens/>
      <w:ind w:left="3240" w:hanging="360"/>
    </w:pPr>
    <w:rPr>
      <w:noProof/>
    </w:rPr>
  </w:style>
  <w:style w:type="paragraph" w:styleId="TOAHeading">
    <w:name w:val="toa heading"/>
    <w:basedOn w:val="Normal"/>
    <w:next w:val="Normal"/>
    <w:rsid w:val="009C1915"/>
    <w:pPr>
      <w:tabs>
        <w:tab w:val="right" w:pos="9360"/>
      </w:tabs>
      <w:suppressAutoHyphens/>
    </w:pPr>
  </w:style>
  <w:style w:type="character" w:customStyle="1" w:styleId="EquationCaption">
    <w:name w:val="_Equation Caption"/>
    <w:rsid w:val="009C1915"/>
  </w:style>
  <w:style w:type="paragraph" w:styleId="BlockText">
    <w:name w:val="Block Text"/>
    <w:basedOn w:val="Normal"/>
    <w:rsid w:val="009C1915"/>
    <w:pPr>
      <w:spacing w:after="240"/>
      <w:ind w:left="1440" w:right="1440"/>
    </w:pPr>
  </w:style>
  <w:style w:type="paragraph" w:customStyle="1" w:styleId="Paratitle">
    <w:name w:val="Para title"/>
    <w:basedOn w:val="Normal"/>
    <w:rsid w:val="009C1915"/>
    <w:pPr>
      <w:tabs>
        <w:tab w:val="center" w:pos="9270"/>
      </w:tabs>
      <w:spacing w:after="240"/>
    </w:pPr>
    <w:rPr>
      <w:spacing w:val="-2"/>
    </w:rPr>
  </w:style>
  <w:style w:type="paragraph" w:customStyle="1" w:styleId="Bullet">
    <w:name w:val="Bullet"/>
    <w:basedOn w:val="Normal"/>
    <w:rsid w:val="009C1915"/>
    <w:pPr>
      <w:tabs>
        <w:tab w:val="left" w:pos="2160"/>
      </w:tabs>
      <w:spacing w:after="220"/>
      <w:ind w:left="2160" w:hanging="720"/>
    </w:pPr>
  </w:style>
  <w:style w:type="paragraph" w:customStyle="1" w:styleId="TableFormat">
    <w:name w:val="TableFormat"/>
    <w:basedOn w:val="Bullet"/>
    <w:rsid w:val="009C1915"/>
    <w:pPr>
      <w:tabs>
        <w:tab w:val="clear" w:pos="2160"/>
        <w:tab w:val="left" w:pos="5040"/>
      </w:tabs>
      <w:ind w:left="5040" w:hanging="3600"/>
    </w:pPr>
  </w:style>
  <w:style w:type="paragraph" w:customStyle="1" w:styleId="TOCTitle">
    <w:name w:val="TOC Title"/>
    <w:basedOn w:val="Normal"/>
    <w:rsid w:val="009C19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1915"/>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750FC3"/>
    <w:rPr>
      <w:sz w:val="16"/>
      <w:szCs w:val="16"/>
    </w:rPr>
  </w:style>
  <w:style w:type="paragraph" w:styleId="CommentText">
    <w:name w:val="annotation text"/>
    <w:basedOn w:val="Normal"/>
    <w:link w:val="CommentTextChar"/>
    <w:semiHidden/>
    <w:unhideWhenUsed/>
    <w:rsid w:val="00750FC3"/>
    <w:rPr>
      <w:sz w:val="20"/>
    </w:rPr>
  </w:style>
  <w:style w:type="character" w:customStyle="1" w:styleId="CommentTextChar">
    <w:name w:val="Comment Text Char"/>
    <w:basedOn w:val="DefaultParagraphFont"/>
    <w:link w:val="CommentText"/>
    <w:semiHidden/>
    <w:rsid w:val="00750FC3"/>
    <w:rPr>
      <w:snapToGrid w:val="0"/>
      <w:kern w:val="28"/>
    </w:rPr>
  </w:style>
  <w:style w:type="paragraph" w:styleId="CommentSubject">
    <w:name w:val="annotation subject"/>
    <w:basedOn w:val="CommentText"/>
    <w:next w:val="CommentText"/>
    <w:link w:val="CommentSubjectChar"/>
    <w:semiHidden/>
    <w:unhideWhenUsed/>
    <w:rsid w:val="00750FC3"/>
    <w:rPr>
      <w:b/>
      <w:bCs/>
    </w:rPr>
  </w:style>
  <w:style w:type="character" w:customStyle="1" w:styleId="CommentSubjectChar">
    <w:name w:val="Comment Subject Char"/>
    <w:basedOn w:val="CommentTextChar"/>
    <w:link w:val="CommentSubject"/>
    <w:semiHidden/>
    <w:rsid w:val="00750FC3"/>
    <w:rPr>
      <w:b/>
      <w:bCs/>
      <w:snapToGrid w:val="0"/>
      <w:kern w:val="28"/>
    </w:rPr>
  </w:style>
  <w:style w:type="character" w:customStyle="1" w:styleId="Mention1">
    <w:name w:val="Mention1"/>
    <w:basedOn w:val="DefaultParagraphFont"/>
    <w:uiPriority w:val="99"/>
    <w:semiHidden/>
    <w:unhideWhenUsed/>
    <w:rsid w:val="00D50AB5"/>
    <w:rPr>
      <w:color w:val="2B579A"/>
      <w:shd w:val="clear" w:color="auto" w:fill="E6E6E6"/>
    </w:rPr>
  </w:style>
  <w:style w:type="character" w:customStyle="1" w:styleId="FooterChar">
    <w:name w:val="Footer Char"/>
    <w:link w:val="Footer"/>
    <w:uiPriority w:val="99"/>
    <w:rsid w:val="009C1915"/>
    <w:rPr>
      <w:snapToGrid w:val="0"/>
      <w:kern w:val="28"/>
      <w:sz w:val="22"/>
    </w:rPr>
  </w:style>
  <w:style w:type="character" w:customStyle="1" w:styleId="UnresolvedMention">
    <w:name w:val="Unresolved Mention"/>
    <w:basedOn w:val="DefaultParagraphFont"/>
    <w:uiPriority w:val="99"/>
    <w:semiHidden/>
    <w:unhideWhenUsed/>
    <w:rsid w:val="009406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