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05F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w:hAnsi="Times"/>
          <w:b/>
          <w:szCs w:val="22"/>
        </w:rPr>
      </w:pPr>
    </w:p>
    <w:p w:rsidR="006B61F6" w:rsidRPr="004A58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w:hAnsi="Times"/>
          <w:b/>
          <w:szCs w:val="22"/>
        </w:rPr>
      </w:pP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DA </w:t>
      </w:r>
      <w:r w:rsidR="00A64CB4">
        <w:rPr>
          <w:rFonts w:ascii="Times" w:hAnsi="Times"/>
          <w:b/>
          <w:szCs w:val="22"/>
        </w:rPr>
        <w:t>1</w:t>
      </w:r>
      <w:r w:rsidR="00285FCC">
        <w:rPr>
          <w:rFonts w:ascii="Times" w:hAnsi="Times"/>
          <w:b/>
          <w:szCs w:val="22"/>
        </w:rPr>
        <w:t>8</w:t>
      </w:r>
      <w:r w:rsidR="00A12F3F">
        <w:rPr>
          <w:rFonts w:ascii="Times" w:hAnsi="Times"/>
          <w:b/>
          <w:szCs w:val="22"/>
        </w:rPr>
        <w:t>-824</w:t>
      </w:r>
    </w:p>
    <w:p w:rsidR="006B61F6" w:rsidRPr="004A58C2" w:rsidP="00CB35C6">
      <w:pPr>
        <w:jc w:val="right"/>
        <w:rPr>
          <w:rFonts w:ascii="Times" w:hAnsi="Times"/>
          <w:b/>
          <w:szCs w:val="22"/>
        </w:rPr>
      </w:pP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Released: </w:t>
      </w:r>
      <w:r w:rsidR="00285FCC">
        <w:rPr>
          <w:rFonts w:ascii="Times" w:hAnsi="Times"/>
          <w:b/>
          <w:szCs w:val="22"/>
        </w:rPr>
        <w:t xml:space="preserve">August </w:t>
      </w:r>
      <w:r w:rsidR="00850571">
        <w:rPr>
          <w:rFonts w:ascii="Times" w:hAnsi="Times"/>
          <w:b/>
          <w:szCs w:val="22"/>
        </w:rPr>
        <w:t>7</w:t>
      </w:r>
      <w:bookmarkStart w:id="0" w:name="_GoBack"/>
      <w:bookmarkEnd w:id="0"/>
      <w:r w:rsidR="00A64CB4">
        <w:rPr>
          <w:rFonts w:ascii="Times" w:hAnsi="Times"/>
          <w:b/>
          <w:szCs w:val="22"/>
        </w:rPr>
        <w:t>, 201</w:t>
      </w:r>
      <w:r w:rsidR="00285FCC">
        <w:rPr>
          <w:rFonts w:ascii="Times" w:hAnsi="Times"/>
          <w:b/>
          <w:szCs w:val="22"/>
        </w:rPr>
        <w:t>8</w:t>
      </w:r>
    </w:p>
    <w:p w:rsidR="00304C68">
      <w:pPr>
        <w:rPr>
          <w:rFonts w:ascii="Times" w:hAnsi="Times"/>
          <w:b/>
          <w:szCs w:val="22"/>
        </w:rPr>
      </w:pPr>
    </w:p>
    <w:p w:rsidR="00405F57">
      <w:pPr>
        <w:rPr>
          <w:rFonts w:ascii="Times" w:hAnsi="Times"/>
          <w:b/>
          <w:szCs w:val="22"/>
        </w:rPr>
      </w:pPr>
    </w:p>
    <w:p w:rsidR="00405F57">
      <w:pPr>
        <w:rPr>
          <w:rFonts w:ascii="Times" w:hAnsi="Times"/>
          <w:b/>
          <w:szCs w:val="22"/>
        </w:rPr>
      </w:pPr>
    </w:p>
    <w:p w:rsidR="002441AE" w:rsidRPr="004A58C2">
      <w:pPr>
        <w:rPr>
          <w:rFonts w:ascii="Times" w:hAnsi="Times"/>
          <w:b/>
          <w:szCs w:val="22"/>
        </w:rPr>
      </w:pPr>
    </w:p>
    <w:p w:rsidR="00FD2319">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sidRPr="004A58C2">
        <w:rPr>
          <w:rFonts w:ascii="Times" w:hAnsi="Times"/>
          <w:b/>
          <w:kern w:val="0"/>
          <w:szCs w:val="22"/>
        </w:rPr>
        <w:t xml:space="preserve">MEDIA BUREAU </w:t>
      </w:r>
      <w:r>
        <w:rPr>
          <w:rFonts w:ascii="Times" w:hAnsi="Times"/>
          <w:b/>
          <w:kern w:val="0"/>
          <w:szCs w:val="22"/>
        </w:rPr>
        <w:t>EXT</w:t>
      </w:r>
      <w:r w:rsidR="00E159BC">
        <w:rPr>
          <w:rFonts w:ascii="Times" w:hAnsi="Times"/>
          <w:b/>
          <w:kern w:val="0"/>
          <w:szCs w:val="22"/>
        </w:rPr>
        <w:t xml:space="preserve">ENDS </w:t>
      </w:r>
      <w:r w:rsidR="006A66E2">
        <w:rPr>
          <w:rFonts w:ascii="Times" w:hAnsi="Times"/>
          <w:b/>
          <w:kern w:val="0"/>
          <w:szCs w:val="22"/>
        </w:rPr>
        <w:t xml:space="preserve">AUCTION </w:t>
      </w:r>
      <w:r w:rsidR="00285FCC">
        <w:rPr>
          <w:rFonts w:ascii="Times" w:hAnsi="Times"/>
          <w:b/>
          <w:kern w:val="0"/>
          <w:szCs w:val="22"/>
        </w:rPr>
        <w:t>83</w:t>
      </w:r>
      <w:r w:rsidR="006A66E2">
        <w:rPr>
          <w:rFonts w:ascii="Times" w:hAnsi="Times"/>
          <w:b/>
          <w:kern w:val="0"/>
          <w:szCs w:val="22"/>
        </w:rPr>
        <w:t xml:space="preserve"> LONG-FORM</w:t>
      </w:r>
      <w:r w:rsidR="00E159BC">
        <w:rPr>
          <w:rFonts w:ascii="Times" w:hAnsi="Times"/>
          <w:b/>
          <w:kern w:val="0"/>
          <w:szCs w:val="22"/>
        </w:rPr>
        <w:t xml:space="preserve"> FILING WINDOW</w:t>
      </w:r>
    </w:p>
    <w:p w:rsidR="006B61F6" w:rsidRPr="004A58C2">
      <w:pPr>
        <w:pStyle w:val="BlockText"/>
        <w:widowControl/>
        <w:tabs>
          <w:tab w:val="left" w:pos="810"/>
        </w:tabs>
        <w:spacing w:after="0"/>
        <w:ind w:left="720" w:right="0"/>
        <w:jc w:val="center"/>
        <w:rPr>
          <w:rFonts w:ascii="Times" w:hAnsi="Times"/>
          <w:b/>
          <w:szCs w:val="22"/>
        </w:rPr>
      </w:pPr>
    </w:p>
    <w:p w:rsidR="00405F57" w:rsidP="00FD2319">
      <w:pPr>
        <w:tabs>
          <w:tab w:val="left" w:pos="1"/>
          <w:tab w:val="left" w:pos="720"/>
          <w:tab w:val="left" w:pos="1440"/>
          <w:tab w:val="right" w:pos="9360"/>
        </w:tabs>
        <w:rPr>
          <w:rFonts w:ascii="Times" w:hAnsi="Times"/>
          <w:szCs w:val="22"/>
        </w:rPr>
      </w:pPr>
    </w:p>
    <w:p w:rsidR="002F20F6" w:rsidP="00FD2319">
      <w:pPr>
        <w:tabs>
          <w:tab w:val="left" w:pos="1"/>
          <w:tab w:val="left" w:pos="720"/>
          <w:tab w:val="left" w:pos="1440"/>
          <w:tab w:val="right" w:pos="9360"/>
        </w:tabs>
        <w:rPr>
          <w:rFonts w:ascii="Times" w:hAnsi="Times"/>
          <w:szCs w:val="22"/>
        </w:rPr>
      </w:pPr>
      <w:r w:rsidRPr="004A58C2">
        <w:rPr>
          <w:rFonts w:ascii="Times" w:hAnsi="Times"/>
          <w:szCs w:val="22"/>
        </w:rPr>
        <w:tab/>
      </w:r>
      <w:r w:rsidRPr="004A58C2">
        <w:rPr>
          <w:rFonts w:ascii="Times" w:hAnsi="Times"/>
          <w:szCs w:val="22"/>
        </w:rPr>
        <w:tab/>
      </w:r>
      <w:r w:rsidR="00FD2319">
        <w:rPr>
          <w:rFonts w:ascii="Times" w:hAnsi="Times"/>
          <w:szCs w:val="22"/>
        </w:rPr>
        <w:t xml:space="preserve">By this Public Notice, the Media Bureau </w:t>
      </w:r>
      <w:r w:rsidR="009970AA">
        <w:rPr>
          <w:rFonts w:ascii="Times" w:hAnsi="Times"/>
          <w:szCs w:val="22"/>
        </w:rPr>
        <w:t xml:space="preserve">(Bureau) </w:t>
      </w:r>
      <w:r w:rsidR="00FD2319">
        <w:rPr>
          <w:rFonts w:ascii="Times" w:hAnsi="Times"/>
          <w:szCs w:val="22"/>
        </w:rPr>
        <w:t xml:space="preserve">announces that the deadline for filing </w:t>
      </w:r>
      <w:r w:rsidR="006A66E2">
        <w:rPr>
          <w:rFonts w:ascii="Times" w:hAnsi="Times"/>
          <w:szCs w:val="22"/>
        </w:rPr>
        <w:t>Form 349</w:t>
      </w:r>
      <w:r w:rsidR="009970AA">
        <w:rPr>
          <w:rFonts w:ascii="Times" w:hAnsi="Times"/>
          <w:szCs w:val="22"/>
        </w:rPr>
        <w:t xml:space="preserve"> </w:t>
      </w:r>
      <w:r w:rsidR="00FD2319">
        <w:rPr>
          <w:rFonts w:ascii="Times" w:hAnsi="Times"/>
          <w:szCs w:val="22"/>
        </w:rPr>
        <w:t xml:space="preserve">applications for </w:t>
      </w:r>
      <w:r w:rsidR="00285FCC">
        <w:rPr>
          <w:rFonts w:ascii="Times" w:hAnsi="Times"/>
          <w:szCs w:val="22"/>
        </w:rPr>
        <w:t>winning bidders from Auction 83</w:t>
      </w:r>
      <w:r w:rsidR="00FD2319">
        <w:rPr>
          <w:rFonts w:ascii="Times" w:hAnsi="Times"/>
          <w:szCs w:val="22"/>
        </w:rPr>
        <w:t xml:space="preserve"> will be extended </w:t>
      </w:r>
      <w:r w:rsidR="009970AA">
        <w:rPr>
          <w:rFonts w:ascii="Times" w:hAnsi="Times"/>
          <w:szCs w:val="22"/>
        </w:rPr>
        <w:t xml:space="preserve">from </w:t>
      </w:r>
      <w:r w:rsidR="00285FCC">
        <w:rPr>
          <w:rFonts w:ascii="Times" w:hAnsi="Times"/>
          <w:szCs w:val="22"/>
        </w:rPr>
        <w:t>August 8, 2018</w:t>
      </w:r>
      <w:r w:rsidR="00670FC5">
        <w:rPr>
          <w:rFonts w:ascii="Times" w:hAnsi="Times"/>
          <w:szCs w:val="22"/>
        </w:rPr>
        <w:t xml:space="preserve">, </w:t>
      </w:r>
      <w:r w:rsidR="009970AA">
        <w:rPr>
          <w:rFonts w:ascii="Times" w:hAnsi="Times"/>
          <w:szCs w:val="22"/>
        </w:rPr>
        <w:t xml:space="preserve">until </w:t>
      </w:r>
      <w:r w:rsidR="00285FCC">
        <w:rPr>
          <w:rFonts w:ascii="Times" w:hAnsi="Times"/>
          <w:szCs w:val="22"/>
        </w:rPr>
        <w:t>August 1</w:t>
      </w:r>
      <w:r w:rsidR="00CD1723">
        <w:rPr>
          <w:rFonts w:ascii="Times" w:hAnsi="Times"/>
          <w:szCs w:val="22"/>
        </w:rPr>
        <w:t>0</w:t>
      </w:r>
      <w:r w:rsidR="00285FCC">
        <w:rPr>
          <w:rFonts w:ascii="Times" w:hAnsi="Times"/>
          <w:szCs w:val="22"/>
        </w:rPr>
        <w:t>, 2018</w:t>
      </w:r>
      <w:r w:rsidR="003E308B">
        <w:rPr>
          <w:rFonts w:ascii="Times" w:hAnsi="Times"/>
          <w:szCs w:val="22"/>
        </w:rPr>
        <w:t xml:space="preserve">, </w:t>
      </w:r>
      <w:r w:rsidR="00CD1723">
        <w:rPr>
          <w:rFonts w:ascii="Times" w:hAnsi="Times"/>
          <w:szCs w:val="22"/>
        </w:rPr>
        <w:t>11:59</w:t>
      </w:r>
      <w:r w:rsidR="00285FCC">
        <w:rPr>
          <w:rFonts w:ascii="Times" w:hAnsi="Times"/>
          <w:szCs w:val="22"/>
        </w:rPr>
        <w:t xml:space="preserve"> </w:t>
      </w:r>
      <w:r w:rsidR="009970AA">
        <w:rPr>
          <w:rFonts w:ascii="Times" w:hAnsi="Times"/>
          <w:szCs w:val="22"/>
        </w:rPr>
        <w:t>p.m. E</w:t>
      </w:r>
      <w:r w:rsidR="00285FCC">
        <w:rPr>
          <w:rFonts w:ascii="Times" w:hAnsi="Times"/>
          <w:szCs w:val="22"/>
        </w:rPr>
        <w:t>D</w:t>
      </w:r>
      <w:r w:rsidR="009970AA">
        <w:rPr>
          <w:rFonts w:ascii="Times" w:hAnsi="Times"/>
          <w:szCs w:val="22"/>
        </w:rPr>
        <w:t xml:space="preserve">T.  </w:t>
      </w:r>
    </w:p>
    <w:p w:rsidR="0065051A" w:rsidP="00FD2319">
      <w:pPr>
        <w:tabs>
          <w:tab w:val="left" w:pos="1"/>
          <w:tab w:val="left" w:pos="720"/>
          <w:tab w:val="left" w:pos="1440"/>
          <w:tab w:val="right" w:pos="9360"/>
        </w:tabs>
        <w:rPr>
          <w:rFonts w:ascii="Times" w:hAnsi="Times"/>
          <w:szCs w:val="22"/>
        </w:rPr>
      </w:pPr>
    </w:p>
    <w:p w:rsidR="00CA291E" w:rsidRPr="001A53CE" w:rsidP="00FD2319">
      <w:pPr>
        <w:tabs>
          <w:tab w:val="left" w:pos="1"/>
          <w:tab w:val="left" w:pos="720"/>
          <w:tab w:val="left" w:pos="1440"/>
          <w:tab w:val="right" w:pos="9360"/>
        </w:tabs>
        <w:rPr>
          <w:rFonts w:ascii="Times" w:hAnsi="Times"/>
          <w:szCs w:val="22"/>
        </w:rPr>
      </w:pPr>
      <w:r>
        <w:rPr>
          <w:rFonts w:ascii="Times" w:hAnsi="Times"/>
          <w:szCs w:val="22"/>
        </w:rPr>
        <w:tab/>
      </w:r>
      <w:r>
        <w:rPr>
          <w:rFonts w:ascii="Times" w:hAnsi="Times"/>
          <w:szCs w:val="22"/>
        </w:rPr>
        <w:tab/>
        <w:t xml:space="preserve">The </w:t>
      </w:r>
      <w:r w:rsidR="00DA0E20">
        <w:rPr>
          <w:rFonts w:ascii="Times" w:hAnsi="Times"/>
          <w:szCs w:val="22"/>
        </w:rPr>
        <w:t xml:space="preserve">Auction </w:t>
      </w:r>
      <w:r w:rsidR="00285FCC">
        <w:rPr>
          <w:rFonts w:ascii="Times" w:hAnsi="Times"/>
          <w:szCs w:val="22"/>
        </w:rPr>
        <w:t>83</w:t>
      </w:r>
      <w:r w:rsidR="00DA0E20">
        <w:rPr>
          <w:rFonts w:ascii="Times" w:hAnsi="Times"/>
          <w:szCs w:val="22"/>
        </w:rPr>
        <w:t xml:space="preserve"> long-form application</w:t>
      </w:r>
      <w:r>
        <w:rPr>
          <w:rFonts w:ascii="Times" w:hAnsi="Times"/>
          <w:szCs w:val="22"/>
        </w:rPr>
        <w:t xml:space="preserve"> window is currently open </w:t>
      </w:r>
      <w:r w:rsidR="00C732A7">
        <w:rPr>
          <w:rFonts w:ascii="Times" w:hAnsi="Times"/>
          <w:szCs w:val="22"/>
        </w:rPr>
        <w:t xml:space="preserve">and scheduled to close </w:t>
      </w:r>
      <w:r w:rsidR="001A53CE">
        <w:rPr>
          <w:rFonts w:ascii="Times" w:hAnsi="Times"/>
          <w:szCs w:val="22"/>
        </w:rPr>
        <w:t>August 8, 2018</w:t>
      </w:r>
      <w:r>
        <w:rPr>
          <w:rFonts w:ascii="Times" w:hAnsi="Times"/>
          <w:szCs w:val="22"/>
        </w:rPr>
        <w:t xml:space="preserve">.  </w:t>
      </w:r>
      <w:r w:rsidR="00EA541E">
        <w:rPr>
          <w:rFonts w:ascii="Times" w:hAnsi="Times"/>
          <w:szCs w:val="22"/>
        </w:rPr>
        <w:t xml:space="preserve">The Bureau recognizes that </w:t>
      </w:r>
      <w:r w:rsidR="00DA0E20">
        <w:rPr>
          <w:rFonts w:ascii="Times" w:hAnsi="Times"/>
          <w:szCs w:val="22"/>
        </w:rPr>
        <w:t xml:space="preserve">on </w:t>
      </w:r>
      <w:r w:rsidR="001A53CE">
        <w:rPr>
          <w:rFonts w:ascii="Times" w:hAnsi="Times"/>
          <w:szCs w:val="22"/>
        </w:rPr>
        <w:t>August 2 and 3, 2018</w:t>
      </w:r>
      <w:r w:rsidR="00DA0E20">
        <w:rPr>
          <w:rFonts w:ascii="Times" w:hAnsi="Times"/>
          <w:szCs w:val="22"/>
        </w:rPr>
        <w:t>,</w:t>
      </w:r>
      <w:r w:rsidR="00C70154">
        <w:rPr>
          <w:rFonts w:ascii="Times" w:hAnsi="Times"/>
          <w:szCs w:val="22"/>
        </w:rPr>
        <w:t xml:space="preserve"> </w:t>
      </w:r>
      <w:r w:rsidR="00E159BC">
        <w:rPr>
          <w:rFonts w:ascii="Times" w:hAnsi="Times"/>
          <w:szCs w:val="22"/>
        </w:rPr>
        <w:t xml:space="preserve">technical issues </w:t>
      </w:r>
      <w:r w:rsidR="005851DF">
        <w:rPr>
          <w:rFonts w:ascii="Times" w:hAnsi="Times"/>
          <w:szCs w:val="22"/>
        </w:rPr>
        <w:t xml:space="preserve">with the Consolidated </w:t>
      </w:r>
      <w:r w:rsidRPr="001A53CE" w:rsidR="005851DF">
        <w:rPr>
          <w:rFonts w:ascii="Times" w:hAnsi="Times"/>
          <w:szCs w:val="22"/>
        </w:rPr>
        <w:t xml:space="preserve">Database System </w:t>
      </w:r>
      <w:r w:rsidRPr="001A53CE" w:rsidR="00E159BC">
        <w:rPr>
          <w:rFonts w:ascii="Times" w:hAnsi="Times"/>
          <w:szCs w:val="22"/>
        </w:rPr>
        <w:t xml:space="preserve">prevented </w:t>
      </w:r>
      <w:r w:rsidRPr="001A53CE" w:rsidR="00C732A7">
        <w:rPr>
          <w:rFonts w:ascii="Times" w:hAnsi="Times"/>
          <w:szCs w:val="22"/>
        </w:rPr>
        <w:t xml:space="preserve">some </w:t>
      </w:r>
      <w:r w:rsidRPr="001A53CE" w:rsidR="009970AA">
        <w:rPr>
          <w:rFonts w:ascii="Times" w:hAnsi="Times"/>
          <w:szCs w:val="22"/>
        </w:rPr>
        <w:t xml:space="preserve">applicants </w:t>
      </w:r>
      <w:r w:rsidRPr="001A53CE" w:rsidR="00E159BC">
        <w:rPr>
          <w:rFonts w:ascii="Times" w:hAnsi="Times"/>
          <w:szCs w:val="22"/>
        </w:rPr>
        <w:t>from filing the Form 3</w:t>
      </w:r>
      <w:r w:rsidRPr="001A53CE" w:rsidR="00DA0E20">
        <w:rPr>
          <w:rFonts w:ascii="Times" w:hAnsi="Times"/>
          <w:szCs w:val="22"/>
        </w:rPr>
        <w:t>49</w:t>
      </w:r>
      <w:r w:rsidRPr="001A53CE" w:rsidR="00E159BC">
        <w:rPr>
          <w:rFonts w:ascii="Times" w:hAnsi="Times"/>
          <w:szCs w:val="22"/>
        </w:rPr>
        <w:t xml:space="preserve"> applications</w:t>
      </w:r>
      <w:r w:rsidRPr="001A53CE" w:rsidR="009970AA">
        <w:rPr>
          <w:rFonts w:ascii="Times" w:hAnsi="Times"/>
          <w:szCs w:val="22"/>
        </w:rPr>
        <w:t>.  Th</w:t>
      </w:r>
      <w:r w:rsidRPr="001A53CE" w:rsidR="00C404C3">
        <w:rPr>
          <w:rFonts w:ascii="Times" w:hAnsi="Times"/>
          <w:szCs w:val="22"/>
        </w:rPr>
        <w:t xml:space="preserve">e </w:t>
      </w:r>
      <w:r w:rsidRPr="001A53CE" w:rsidR="005851DF">
        <w:rPr>
          <w:rFonts w:ascii="Times" w:hAnsi="Times"/>
          <w:szCs w:val="22"/>
        </w:rPr>
        <w:t>extension</w:t>
      </w:r>
      <w:r w:rsidRPr="001A53CE" w:rsidR="00C404C3">
        <w:rPr>
          <w:rFonts w:ascii="Times" w:hAnsi="Times"/>
          <w:szCs w:val="22"/>
        </w:rPr>
        <w:t xml:space="preserve"> i</w:t>
      </w:r>
      <w:r w:rsidRPr="001A53CE" w:rsidR="009970AA">
        <w:rPr>
          <w:rFonts w:ascii="Times" w:hAnsi="Times"/>
          <w:szCs w:val="22"/>
        </w:rPr>
        <w:t xml:space="preserve">s designed to ensure that all applicants </w:t>
      </w:r>
      <w:r w:rsidRPr="001A53CE" w:rsidR="00E159BC">
        <w:rPr>
          <w:rFonts w:ascii="Times" w:hAnsi="Times"/>
          <w:szCs w:val="22"/>
        </w:rPr>
        <w:t>are able</w:t>
      </w:r>
      <w:r w:rsidRPr="001A53CE" w:rsidR="009970AA">
        <w:rPr>
          <w:rFonts w:ascii="Times" w:hAnsi="Times"/>
          <w:szCs w:val="22"/>
        </w:rPr>
        <w:t xml:space="preserve"> to complete and </w:t>
      </w:r>
      <w:r w:rsidRPr="001A53CE" w:rsidR="008A1D14">
        <w:rPr>
          <w:rFonts w:ascii="Times" w:hAnsi="Times"/>
          <w:szCs w:val="22"/>
        </w:rPr>
        <w:t xml:space="preserve">timely </w:t>
      </w:r>
      <w:r w:rsidRPr="001A53CE" w:rsidR="009970AA">
        <w:rPr>
          <w:rFonts w:ascii="Times" w:hAnsi="Times"/>
          <w:szCs w:val="22"/>
        </w:rPr>
        <w:t>file applications.</w:t>
      </w:r>
      <w:r w:rsidRPr="001A53CE">
        <w:rPr>
          <w:rFonts w:ascii="Times" w:hAnsi="Times"/>
          <w:szCs w:val="22"/>
        </w:rPr>
        <w:t xml:space="preserve">  </w:t>
      </w:r>
    </w:p>
    <w:p w:rsidR="007B7100" w:rsidP="00D34754">
      <w:pPr>
        <w:pStyle w:val="Normal12"/>
        <w:tabs>
          <w:tab w:val="left" w:pos="0"/>
          <w:tab w:val="left" w:pos="720"/>
          <w:tab w:val="left" w:pos="1440"/>
        </w:tabs>
        <w:ind w:firstLine="0"/>
        <w:rPr>
          <w:rFonts w:ascii="Times" w:hAnsi="Times"/>
          <w:b/>
          <w:szCs w:val="22"/>
        </w:rPr>
      </w:pPr>
    </w:p>
    <w:p w:rsidR="00405F57" w:rsidP="00D34754">
      <w:pPr>
        <w:pStyle w:val="Normal12"/>
        <w:tabs>
          <w:tab w:val="left" w:pos="0"/>
          <w:tab w:val="left" w:pos="720"/>
          <w:tab w:val="left" w:pos="1440"/>
        </w:tabs>
        <w:ind w:firstLine="0"/>
        <w:rPr>
          <w:rFonts w:ascii="Times" w:hAnsi="Times"/>
          <w:b/>
          <w:szCs w:val="22"/>
        </w:rPr>
      </w:pPr>
    </w:p>
    <w:p w:rsidR="00405F57" w:rsidRPr="001A53CE" w:rsidP="00D34754">
      <w:pPr>
        <w:pStyle w:val="Normal12"/>
        <w:tabs>
          <w:tab w:val="left" w:pos="0"/>
          <w:tab w:val="left" w:pos="720"/>
          <w:tab w:val="left" w:pos="1440"/>
        </w:tabs>
        <w:ind w:firstLine="0"/>
        <w:rPr>
          <w:rFonts w:ascii="Times" w:hAnsi="Times"/>
          <w:b/>
          <w:szCs w:val="22"/>
        </w:rPr>
      </w:pPr>
    </w:p>
    <w:p w:rsidR="004633D0" w:rsidRPr="001A53CE" w:rsidP="004633D0">
      <w:pPr>
        <w:rPr>
          <w:rFonts w:ascii="Times" w:hAnsi="Times"/>
          <w:szCs w:val="22"/>
        </w:rPr>
      </w:pPr>
      <w:r w:rsidRPr="001A53CE">
        <w:rPr>
          <w:rFonts w:ascii="Times" w:hAnsi="Times"/>
          <w:szCs w:val="22"/>
        </w:rPr>
        <w:t>For additional information, contact:</w:t>
      </w:r>
    </w:p>
    <w:p w:rsidR="007B7100" w:rsidRPr="001A53CE" w:rsidP="004633D0">
      <w:pPr>
        <w:rPr>
          <w:rFonts w:ascii="Times" w:hAnsi="Times"/>
          <w:szCs w:val="22"/>
        </w:rPr>
      </w:pPr>
    </w:p>
    <w:p w:rsidR="004633D0" w:rsidRPr="001A53CE" w:rsidP="004633D0">
      <w:pPr>
        <w:numPr>
          <w:ilvl w:val="0"/>
          <w:numId w:val="6"/>
        </w:numPr>
        <w:rPr>
          <w:rFonts w:ascii="Times" w:hAnsi="Times"/>
          <w:szCs w:val="22"/>
        </w:rPr>
      </w:pPr>
      <w:r w:rsidRPr="001A53CE">
        <w:rPr>
          <w:rFonts w:ascii="Times" w:hAnsi="Times"/>
          <w:szCs w:val="22"/>
        </w:rPr>
        <w:t>Assistance with FRN numbers and passwords:  FRN Help Desk 1-(877) 480-3201, Option 4</w:t>
      </w:r>
    </w:p>
    <w:p w:rsidR="00334C38" w:rsidRPr="001A53CE" w:rsidP="00334C38">
      <w:pPr>
        <w:numPr>
          <w:ilvl w:val="0"/>
          <w:numId w:val="6"/>
        </w:numPr>
        <w:rPr>
          <w:rFonts w:ascii="Times" w:hAnsi="Times"/>
          <w:szCs w:val="22"/>
        </w:rPr>
      </w:pPr>
      <w:r w:rsidRPr="001A53CE">
        <w:rPr>
          <w:rFonts w:ascii="Times" w:hAnsi="Times"/>
          <w:szCs w:val="22"/>
        </w:rPr>
        <w:t xml:space="preserve">Electronic filing assistance:  </w:t>
      </w:r>
      <w:r w:rsidRPr="001A53CE" w:rsidR="00A24D22">
        <w:rPr>
          <w:rFonts w:ascii="Times" w:hAnsi="Times"/>
          <w:szCs w:val="22"/>
        </w:rPr>
        <w:t>CDBS Help Desk</w:t>
      </w:r>
      <w:r w:rsidRPr="001A53CE" w:rsidR="0073648E">
        <w:rPr>
          <w:rFonts w:ascii="Times" w:hAnsi="Times"/>
          <w:szCs w:val="22"/>
        </w:rPr>
        <w:t>,</w:t>
      </w:r>
      <w:r w:rsidRPr="001A53CE">
        <w:rPr>
          <w:rFonts w:ascii="Times" w:hAnsi="Times"/>
          <w:szCs w:val="22"/>
        </w:rPr>
        <w:t xml:space="preserve"> (202) 418-2662</w:t>
      </w:r>
      <w:r w:rsidRPr="001A53CE" w:rsidR="00A24D22">
        <w:rPr>
          <w:rFonts w:ascii="Times" w:hAnsi="Times"/>
          <w:szCs w:val="22"/>
        </w:rPr>
        <w:t>, Option 2</w:t>
      </w:r>
    </w:p>
    <w:p w:rsidR="007F2228" w:rsidRPr="001A53CE" w:rsidP="00334C38">
      <w:pPr>
        <w:numPr>
          <w:ilvl w:val="0"/>
          <w:numId w:val="6"/>
        </w:numPr>
        <w:rPr>
          <w:rFonts w:ascii="Times" w:hAnsi="Times"/>
          <w:szCs w:val="22"/>
        </w:rPr>
      </w:pPr>
      <w:r w:rsidRPr="001A53CE">
        <w:rPr>
          <w:rFonts w:ascii="Times" w:hAnsi="Times"/>
          <w:szCs w:val="22"/>
        </w:rPr>
        <w:t>Engineering inquiries:  James Bradshaw, (202) 418-2700</w:t>
      </w:r>
    </w:p>
    <w:p w:rsidR="00F821C1" w:rsidRPr="004A58C2" w:rsidP="00334C38">
      <w:pPr>
        <w:rPr>
          <w:rFonts w:ascii="Times" w:hAnsi="Times"/>
          <w:szCs w:val="22"/>
        </w:rPr>
      </w:pPr>
    </w:p>
    <w:p w:rsidR="006B61F6" w:rsidRPr="004A58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b/>
          <w:szCs w:val="22"/>
        </w:rPr>
      </w:pPr>
    </w:p>
    <w:p w:rsidR="006B61F6" w:rsidRPr="004A58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color w:val="000000"/>
          <w:szCs w:val="22"/>
        </w:rPr>
      </w:pPr>
    </w:p>
    <w:p w:rsidR="006B61F6" w:rsidRPr="004A58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w:hAnsi="Times"/>
          <w:b/>
          <w:szCs w:val="22"/>
        </w:rPr>
      </w:pPr>
      <w:r w:rsidRPr="004A58C2">
        <w:rPr>
          <w:rFonts w:ascii="Times" w:hAnsi="Times"/>
          <w:color w:val="000000"/>
          <w:szCs w:val="22"/>
        </w:rPr>
        <w:t>– FCC</w:t>
      </w:r>
      <w:r w:rsidRPr="004A58C2">
        <w:rPr>
          <w:rFonts w:ascii="Times" w:hAnsi="Times"/>
          <w:b/>
          <w:color w:val="000000"/>
          <w:szCs w:val="22"/>
        </w:rPr>
        <w:t xml:space="preserve"> </w:t>
      </w:r>
      <w:r w:rsidRPr="004A58C2">
        <w:rPr>
          <w:rFonts w:ascii="Times" w:hAnsi="Times"/>
          <w:color w:val="000000"/>
          <w:szCs w:val="22"/>
        </w:rPr>
        <w:t>–</w:t>
      </w:r>
    </w:p>
    <w:sectPr w:rsidSect="008F2EEA">
      <w:footerReference w:type="default" r:id="rId4"/>
      <w:headerReference w:type="first" r:id="rId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19">
    <w:pPr>
      <w:pStyle w:val="Footer"/>
      <w:jc w:val="center"/>
    </w:pPr>
    <w:r>
      <w:rPr>
        <w:rStyle w:val="PageNumber"/>
      </w:rPr>
      <w:fldChar w:fldCharType="begin"/>
    </w:r>
    <w:r>
      <w:rPr>
        <w:rStyle w:val="PageNumber"/>
      </w:rPr>
      <w:instrText xml:space="preserve"> PAGE </w:instrText>
    </w:r>
    <w:r>
      <w:rPr>
        <w:rStyle w:val="PageNumber"/>
      </w:rPr>
      <w:fldChar w:fldCharType="separate"/>
    </w:r>
    <w:r w:rsidR="002F20F6">
      <w:rPr>
        <w:rStyle w:val="PageNumber"/>
        <w:noProof/>
      </w:rPr>
      <w:t>2</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19" w:rsidRPr="004A5145">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2319">
                          <w:pPr>
                            <w:rPr>
                              <w:rFonts w:ascii="Arial" w:hAnsi="Arial"/>
                              <w:b/>
                            </w:rPr>
                          </w:pPr>
                          <w:r>
                            <w:rPr>
                              <w:rFonts w:ascii="Arial" w:hAnsi="Arial"/>
                              <w:b/>
                            </w:rPr>
                            <w:t>Federal Communications Commission</w:t>
                          </w:r>
                        </w:p>
                        <w:p w:rsidR="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D2319">
                    <w:pPr>
                      <w:rPr>
                        <w:rFonts w:ascii="Arial" w:hAnsi="Arial"/>
                        <w:b/>
                      </w:rPr>
                    </w:pPr>
                    <w:r>
                      <w:rPr>
                        <w:rFonts w:ascii="Arial" w:hAnsi="Arial"/>
                        <w:b/>
                      </w:rPr>
                      <w:t>Federal Communications Commission</w:t>
                    </w:r>
                  </w:p>
                  <w:p w:rsidR="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64384" behindDoc="0" locked="0" layoutInCell="0" allowOverlap="1">
          <wp:simplePos x="0" y="0"/>
          <wp:positionH relativeFrom="column">
            <wp:posOffset>31750</wp:posOffset>
          </wp:positionH>
          <wp:positionV relativeFrom="paragraph">
            <wp:posOffset>107950</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FD2319">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718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2319">
                          <w:pPr>
                            <w:spacing w:before="40"/>
                            <w:jc w:val="right"/>
                            <w:rPr>
                              <w:rFonts w:ascii="Arial" w:hAnsi="Arial"/>
                              <w:b/>
                              <w:sz w:val="16"/>
                              <w:szCs w:val="16"/>
                            </w:rPr>
                          </w:pPr>
                          <w:r>
                            <w:rPr>
                              <w:rFonts w:ascii="Arial" w:hAnsi="Arial"/>
                              <w:b/>
                              <w:sz w:val="16"/>
                              <w:szCs w:val="16"/>
                            </w:rPr>
                            <w:t>News Media Information 202 / 418-0500</w:t>
                          </w:r>
                        </w:p>
                        <w:p w:rsidR="00FD231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FD2319">
                          <w:pPr>
                            <w:jc w:val="right"/>
                            <w:rPr>
                              <w:rFonts w:ascii="Arial" w:hAnsi="Arial"/>
                              <w:b/>
                              <w:szCs w:val="22"/>
                            </w:rPr>
                          </w:pPr>
                          <w:r>
                            <w:rPr>
                              <w:rFonts w:ascii="Arial" w:hAnsi="Arial"/>
                              <w:b/>
                              <w:sz w:val="16"/>
                              <w:szCs w:val="16"/>
                            </w:rPr>
                            <w:t>TTY: 1-888-835-5322</w:t>
                          </w:r>
                        </w:p>
                        <w:p w:rsidR="00FD2319">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34pt;height:43.2pt;margin-top:6pt;margin-left:238.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FD2319">
                    <w:pPr>
                      <w:spacing w:before="40"/>
                      <w:jc w:val="right"/>
                      <w:rPr>
                        <w:rFonts w:ascii="Arial" w:hAnsi="Arial"/>
                        <w:b/>
                        <w:sz w:val="16"/>
                        <w:szCs w:val="16"/>
                      </w:rPr>
                    </w:pPr>
                    <w:r>
                      <w:rPr>
                        <w:rFonts w:ascii="Arial" w:hAnsi="Arial"/>
                        <w:b/>
                        <w:sz w:val="16"/>
                        <w:szCs w:val="16"/>
                      </w:rPr>
                      <w:t>News Media Information 202 / 418-0500</w:t>
                    </w:r>
                  </w:p>
                  <w:p w:rsidR="00FD231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FD2319">
                    <w:pPr>
                      <w:jc w:val="right"/>
                      <w:rPr>
                        <w:rFonts w:ascii="Arial" w:hAnsi="Arial"/>
                        <w:b/>
                        <w:szCs w:val="22"/>
                      </w:rPr>
                    </w:pPr>
                    <w:r>
                      <w:rPr>
                        <w:rFonts w:ascii="Arial" w:hAnsi="Arial"/>
                        <w:b/>
                        <w:sz w:val="16"/>
                        <w:szCs w:val="16"/>
                      </w:rPr>
                      <w:t>TTY: 1-888-835-5322</w:t>
                    </w:r>
                  </w:p>
                  <w:p w:rsidR="00FD2319">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5151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pt;mso-wrap-distance-left:9pt;mso-wrap-distance-right:9pt;mso-wrap-distance-top:0pt;mso-wrap-style:square;position:absolute;visibility:visible;z-index:251661312" from="-22.95pt,51pt" to="490.05pt,51pt"/>
          </w:pict>
        </mc:Fallback>
      </mc:AlternateContent>
    </w:r>
  </w:p>
  <w:p w:rsidR="00FD2319">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6F17CE7"/>
    <w:multiLevelType w:val="hybridMultilevel"/>
    <w:tmpl w:val="F4725B6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