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641FF" w:rsidP="00B641FF">
      <w:pPr>
        <w:jc w:val="right"/>
        <w:rPr>
          <w:b/>
          <w:bCs/>
          <w:szCs w:val="22"/>
        </w:rPr>
      </w:pPr>
    </w:p>
    <w:p w:rsidR="000C6A31" w:rsidRPr="001645A7" w:rsidP="00B641FF">
      <w:pPr>
        <w:jc w:val="right"/>
        <w:rPr>
          <w:b/>
          <w:szCs w:val="22"/>
        </w:rPr>
      </w:pPr>
      <w:r w:rsidRPr="00B20629">
        <w:rPr>
          <w:b/>
          <w:bCs/>
          <w:szCs w:val="22"/>
        </w:rPr>
        <w:t xml:space="preserve">DA </w:t>
      </w:r>
      <w:r w:rsidR="00792807">
        <w:rPr>
          <w:b/>
          <w:bCs/>
          <w:szCs w:val="22"/>
        </w:rPr>
        <w:t>18-</w:t>
      </w:r>
      <w:r w:rsidR="00260AD7">
        <w:rPr>
          <w:b/>
          <w:bCs/>
          <w:szCs w:val="22"/>
        </w:rPr>
        <w:t>831</w:t>
      </w:r>
    </w:p>
    <w:p w:rsidR="000C6A31" w:rsidRPr="005E7EDB" w:rsidP="000767F1">
      <w:pPr>
        <w:jc w:val="right"/>
        <w:rPr>
          <w:b/>
          <w:bCs/>
          <w:szCs w:val="22"/>
        </w:rPr>
      </w:pPr>
      <w:r>
        <w:rPr>
          <w:b/>
          <w:szCs w:val="22"/>
        </w:rPr>
        <w:t>August 8</w:t>
      </w:r>
      <w:r w:rsidR="002932FA">
        <w:rPr>
          <w:b/>
          <w:bCs/>
          <w:szCs w:val="22"/>
        </w:rPr>
        <w:t>, 2018</w:t>
      </w:r>
    </w:p>
    <w:p w:rsidR="000767F1" w:rsidRPr="005E7EDB" w:rsidP="000C6A31">
      <w:pPr>
        <w:spacing w:before="60"/>
        <w:jc w:val="right"/>
        <w:rPr>
          <w:b/>
          <w:szCs w:val="22"/>
        </w:rPr>
      </w:pPr>
    </w:p>
    <w:p w:rsidR="00260AD7" w:rsidRPr="00260AD7" w:rsidP="00260AD7">
      <w:pPr>
        <w:jc w:val="center"/>
        <w:rPr>
          <w:rFonts w:ascii="Times New Roman Bold" w:hAnsi="Times New Roman Bold"/>
          <w:b/>
          <w:bCs/>
          <w:caps/>
          <w:szCs w:val="22"/>
        </w:rPr>
      </w:pPr>
      <w:r w:rsidRPr="001F4FD3">
        <w:rPr>
          <w:b/>
        </w:rPr>
        <w:t xml:space="preserve">WIRELESS TELECOMMUNICATIONS BUREAU SEEKS COMMENT ON </w:t>
      </w:r>
      <w:bookmarkStart w:id="0" w:name="_Hlk520986362"/>
      <w:r w:rsidRPr="001F4FD3">
        <w:rPr>
          <w:b/>
        </w:rPr>
        <w:t xml:space="preserve">T-MOBILE US, INC. AND SPRINT CORPORATION REQUESTS FOR A DECLARATORY RULING OR WAIVER </w:t>
      </w:r>
      <w:bookmarkEnd w:id="0"/>
      <w:r w:rsidRPr="001F4FD3">
        <w:rPr>
          <w:b/>
        </w:rPr>
        <w:t>OF THE COMMISSION’S RULES FOR AUCTIONS 101 AND 102</w:t>
      </w:r>
    </w:p>
    <w:p w:rsidR="00260AD7" w:rsidP="005C5914">
      <w:pPr>
        <w:jc w:val="center"/>
        <w:rPr>
          <w:b/>
          <w:bCs/>
          <w:caps/>
          <w:szCs w:val="22"/>
        </w:rPr>
      </w:pPr>
    </w:p>
    <w:p w:rsidR="00C95880" w:rsidP="00C95880">
      <w:pPr>
        <w:jc w:val="center"/>
        <w:rPr>
          <w:b/>
          <w:bCs/>
          <w:szCs w:val="22"/>
        </w:rPr>
      </w:pPr>
      <w:r w:rsidRPr="00C95880">
        <w:rPr>
          <w:b/>
          <w:bCs/>
          <w:szCs w:val="22"/>
        </w:rPr>
        <w:t xml:space="preserve">AU Docket No. </w:t>
      </w:r>
      <w:r w:rsidR="00260AD7">
        <w:rPr>
          <w:b/>
          <w:bCs/>
          <w:szCs w:val="22"/>
        </w:rPr>
        <w:t>18-85</w:t>
      </w:r>
    </w:p>
    <w:p w:rsidR="00260AD7" w:rsidP="00C95880">
      <w:pPr>
        <w:jc w:val="center"/>
        <w:rPr>
          <w:b/>
          <w:bCs/>
          <w:szCs w:val="22"/>
        </w:rPr>
      </w:pPr>
    </w:p>
    <w:p w:rsidR="00260AD7" w:rsidRPr="00EE5E46" w:rsidP="00260AD7">
      <w:pPr>
        <w:rPr>
          <w:b/>
          <w:szCs w:val="22"/>
        </w:rPr>
      </w:pPr>
      <w:r w:rsidRPr="00EE5E46">
        <w:rPr>
          <w:b/>
          <w:szCs w:val="22"/>
        </w:rPr>
        <w:t>Comments Due:  August 22, 2018</w:t>
      </w:r>
    </w:p>
    <w:p w:rsidR="00260AD7" w:rsidRPr="00EE5E46" w:rsidP="00C339AE">
      <w:pPr>
        <w:rPr>
          <w:szCs w:val="22"/>
        </w:rPr>
      </w:pPr>
    </w:p>
    <w:p w:rsidR="00C339AE" w:rsidRPr="00EE5E46" w:rsidP="00C339AE">
      <w:pPr>
        <w:pStyle w:val="ParaNum"/>
        <w:numPr>
          <w:ilvl w:val="0"/>
          <w:numId w:val="0"/>
        </w:numPr>
        <w:ind w:firstLine="720"/>
        <w:rPr>
          <w:szCs w:val="22"/>
        </w:rPr>
      </w:pPr>
      <w:r w:rsidRPr="00EE5E46">
        <w:rPr>
          <w:szCs w:val="22"/>
        </w:rPr>
        <w:t>By this Public Notice, the Wireless Telecommunications Bureau (Bureau) seeks comment on the separate requests of T-Mobile US, Inc. (T-Mobile)</w:t>
      </w:r>
      <w:r>
        <w:rPr>
          <w:rStyle w:val="FootnoteReference"/>
          <w:sz w:val="22"/>
          <w:szCs w:val="22"/>
        </w:rPr>
        <w:footnoteReference w:id="3"/>
      </w:r>
      <w:r w:rsidRPr="00EE5E46">
        <w:rPr>
          <w:szCs w:val="22"/>
        </w:rPr>
        <w:t xml:space="preserve"> and Sprint Corporation (Sprint)</w:t>
      </w:r>
      <w:r>
        <w:rPr>
          <w:rStyle w:val="FootnoteReference"/>
          <w:sz w:val="22"/>
          <w:szCs w:val="22"/>
        </w:rPr>
        <w:footnoteReference w:id="4"/>
      </w:r>
      <w:r w:rsidRPr="00EE5E46">
        <w:rPr>
          <w:szCs w:val="22"/>
        </w:rPr>
        <w:t xml:space="preserve"> for a clarification and declaratory ruling, respectively, on the certification requirement in Section 1.2105(a)(2)(ix) of the Commission’s rules,</w:t>
      </w:r>
      <w:r>
        <w:rPr>
          <w:rStyle w:val="FootnoteReference"/>
          <w:sz w:val="22"/>
          <w:szCs w:val="22"/>
        </w:rPr>
        <w:footnoteReference w:id="5"/>
      </w:r>
      <w:r w:rsidRPr="00EE5E46">
        <w:rPr>
          <w:szCs w:val="22"/>
        </w:rPr>
        <w:t xml:space="preserve"> or alternatively a waiver of that provision, designed to ensure that their Business Combination Agreement (BCA) will not bar their independent participation in Auctions 101 and 102.  The Bureau also seeks comment on Sprint’s request for a limited waiver of the Commission’s rule prohibiting major modifications of short-form applications, or alternatively a waiver of its obligation to maintain the accuracy of its short-form applications, to allow Sprint and T-Mobile to close their transaction promptly if the proposed merger is approved.</w:t>
      </w:r>
      <w:r>
        <w:rPr>
          <w:rStyle w:val="FootnoteReference"/>
          <w:sz w:val="22"/>
          <w:szCs w:val="22"/>
        </w:rPr>
        <w:footnoteReference w:id="6"/>
      </w:r>
    </w:p>
    <w:p w:rsidR="00C339AE" w:rsidRPr="00EE5E46" w:rsidP="00C339AE">
      <w:pPr>
        <w:pStyle w:val="ParaNum"/>
        <w:numPr>
          <w:ilvl w:val="0"/>
          <w:numId w:val="0"/>
        </w:numPr>
        <w:ind w:firstLine="720"/>
        <w:rPr>
          <w:szCs w:val="22"/>
        </w:rPr>
      </w:pPr>
      <w:r w:rsidRPr="00EE5E46">
        <w:rPr>
          <w:szCs w:val="22"/>
        </w:rPr>
        <w:t>On August 6, 2018, T-Mobile filed a request for confirmation that its BCA with Sprint is exempt from the Commission’s prohibition on joint bidding arrangements or, alternatively, for a waiver of the prohibition with regard to the BCA so that it may be able to participate in Auctions 101 and 102.</w:t>
      </w:r>
      <w:r>
        <w:rPr>
          <w:rStyle w:val="FootnoteReference"/>
          <w:sz w:val="22"/>
          <w:szCs w:val="22"/>
        </w:rPr>
        <w:footnoteReference w:id="7"/>
      </w:r>
      <w:r w:rsidRPr="00EE5E46">
        <w:rPr>
          <w:szCs w:val="22"/>
        </w:rPr>
        <w:t xml:space="preserve">  The Commission’s rules generally prohibit joint bidding and other arrangements involving auction applicants (including any party that controls or is controlled by, such applicants).</w:t>
      </w:r>
      <w:r>
        <w:rPr>
          <w:rStyle w:val="FootnoteReference"/>
          <w:sz w:val="22"/>
          <w:szCs w:val="22"/>
        </w:rPr>
        <w:footnoteReference w:id="8"/>
      </w:r>
      <w:r w:rsidRPr="00EE5E46">
        <w:rPr>
          <w:szCs w:val="22"/>
        </w:rPr>
        <w:t xml:space="preserve">  The general prohibition on joint bidding arrangements excludes certain agreements, including agreements for the transfer or assignment of licenses, provided that such agreements do not both relate to the licenses at auction and address or </w:t>
      </w:r>
      <w:r w:rsidRPr="00EE5E46">
        <w:rPr>
          <w:szCs w:val="22"/>
        </w:rPr>
        <w:t>communicate, directly or indirectly, bidding at auction (including specific prices to be bid) or bidding strategies (including the specific licenses on which to bid) or post-auction market structure.</w:t>
      </w:r>
      <w:r>
        <w:rPr>
          <w:rStyle w:val="FootnoteReference"/>
          <w:sz w:val="22"/>
          <w:szCs w:val="22"/>
        </w:rPr>
        <w:footnoteReference w:id="9"/>
      </w:r>
      <w:r w:rsidRPr="00EE5E46">
        <w:rPr>
          <w:szCs w:val="22"/>
        </w:rPr>
        <w:t xml:space="preserve">  This prohibition applies to the upcoming Auctions 101 and 102.</w:t>
      </w:r>
      <w:r>
        <w:rPr>
          <w:szCs w:val="22"/>
          <w:vertAlign w:val="superscript"/>
        </w:rPr>
        <w:footnoteReference w:id="10"/>
      </w:r>
      <w:r w:rsidRPr="00EE5E46">
        <w:rPr>
          <w:szCs w:val="22"/>
        </w:rPr>
        <w:t xml:space="preserve">  T-Mobile has expressed its interest in participating in Auctions 101 and 102 and contends that the BCA falls within this exemption because it neither relates to the licenses at issue nor addresses bidding, bidding strategy, or the post-auction market structure.</w:t>
      </w:r>
      <w:r>
        <w:rPr>
          <w:rStyle w:val="FootnoteReference"/>
          <w:sz w:val="22"/>
          <w:szCs w:val="22"/>
        </w:rPr>
        <w:footnoteReference w:id="11"/>
      </w:r>
    </w:p>
    <w:p w:rsidR="00C339AE" w:rsidRPr="00EE5E46" w:rsidP="00C339AE">
      <w:pPr>
        <w:pStyle w:val="ParaNum"/>
        <w:numPr>
          <w:ilvl w:val="0"/>
          <w:numId w:val="0"/>
        </w:numPr>
        <w:ind w:firstLine="720"/>
        <w:rPr>
          <w:szCs w:val="22"/>
        </w:rPr>
      </w:pPr>
      <w:r w:rsidRPr="00EE5E46">
        <w:rPr>
          <w:szCs w:val="22"/>
        </w:rPr>
        <w:t>Alternatively, T-Mobile seeks a waiver of the prohibition on joint bidding arrangements.  It presents three arguments in favor of its request.  First, it argues that its participation in Auctions 101 and 102 will promote broad auction participation and thereby serve the objective of determining the highest and best use of the spectrum.</w:t>
      </w:r>
      <w:r>
        <w:rPr>
          <w:rStyle w:val="FootnoteReference"/>
          <w:sz w:val="22"/>
          <w:szCs w:val="22"/>
        </w:rPr>
        <w:footnoteReference w:id="12"/>
      </w:r>
      <w:r w:rsidRPr="00EE5E46">
        <w:rPr>
          <w:szCs w:val="22"/>
        </w:rPr>
        <w:t xml:space="preserve">  Second, T-Mobile maintains that the facts here are unique because it is party to an agreement contemplating a merger between two nationwide wireless providers at the same time as a major spectrum auction,</w:t>
      </w:r>
      <w:r>
        <w:rPr>
          <w:szCs w:val="22"/>
          <w:vertAlign w:val="superscript"/>
        </w:rPr>
        <w:footnoteReference w:id="13"/>
      </w:r>
      <w:r w:rsidRPr="00EE5E46">
        <w:rPr>
          <w:szCs w:val="22"/>
        </w:rPr>
        <w:t xml:space="preserve"> and, accordingly, that application of the rule would be inequitable, unduly burdensome, and contrary to the public interest.</w:t>
      </w:r>
      <w:r>
        <w:rPr>
          <w:rStyle w:val="FootnoteReference"/>
          <w:sz w:val="22"/>
          <w:szCs w:val="22"/>
        </w:rPr>
        <w:footnoteReference w:id="14"/>
      </w:r>
      <w:r w:rsidRPr="00EE5E46">
        <w:rPr>
          <w:szCs w:val="22"/>
        </w:rPr>
        <w:t xml:space="preserve">  Third, it asserts that it has no reasonable alternative to seeking a clarification or rule waiver because delaying the merger for the duration of both Auctions 101 and 102 would present inordinate financial and operational risks to both companies.</w:t>
      </w:r>
      <w:r>
        <w:rPr>
          <w:rStyle w:val="FootnoteReference"/>
          <w:sz w:val="22"/>
          <w:szCs w:val="22"/>
        </w:rPr>
        <w:footnoteReference w:id="15"/>
      </w:r>
    </w:p>
    <w:p w:rsidR="00C339AE" w:rsidRPr="00EE5E46" w:rsidP="00C339AE">
      <w:pPr>
        <w:pStyle w:val="ParaNum"/>
        <w:numPr>
          <w:ilvl w:val="0"/>
          <w:numId w:val="0"/>
        </w:numPr>
        <w:ind w:firstLine="720"/>
        <w:rPr>
          <w:szCs w:val="22"/>
        </w:rPr>
      </w:pPr>
      <w:r w:rsidRPr="00EE5E46">
        <w:rPr>
          <w:szCs w:val="22"/>
        </w:rPr>
        <w:t>On August 6, 2018, Sprint filed a petition for declaratory ruling that the BCA does not constitute a joint bidding arrangement or, alternatively, request for waiver of the bar on joint bidding by national carriers to enable it to participate in Auctions 101 and 102.</w:t>
      </w:r>
      <w:r>
        <w:rPr>
          <w:rStyle w:val="FootnoteReference"/>
          <w:sz w:val="22"/>
          <w:szCs w:val="22"/>
        </w:rPr>
        <w:footnoteReference w:id="16"/>
      </w:r>
      <w:r w:rsidRPr="00EE5E46">
        <w:rPr>
          <w:szCs w:val="22"/>
        </w:rPr>
        <w:t xml:space="preserve">  Sprint urges the Commission to find that the BCA is not a joint bidding arrangement because the BCA, by its express terms, is neither an arrangement that relates to the licenses being auctioned nor an arrangement that addresses or communicates bidding, bidding strategies, or post-auction market structure.</w:t>
      </w:r>
      <w:r>
        <w:rPr>
          <w:rStyle w:val="FootnoteReference"/>
          <w:sz w:val="22"/>
          <w:szCs w:val="22"/>
        </w:rPr>
        <w:footnoteReference w:id="17"/>
      </w:r>
      <w:r w:rsidRPr="00EE5E46">
        <w:rPr>
          <w:szCs w:val="22"/>
        </w:rPr>
        <w:t xml:space="preserve">  </w:t>
      </w:r>
    </w:p>
    <w:p w:rsidR="00C339AE" w:rsidRPr="00EE5E46" w:rsidP="00C339AE">
      <w:pPr>
        <w:pStyle w:val="ParaNum"/>
        <w:numPr>
          <w:ilvl w:val="0"/>
          <w:numId w:val="0"/>
        </w:numPr>
        <w:ind w:firstLine="720"/>
        <w:rPr>
          <w:szCs w:val="22"/>
        </w:rPr>
      </w:pPr>
      <w:r w:rsidRPr="00EE5E46">
        <w:rPr>
          <w:szCs w:val="22"/>
        </w:rPr>
        <w:t>Sprint also requests that, if the Commission declines to issue a declaratory ruling, it grant Sprint a waiver of the prohibition against joint bidding arrangements.</w:t>
      </w:r>
      <w:r>
        <w:rPr>
          <w:rStyle w:val="FootnoteReference"/>
          <w:sz w:val="22"/>
          <w:szCs w:val="22"/>
        </w:rPr>
        <w:footnoteReference w:id="18"/>
      </w:r>
      <w:r w:rsidRPr="00EE5E46">
        <w:rPr>
          <w:szCs w:val="22"/>
        </w:rPr>
        <w:t xml:space="preserve">  In support, Sprint argues that:  (1) applying the rule would block parties that have expressed an interest in the auctions from participating, thereby reducing competition in the auctions; (2) the BCA cannot be construed as a vehicle for the parties to engage in auction-related “anticompetitive behavior” because the terms of the arrangement have been publicly available for months; and (3) grant of the waiver would serve the public interest because it would allow Sprint to compete for millimeter wave spectrum and therefore promote competition in the mobile wireless marketplace and between bidders in auctions.</w:t>
      </w:r>
      <w:r>
        <w:rPr>
          <w:rStyle w:val="FootnoteReference"/>
          <w:sz w:val="22"/>
          <w:szCs w:val="22"/>
        </w:rPr>
        <w:footnoteReference w:id="19"/>
      </w:r>
      <w:r w:rsidRPr="00EE5E46">
        <w:rPr>
          <w:szCs w:val="22"/>
        </w:rPr>
        <w:t xml:space="preserve">  </w:t>
      </w:r>
    </w:p>
    <w:p w:rsidR="00C339AE" w:rsidRPr="00EE5E46" w:rsidP="00B92195">
      <w:pPr>
        <w:pStyle w:val="ParaNum"/>
        <w:widowControl/>
        <w:numPr>
          <w:ilvl w:val="0"/>
          <w:numId w:val="0"/>
        </w:numPr>
        <w:ind w:firstLine="720"/>
        <w:rPr>
          <w:szCs w:val="22"/>
        </w:rPr>
      </w:pPr>
      <w:r w:rsidRPr="00EE5E46">
        <w:rPr>
          <w:szCs w:val="22"/>
        </w:rPr>
        <w:t xml:space="preserve">Finally, Sprint seeks a waiver of Section 1.2105(b)(2) of the Commission’s rules prohibiting major amendments to short-form auction applications, in the event that Sprint is a winning bidder and its </w:t>
      </w:r>
      <w:r w:rsidRPr="00EE5E46">
        <w:rPr>
          <w:szCs w:val="22"/>
        </w:rPr>
        <w:t>merger with T-Mobile is approved.</w:t>
      </w:r>
      <w:r>
        <w:rPr>
          <w:rStyle w:val="FootnoteReference"/>
          <w:sz w:val="22"/>
          <w:szCs w:val="22"/>
        </w:rPr>
        <w:footnoteReference w:id="20"/>
      </w:r>
      <w:r w:rsidRPr="00EE5E46">
        <w:rPr>
          <w:szCs w:val="22"/>
        </w:rPr>
        <w:t xml:space="preserve">  Sprint asserts that the requested waiver would allow it to make a major amendment to its auction application, reflecting a change in ownership, after the bidding has ended but before long-form license applications are due.</w:t>
      </w:r>
      <w:r>
        <w:rPr>
          <w:rStyle w:val="FootnoteReference"/>
          <w:sz w:val="22"/>
          <w:szCs w:val="22"/>
        </w:rPr>
        <w:footnoteReference w:id="21"/>
      </w:r>
      <w:r w:rsidRPr="00EE5E46">
        <w:rPr>
          <w:szCs w:val="22"/>
        </w:rPr>
        <w:t xml:space="preserve">  </w:t>
      </w:r>
      <w:bookmarkStart w:id="3" w:name="_Hlk521422188"/>
      <w:r w:rsidRPr="00EE5E46">
        <w:rPr>
          <w:szCs w:val="22"/>
        </w:rPr>
        <w:t>Alternatively, Sprint seeks a waiver of its obligation under Section 1.2105(b)(4) to update its short-form application to reflect a change of ownership between the end of bidding and the deadline for long-form applications.</w:t>
      </w:r>
      <w:bookmarkEnd w:id="3"/>
      <w:r>
        <w:rPr>
          <w:rStyle w:val="FootnoteReference"/>
          <w:sz w:val="22"/>
          <w:szCs w:val="22"/>
        </w:rPr>
        <w:footnoteReference w:id="22"/>
      </w:r>
      <w:r w:rsidRPr="00EE5E46">
        <w:rPr>
          <w:szCs w:val="22"/>
        </w:rPr>
        <w:t xml:space="preserve">  Sprint submits that special circumstances support its waiver request and that grant of its request would be in the public interest.</w:t>
      </w:r>
      <w:r>
        <w:rPr>
          <w:szCs w:val="22"/>
          <w:vertAlign w:val="superscript"/>
        </w:rPr>
        <w:footnoteReference w:id="23"/>
      </w:r>
    </w:p>
    <w:p w:rsidR="00C339AE" w:rsidRPr="00EE5E46" w:rsidP="00F94AF0">
      <w:pPr>
        <w:pStyle w:val="ParaNum"/>
        <w:numPr>
          <w:ilvl w:val="0"/>
          <w:numId w:val="0"/>
        </w:numPr>
        <w:ind w:firstLine="720"/>
        <w:rPr>
          <w:szCs w:val="22"/>
        </w:rPr>
      </w:pPr>
      <w:r w:rsidRPr="00EE5E46">
        <w:rPr>
          <w:szCs w:val="22"/>
        </w:rPr>
        <w:t xml:space="preserve">In the recent </w:t>
      </w:r>
      <w:r w:rsidRPr="00EE5E46">
        <w:rPr>
          <w:i/>
          <w:szCs w:val="22"/>
        </w:rPr>
        <w:t>Auctions 101 and 102 Procedures Public Notice</w:t>
      </w:r>
      <w:r w:rsidRPr="00EE5E46">
        <w:rPr>
          <w:szCs w:val="22"/>
        </w:rPr>
        <w:t>, the Commission directed the Bureau to act expeditiously on requests for a determination of how the prohibition on joint bidding arrangements might apply in the context of specific agreements.</w:t>
      </w:r>
      <w:r>
        <w:rPr>
          <w:rStyle w:val="FootnoteReference"/>
          <w:sz w:val="22"/>
          <w:szCs w:val="22"/>
        </w:rPr>
        <w:footnoteReference w:id="24"/>
      </w:r>
      <w:r w:rsidRPr="00EE5E46">
        <w:rPr>
          <w:szCs w:val="22"/>
        </w:rPr>
        <w:t xml:space="preserve">  Accordingly, we seek comment on these two filings on a schedule designed to provide prompt responses to the parties’ requests.</w:t>
      </w:r>
      <w:r>
        <w:rPr>
          <w:rStyle w:val="FootnoteReference"/>
          <w:sz w:val="22"/>
          <w:szCs w:val="22"/>
        </w:rPr>
        <w:footnoteReference w:id="25"/>
      </w:r>
    </w:p>
    <w:p w:rsidR="00C339AE" w:rsidRPr="00EE5E46" w:rsidP="00C339AE">
      <w:pPr>
        <w:rPr>
          <w:b/>
          <w:szCs w:val="22"/>
        </w:rPr>
      </w:pPr>
      <w:r w:rsidRPr="00EE5E46">
        <w:rPr>
          <w:b/>
          <w:szCs w:val="22"/>
        </w:rPr>
        <w:t>Procedural Matters</w:t>
      </w:r>
    </w:p>
    <w:p w:rsidR="00C339AE" w:rsidRPr="00EE5E46" w:rsidP="00C339AE">
      <w:pPr>
        <w:rPr>
          <w:szCs w:val="22"/>
        </w:rPr>
      </w:pPr>
    </w:p>
    <w:p w:rsidR="00C339AE" w:rsidRPr="00EE5E46" w:rsidP="00C339AE">
      <w:pPr>
        <w:pStyle w:val="Paranum0"/>
        <w:numPr>
          <w:ilvl w:val="0"/>
          <w:numId w:val="0"/>
        </w:numPr>
        <w:ind w:firstLine="720"/>
        <w:rPr>
          <w:szCs w:val="22"/>
        </w:rPr>
      </w:pPr>
      <w:r w:rsidRPr="00EE5E46">
        <w:rPr>
          <w:szCs w:val="22"/>
        </w:rPr>
        <w:t xml:space="preserve">The requests and comments can be accessed electronically via the Commission’s Electronic Comment Filing System, </w:t>
      </w:r>
      <w:r>
        <w:fldChar w:fldCharType="begin"/>
      </w:r>
      <w:r>
        <w:instrText xml:space="preserve"> HYPERLINK "https://www.fcc.gov/ecfs/" </w:instrText>
      </w:r>
      <w:r>
        <w:fldChar w:fldCharType="separate"/>
      </w:r>
      <w:r w:rsidRPr="00EE5E46">
        <w:rPr>
          <w:rStyle w:val="Hyperlink"/>
          <w:szCs w:val="22"/>
        </w:rPr>
        <w:t>https://www.fcc.gov/ecfs/</w:t>
      </w:r>
      <w:r>
        <w:fldChar w:fldCharType="end"/>
      </w:r>
      <w:r w:rsidRPr="00EE5E46">
        <w:rPr>
          <w:szCs w:val="22"/>
        </w:rPr>
        <w:t xml:space="preserve">.  Search for filings using the docket number shown on the first page of this Public Notice.  The full text of the requests and comments will be available for inspection and duplication during regular business hours in the FCC Reference Information Center (RIC) of the Consumer and Governmental Affairs Bureau, Federal Communications Commission, 445 12th Street, S.W., Room CY-A257, Washington, DC  20554.  </w:t>
      </w:r>
    </w:p>
    <w:p w:rsidR="00C339AE" w:rsidRPr="00EE5E46" w:rsidP="00C339AE">
      <w:pPr>
        <w:rPr>
          <w:spacing w:val="-2"/>
          <w:szCs w:val="22"/>
          <w:u w:val="single"/>
        </w:rPr>
      </w:pPr>
      <w:r w:rsidRPr="00EE5E46">
        <w:rPr>
          <w:spacing w:val="-2"/>
          <w:szCs w:val="22"/>
          <w:u w:val="single"/>
        </w:rPr>
        <w:t>Comment Filing Procedures</w:t>
      </w:r>
    </w:p>
    <w:p w:rsidR="00C339AE" w:rsidRPr="00B92195" w:rsidP="00B92195"/>
    <w:p w:rsidR="00C339AE" w:rsidRPr="00EE5E46" w:rsidP="00C339AE">
      <w:pPr>
        <w:pStyle w:val="Paranum0"/>
        <w:numPr>
          <w:ilvl w:val="0"/>
          <w:numId w:val="0"/>
        </w:numPr>
        <w:ind w:firstLine="720"/>
        <w:rPr>
          <w:szCs w:val="22"/>
        </w:rPr>
      </w:pPr>
      <w:r w:rsidRPr="00EE5E46">
        <w:rPr>
          <w:szCs w:val="22"/>
        </w:rPr>
        <w:t>Interested parties may file comments on or before the date indicated on the first page of this document.  Comments may be filed using the Commission’s Electronic Comment Filing System (ECFS) or by filing paper copies.</w:t>
      </w:r>
      <w:r>
        <w:rPr>
          <w:rStyle w:val="FootnoteReference"/>
          <w:spacing w:val="-2"/>
          <w:sz w:val="22"/>
          <w:szCs w:val="22"/>
        </w:rPr>
        <w:footnoteReference w:id="26"/>
      </w:r>
      <w:r w:rsidRPr="00EE5E46">
        <w:rPr>
          <w:szCs w:val="22"/>
        </w:rPr>
        <w:t xml:space="preserve">  When filing documents, please reference AU Docket No. 18-85.</w:t>
      </w:r>
    </w:p>
    <w:p w:rsidR="00C339AE" w:rsidRPr="00EE5E46" w:rsidP="00C339AE">
      <w:pPr>
        <w:pStyle w:val="ListParagraph"/>
        <w:widowControl/>
        <w:numPr>
          <w:ilvl w:val="0"/>
          <w:numId w:val="11"/>
        </w:numPr>
        <w:contextualSpacing w:val="0"/>
        <w:rPr>
          <w:spacing w:val="-2"/>
          <w:szCs w:val="22"/>
        </w:rPr>
      </w:pPr>
      <w:r w:rsidRPr="00EE5E46">
        <w:rPr>
          <w:spacing w:val="-2"/>
          <w:szCs w:val="22"/>
          <w:u w:val="single"/>
        </w:rPr>
        <w:t>Electronic Filers:</w:t>
      </w:r>
      <w:r w:rsidRPr="00EE5E46">
        <w:rPr>
          <w:spacing w:val="-2"/>
          <w:szCs w:val="22"/>
        </w:rPr>
        <w:t xml:space="preserve">  </w:t>
      </w:r>
      <w:r w:rsidRPr="00EE5E46">
        <w:rPr>
          <w:szCs w:val="22"/>
        </w:rPr>
        <w:t xml:space="preserve">Comments may be filed electronically using the Internet by accessing the ECFS:  </w:t>
      </w:r>
      <w:bookmarkStart w:id="4" w:name="_Hlk513986405"/>
      <w:r w:rsidRPr="00EE5E46">
        <w:rPr>
          <w:szCs w:val="22"/>
        </w:rPr>
        <w:fldChar w:fldCharType="begin"/>
      </w:r>
      <w:r w:rsidRPr="00EE5E46">
        <w:rPr>
          <w:szCs w:val="22"/>
        </w:rPr>
        <w:instrText xml:space="preserve"> HYPERLINK "https://www.fcc.gov/ecfs/filings" </w:instrText>
      </w:r>
      <w:r w:rsidRPr="00EE5E46">
        <w:rPr>
          <w:szCs w:val="22"/>
        </w:rPr>
        <w:fldChar w:fldCharType="separate"/>
      </w:r>
      <w:r w:rsidRPr="00EE5E46">
        <w:rPr>
          <w:rStyle w:val="Hyperlink"/>
          <w:szCs w:val="22"/>
        </w:rPr>
        <w:t>https://www.fcc.gov/ecfs/filings</w:t>
      </w:r>
      <w:r w:rsidRPr="00EE5E46">
        <w:rPr>
          <w:rStyle w:val="Hyperlink"/>
          <w:szCs w:val="22"/>
        </w:rPr>
        <w:fldChar w:fldCharType="end"/>
      </w:r>
      <w:bookmarkEnd w:id="4"/>
      <w:r w:rsidRPr="00EE5E46">
        <w:rPr>
          <w:szCs w:val="22"/>
        </w:rPr>
        <w:t xml:space="preserve">.  Filers should follow the instructions provided on the website for submitting comments.  In completing the transmittal screen, filers should include their full name, U.S. Postal Service mailing address, and the applicable docket number shown on the first page of this Public Notice.  </w:t>
      </w:r>
    </w:p>
    <w:p w:rsidR="00C339AE" w:rsidRPr="00EE5E46" w:rsidP="00C339AE">
      <w:pPr>
        <w:pStyle w:val="ListParagraph"/>
        <w:contextualSpacing w:val="0"/>
        <w:rPr>
          <w:spacing w:val="-2"/>
          <w:szCs w:val="22"/>
        </w:rPr>
      </w:pPr>
    </w:p>
    <w:p w:rsidR="00C339AE" w:rsidRPr="00EE5E46" w:rsidP="00C339AE">
      <w:pPr>
        <w:pStyle w:val="ListParagraph"/>
        <w:numPr>
          <w:ilvl w:val="0"/>
          <w:numId w:val="10"/>
        </w:numPr>
        <w:contextualSpacing w:val="0"/>
        <w:rPr>
          <w:spacing w:val="-2"/>
          <w:szCs w:val="22"/>
        </w:rPr>
      </w:pPr>
      <w:r w:rsidRPr="00EE5E46">
        <w:rPr>
          <w:spacing w:val="-2"/>
          <w:szCs w:val="22"/>
          <w:u w:val="single"/>
        </w:rPr>
        <w:t>Paper Filers:</w:t>
      </w:r>
      <w:r w:rsidRPr="00EE5E46">
        <w:rPr>
          <w:spacing w:val="-2"/>
          <w:szCs w:val="22"/>
        </w:rPr>
        <w:t xml:space="preserve">  Parties who choose to file by paper must file an original and one copy of each filing.    </w:t>
      </w:r>
    </w:p>
    <w:p w:rsidR="00C339AE" w:rsidRPr="00EE5E46" w:rsidP="00C339AE">
      <w:pPr>
        <w:pStyle w:val="ListParagraph"/>
        <w:contextualSpacing w:val="0"/>
        <w:rPr>
          <w:spacing w:val="-2"/>
          <w:szCs w:val="22"/>
        </w:rPr>
      </w:pPr>
    </w:p>
    <w:p w:rsidR="00C339AE" w:rsidRPr="00EE5E46" w:rsidP="00F94AF0">
      <w:pPr>
        <w:pStyle w:val="ListParagraph"/>
        <w:widowControl/>
        <w:contextualSpacing w:val="0"/>
        <w:rPr>
          <w:spacing w:val="-2"/>
          <w:szCs w:val="22"/>
        </w:rPr>
      </w:pPr>
      <w:r w:rsidRPr="00EE5E46">
        <w:rPr>
          <w:spacing w:val="-2"/>
          <w:szCs w:val="22"/>
        </w:rPr>
        <w:t>Filings in response to this Public Notice may be sent by hand or messenger delivery, by commercial overnight courier, or by first-class or overnight U.S. Postal Service mail.  All filings must be addressed to the Commission’s Secretary, Office of the Secretary, Federal Communications Commission.</w:t>
      </w:r>
    </w:p>
    <w:p w:rsidR="00C339AE" w:rsidRPr="00EE5E46" w:rsidP="00C339AE">
      <w:pPr>
        <w:pStyle w:val="ListParagraph"/>
        <w:contextualSpacing w:val="0"/>
        <w:rPr>
          <w:spacing w:val="-2"/>
          <w:szCs w:val="22"/>
        </w:rPr>
      </w:pPr>
    </w:p>
    <w:p w:rsidR="00C339AE" w:rsidRPr="00EE5E46" w:rsidP="00C339AE">
      <w:pPr>
        <w:pStyle w:val="ListParagraph"/>
        <w:widowControl/>
        <w:numPr>
          <w:ilvl w:val="0"/>
          <w:numId w:val="10"/>
        </w:numPr>
        <w:ind w:left="1080"/>
        <w:contextualSpacing w:val="0"/>
        <w:rPr>
          <w:spacing w:val="-2"/>
          <w:szCs w:val="22"/>
        </w:rPr>
      </w:pPr>
      <w:r w:rsidRPr="00EE5E46">
        <w:rPr>
          <w:spacing w:val="-2"/>
          <w:szCs w:val="22"/>
        </w:rPr>
        <w:t>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w:t>
      </w:r>
    </w:p>
    <w:p w:rsidR="00C339AE" w:rsidRPr="00EE5E46" w:rsidP="00C339AE">
      <w:pPr>
        <w:pStyle w:val="ListParagraph"/>
        <w:ind w:left="1080"/>
        <w:contextualSpacing w:val="0"/>
        <w:rPr>
          <w:spacing w:val="-2"/>
          <w:szCs w:val="22"/>
        </w:rPr>
      </w:pPr>
    </w:p>
    <w:p w:rsidR="00C339AE" w:rsidRPr="00EE5E46" w:rsidP="00C339AE">
      <w:pPr>
        <w:pStyle w:val="ListParagraph"/>
        <w:widowControl/>
        <w:numPr>
          <w:ilvl w:val="0"/>
          <w:numId w:val="10"/>
        </w:numPr>
        <w:ind w:left="1080"/>
        <w:contextualSpacing w:val="0"/>
        <w:rPr>
          <w:spacing w:val="-2"/>
          <w:szCs w:val="22"/>
        </w:rPr>
      </w:pPr>
      <w:r w:rsidRPr="00EE5E46">
        <w:rPr>
          <w:spacing w:val="-2"/>
          <w:szCs w:val="22"/>
        </w:rPr>
        <w:t>Commercial overnight mail (other than U.S. Postal Service Express Mail and Priority Mail) must be sent to 9050 Junction Dr., Annapolis Junction, Annapolis MD 20701.</w:t>
      </w:r>
    </w:p>
    <w:p w:rsidR="00C339AE" w:rsidRPr="00EE5E46" w:rsidP="00C339AE">
      <w:pPr>
        <w:pStyle w:val="ListParagraph"/>
        <w:ind w:left="0"/>
        <w:contextualSpacing w:val="0"/>
        <w:rPr>
          <w:spacing w:val="-2"/>
          <w:szCs w:val="22"/>
        </w:rPr>
      </w:pPr>
    </w:p>
    <w:p w:rsidR="00C339AE" w:rsidRPr="00EE5E46" w:rsidP="00C339AE">
      <w:pPr>
        <w:pStyle w:val="ListParagraph"/>
        <w:widowControl/>
        <w:numPr>
          <w:ilvl w:val="0"/>
          <w:numId w:val="10"/>
        </w:numPr>
        <w:ind w:left="1080"/>
        <w:contextualSpacing w:val="0"/>
        <w:rPr>
          <w:spacing w:val="-2"/>
          <w:szCs w:val="22"/>
        </w:rPr>
      </w:pPr>
      <w:r w:rsidRPr="00EE5E46">
        <w:rPr>
          <w:spacing w:val="-2"/>
          <w:szCs w:val="22"/>
        </w:rPr>
        <w:t>U.S. Postal Service first-class, Express, and Priority mail must be addressed to 445 12th Street, SW, Washington DC  20554.</w:t>
      </w:r>
    </w:p>
    <w:p w:rsidR="00C339AE" w:rsidRPr="00C70882" w:rsidP="00C70882"/>
    <w:p w:rsidR="00C339AE" w:rsidRPr="00EE5E46" w:rsidP="00C339AE">
      <w:pPr>
        <w:pStyle w:val="ParaNum"/>
        <w:numPr>
          <w:ilvl w:val="0"/>
          <w:numId w:val="0"/>
        </w:numPr>
        <w:ind w:firstLine="720"/>
        <w:rPr>
          <w:szCs w:val="22"/>
        </w:rPr>
      </w:pPr>
      <w:r w:rsidRPr="00EE5E46">
        <w:rPr>
          <w:szCs w:val="22"/>
          <w:u w:val="single"/>
        </w:rPr>
        <w:t>People with Disabilities:</w:t>
      </w:r>
      <w:r w:rsidRPr="00EE5E46">
        <w:rPr>
          <w:szCs w:val="22"/>
        </w:rPr>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EE5E46">
        <w:rPr>
          <w:rStyle w:val="Hyperlink"/>
          <w:spacing w:val="-2"/>
          <w:szCs w:val="22"/>
        </w:rPr>
        <w:t>fcc504@fcc.gov</w:t>
      </w:r>
      <w:r>
        <w:fldChar w:fldCharType="end"/>
      </w:r>
      <w:r w:rsidRPr="00EE5E46">
        <w:rPr>
          <w:szCs w:val="22"/>
        </w:rPr>
        <w:t xml:space="preserve"> or call the Consumer and Governmental Affairs Bureau at 202-418-0530 (voice), 888-835-5322 (</w:t>
      </w:r>
      <w:r w:rsidRPr="00EE5E46">
        <w:rPr>
          <w:szCs w:val="22"/>
        </w:rPr>
        <w:t>tty</w:t>
      </w:r>
      <w:r w:rsidRPr="00EE5E46">
        <w:rPr>
          <w:szCs w:val="22"/>
        </w:rPr>
        <w:t>).</w:t>
      </w:r>
    </w:p>
    <w:p w:rsidR="00C339AE" w:rsidRPr="00EE5E46" w:rsidP="00C339AE">
      <w:pPr>
        <w:pStyle w:val="ParaNum"/>
        <w:numPr>
          <w:ilvl w:val="0"/>
          <w:numId w:val="0"/>
        </w:numPr>
        <w:ind w:firstLine="720"/>
        <w:rPr>
          <w:szCs w:val="22"/>
        </w:rPr>
      </w:pPr>
      <w:r w:rsidRPr="00EE5E46">
        <w:rPr>
          <w:szCs w:val="22"/>
          <w:u w:val="single"/>
        </w:rPr>
        <w:t xml:space="preserve">Ex </w:t>
      </w:r>
      <w:r w:rsidRPr="00EE5E46">
        <w:rPr>
          <w:szCs w:val="22"/>
          <w:u w:val="single"/>
        </w:rPr>
        <w:t>Parte</w:t>
      </w:r>
      <w:r w:rsidRPr="00EE5E46">
        <w:rPr>
          <w:szCs w:val="22"/>
          <w:u w:val="single"/>
        </w:rPr>
        <w:t xml:space="preserve"> Rules—Permit-But-Disclose</w:t>
      </w:r>
      <w:r w:rsidRPr="00EE5E46">
        <w:rPr>
          <w:szCs w:val="22"/>
        </w:rPr>
        <w:t>:  This</w:t>
      </w:r>
      <w:r w:rsidRPr="00EE5E46">
        <w:rPr>
          <w:szCs w:val="22"/>
          <w:u w:val="words"/>
        </w:rPr>
        <w:t xml:space="preserve"> </w:t>
      </w:r>
      <w:bookmarkStart w:id="5" w:name="_Hlk499635130"/>
      <w:bookmarkStart w:id="6" w:name="_Hlk499636016"/>
      <w:r w:rsidRPr="00EE5E46">
        <w:rPr>
          <w:szCs w:val="22"/>
        </w:rPr>
        <w:t xml:space="preserve">proceeding has been designated as </w:t>
      </w:r>
      <w:bookmarkEnd w:id="5"/>
      <w:bookmarkEnd w:id="6"/>
      <w:r w:rsidRPr="00EE5E46">
        <w:rPr>
          <w:szCs w:val="22"/>
        </w:rPr>
        <w:t xml:space="preserve">a “permit-but-disclose” proceeding in accordance with the Commission’s </w:t>
      </w:r>
      <w:r w:rsidRPr="00EE5E46">
        <w:rPr>
          <w:i/>
          <w:szCs w:val="22"/>
        </w:rPr>
        <w:t xml:space="preserve">ex </w:t>
      </w:r>
      <w:r w:rsidRPr="00EE5E46">
        <w:rPr>
          <w:i/>
          <w:szCs w:val="22"/>
        </w:rPr>
        <w:t>parte</w:t>
      </w:r>
      <w:r w:rsidRPr="00EE5E46">
        <w:rPr>
          <w:szCs w:val="22"/>
          <w:u w:val="words"/>
        </w:rPr>
        <w:t xml:space="preserve"> </w:t>
      </w:r>
      <w:r w:rsidRPr="00EE5E46">
        <w:rPr>
          <w:szCs w:val="22"/>
        </w:rPr>
        <w:t>rules.</w:t>
      </w:r>
      <w:r>
        <w:rPr>
          <w:rStyle w:val="FootnoteReference"/>
          <w:sz w:val="22"/>
          <w:szCs w:val="22"/>
        </w:rPr>
        <w:footnoteReference w:id="27"/>
      </w:r>
      <w:r w:rsidRPr="00EE5E46">
        <w:rPr>
          <w:szCs w:val="22"/>
        </w:rPr>
        <w:t xml:space="preserve">  Persons making </w:t>
      </w:r>
      <w:r w:rsidRPr="00EE5E46">
        <w:rPr>
          <w:i/>
          <w:szCs w:val="22"/>
        </w:rPr>
        <w:t xml:space="preserve">ex </w:t>
      </w:r>
      <w:r w:rsidRPr="00EE5E46">
        <w:rPr>
          <w:i/>
          <w:szCs w:val="22"/>
        </w:rPr>
        <w:t>parte</w:t>
      </w:r>
      <w:r w:rsidRPr="00EE5E46">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E5E46">
        <w:rPr>
          <w:i/>
          <w:szCs w:val="22"/>
        </w:rPr>
        <w:t xml:space="preserve">ex </w:t>
      </w:r>
      <w:r w:rsidRPr="00EE5E46">
        <w:rPr>
          <w:i/>
          <w:szCs w:val="22"/>
        </w:rPr>
        <w:t>parte</w:t>
      </w:r>
      <w:r w:rsidRPr="00EE5E46">
        <w:rPr>
          <w:szCs w:val="22"/>
        </w:rPr>
        <w:t xml:space="preserve"> presentations are reminded that memoranda summarizing the presentation must (1) list all persons attending or otherwise participating in the meeting at which the </w:t>
      </w:r>
      <w:r w:rsidRPr="00EE5E46">
        <w:rPr>
          <w:i/>
          <w:szCs w:val="22"/>
        </w:rPr>
        <w:t xml:space="preserve">ex </w:t>
      </w:r>
      <w:r w:rsidRPr="00EE5E46">
        <w:rPr>
          <w:i/>
          <w:szCs w:val="22"/>
        </w:rPr>
        <w:t>parte</w:t>
      </w:r>
      <w:r w:rsidRPr="00EE5E4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E5E46">
        <w:rPr>
          <w:i/>
          <w:szCs w:val="22"/>
        </w:rPr>
        <w:t xml:space="preserve">ex </w:t>
      </w:r>
      <w:r w:rsidRPr="00EE5E46">
        <w:rPr>
          <w:i/>
          <w:szCs w:val="22"/>
        </w:rPr>
        <w:t>parte</w:t>
      </w:r>
      <w:r w:rsidRPr="00EE5E46">
        <w:rPr>
          <w:szCs w:val="22"/>
        </w:rPr>
        <w:t xml:space="preserve"> meetings are deemed to be written </w:t>
      </w:r>
      <w:r w:rsidRPr="00EE5E46">
        <w:rPr>
          <w:i/>
          <w:szCs w:val="22"/>
        </w:rPr>
        <w:t xml:space="preserve">ex </w:t>
      </w:r>
      <w:r w:rsidRPr="00EE5E46">
        <w:rPr>
          <w:i/>
          <w:szCs w:val="22"/>
        </w:rPr>
        <w:t>parte</w:t>
      </w:r>
      <w:r w:rsidRPr="00EE5E46">
        <w:rPr>
          <w:szCs w:val="22"/>
        </w:rPr>
        <w:t xml:space="preserve"> presentations and must be filed consistent with Section 1.1206(b) of the Commission’s rules.</w:t>
      </w:r>
      <w:r>
        <w:rPr>
          <w:rStyle w:val="FootnoteReference"/>
          <w:sz w:val="22"/>
          <w:szCs w:val="22"/>
        </w:rPr>
        <w:footnoteReference w:id="28"/>
      </w:r>
      <w:r w:rsidRPr="00EE5E46">
        <w:rPr>
          <w:szCs w:val="22"/>
        </w:rPr>
        <w:t xml:space="preserve">  </w:t>
      </w:r>
    </w:p>
    <w:p w:rsidR="00C339AE" w:rsidRPr="00EE5E46" w:rsidP="00C339AE">
      <w:pPr>
        <w:pStyle w:val="ParaNum"/>
        <w:numPr>
          <w:ilvl w:val="0"/>
          <w:numId w:val="0"/>
        </w:numPr>
        <w:ind w:firstLine="720"/>
        <w:rPr>
          <w:szCs w:val="22"/>
        </w:rPr>
      </w:pPr>
      <w:r w:rsidRPr="00EE5E46">
        <w:rPr>
          <w:szCs w:val="22"/>
        </w:rPr>
        <w:t>In proceedings governed by Section 1.49(f) of the Commission’s rules</w:t>
      </w:r>
      <w:r>
        <w:rPr>
          <w:rStyle w:val="FootnoteReference"/>
          <w:sz w:val="22"/>
          <w:szCs w:val="22"/>
        </w:rPr>
        <w:footnoteReference w:id="29"/>
      </w:r>
      <w:r w:rsidRPr="00EE5E46">
        <w:rPr>
          <w:szCs w:val="22"/>
        </w:rPr>
        <w:t xml:space="preserve"> or for which the Commission has made available a method of electronic filing, written </w:t>
      </w:r>
      <w:r w:rsidRPr="00EE5E46">
        <w:rPr>
          <w:i/>
          <w:szCs w:val="22"/>
        </w:rPr>
        <w:t xml:space="preserve">ex </w:t>
      </w:r>
      <w:r w:rsidRPr="00EE5E46">
        <w:rPr>
          <w:i/>
          <w:szCs w:val="22"/>
        </w:rPr>
        <w:t>parte</w:t>
      </w:r>
      <w:r w:rsidRPr="00EE5E46">
        <w:rPr>
          <w:szCs w:val="22"/>
        </w:rPr>
        <w:t xml:space="preserve"> presentations and memoranda summarizing oral </w:t>
      </w:r>
      <w:r w:rsidRPr="00EE5E46">
        <w:rPr>
          <w:i/>
          <w:szCs w:val="22"/>
        </w:rPr>
        <w:t xml:space="preserve">ex </w:t>
      </w:r>
      <w:r w:rsidRPr="00EE5E46">
        <w:rPr>
          <w:i/>
          <w:szCs w:val="22"/>
        </w:rPr>
        <w:t>parte</w:t>
      </w:r>
      <w:r w:rsidRPr="00EE5E46">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EE5E46">
        <w:rPr>
          <w:i/>
          <w:szCs w:val="22"/>
        </w:rPr>
        <w:t xml:space="preserve">ex </w:t>
      </w:r>
      <w:r w:rsidRPr="00EE5E46">
        <w:rPr>
          <w:i/>
          <w:szCs w:val="22"/>
        </w:rPr>
        <w:t>parte</w:t>
      </w:r>
      <w:r w:rsidRPr="00EE5E46">
        <w:rPr>
          <w:szCs w:val="22"/>
        </w:rPr>
        <w:t xml:space="preserve"> rules.</w:t>
      </w:r>
    </w:p>
    <w:p w:rsidR="00C339AE" w:rsidRPr="00EE5E46" w:rsidP="00C339AE">
      <w:pPr>
        <w:pStyle w:val="ParaNum"/>
        <w:widowControl/>
        <w:numPr>
          <w:ilvl w:val="0"/>
          <w:numId w:val="0"/>
        </w:numPr>
        <w:ind w:firstLine="720"/>
        <w:rPr>
          <w:szCs w:val="22"/>
        </w:rPr>
      </w:pPr>
      <w:r w:rsidRPr="00EE5E46">
        <w:rPr>
          <w:szCs w:val="22"/>
        </w:rPr>
        <w:t xml:space="preserve">For further information, contact Angela Kung, at (202) 418-0660, or by e-mail at </w:t>
      </w:r>
      <w:r>
        <w:fldChar w:fldCharType="begin"/>
      </w:r>
      <w:r>
        <w:instrText xml:space="preserve"> HYPERLINK "mailto:angela.kung@fcc.gov" </w:instrText>
      </w:r>
      <w:r>
        <w:fldChar w:fldCharType="separate"/>
      </w:r>
      <w:r w:rsidRPr="00EE5E46">
        <w:rPr>
          <w:rStyle w:val="Hyperlink"/>
          <w:szCs w:val="22"/>
        </w:rPr>
        <w:t>angela.kung@fcc.gov</w:t>
      </w:r>
      <w:r>
        <w:fldChar w:fldCharType="end"/>
      </w:r>
      <w:r w:rsidRPr="00EE5E46">
        <w:rPr>
          <w:szCs w:val="22"/>
        </w:rPr>
        <w:t>.</w:t>
      </w:r>
    </w:p>
    <w:p w:rsidR="00C339AE" w:rsidRPr="00EE5E46" w:rsidP="00C339AE">
      <w:pPr>
        <w:pStyle w:val="ParaNum"/>
        <w:numPr>
          <w:ilvl w:val="0"/>
          <w:numId w:val="0"/>
        </w:numPr>
        <w:ind w:firstLine="720"/>
        <w:rPr>
          <w:szCs w:val="22"/>
        </w:rPr>
      </w:pPr>
      <w:r w:rsidRPr="00EE5E46">
        <w:rPr>
          <w:szCs w:val="22"/>
        </w:rPr>
        <w:t>By the Chief, Auctions and Spectrum Access Division, Wireless Telecommunications Bureau.</w:t>
      </w:r>
    </w:p>
    <w:p w:rsidR="0086103D" w:rsidRPr="009C1BC9" w:rsidP="009C1BC9"/>
    <w:p w:rsidR="00AD2707" w:rsidRPr="00BB7DC9" w:rsidP="002C6840">
      <w:pPr>
        <w:pStyle w:val="ParaNum"/>
        <w:numPr>
          <w:ilvl w:val="0"/>
          <w:numId w:val="0"/>
        </w:numPr>
        <w:jc w:val="center"/>
        <w:rPr>
          <w:b/>
          <w:szCs w:val="22"/>
        </w:rPr>
      </w:pPr>
      <w:r>
        <w:rPr>
          <w:b/>
          <w:szCs w:val="22"/>
        </w:rPr>
        <w:t xml:space="preserve">– </w:t>
      </w:r>
      <w:r w:rsidRPr="00BB7DC9" w:rsidR="000D09F9">
        <w:rPr>
          <w:b/>
          <w:szCs w:val="22"/>
        </w:rPr>
        <w:t>FCC</w:t>
      </w:r>
      <w:r>
        <w:rPr>
          <w:b/>
          <w:szCs w:val="22"/>
        </w:rPr>
        <w:t xml:space="preserve"> –</w:t>
      </w:r>
    </w:p>
    <w:sectPr w:rsidSect="003044EA">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576" w:footer="576"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pPr>
      <w:pStyle w:val="Footer"/>
      <w:framePr w:wrap="around" w:vAnchor="text" w:hAnchor="margin" w:xAlign="center" w:y="1"/>
    </w:pPr>
    <w:r>
      <w:fldChar w:fldCharType="begin"/>
    </w:r>
    <w:r>
      <w:instrText xml:space="preserve">PAGE  </w:instrText>
    </w:r>
    <w:r>
      <w:fldChar w:fldCharType="separate"/>
    </w:r>
    <w:r>
      <w:fldChar w:fldCharType="end"/>
    </w:r>
  </w:p>
  <w:p w:rsidR="00582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pPr>
      <w:pStyle w:val="Footer"/>
      <w:framePr w:wrap="around" w:vAnchor="text" w:hAnchor="margin" w:xAlign="center" w:y="1"/>
    </w:pPr>
    <w:r>
      <w:fldChar w:fldCharType="begin"/>
    </w:r>
    <w:r>
      <w:instrText xml:space="preserve">PAGE  </w:instrText>
    </w:r>
    <w:r>
      <w:fldChar w:fldCharType="separate"/>
    </w:r>
    <w:r>
      <w:t>4</w:t>
    </w:r>
    <w:r>
      <w:fldChar w:fldCharType="end"/>
    </w:r>
  </w:p>
  <w:p w:rsidR="005828D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45B1">
      <w:r>
        <w:separator/>
      </w:r>
    </w:p>
  </w:footnote>
  <w:footnote w:type="continuationSeparator" w:id="1">
    <w:p w:rsidR="00BD45B1" w:rsidP="00C721AC">
      <w:pPr>
        <w:spacing w:before="120"/>
        <w:rPr>
          <w:sz w:val="20"/>
        </w:rPr>
      </w:pPr>
      <w:r>
        <w:rPr>
          <w:sz w:val="20"/>
        </w:rPr>
        <w:t xml:space="preserve">(Continued from previous page)  </w:t>
      </w:r>
      <w:r>
        <w:rPr>
          <w:sz w:val="20"/>
        </w:rPr>
        <w:separator/>
      </w:r>
    </w:p>
  </w:footnote>
  <w:footnote w:type="continuationNotice" w:id="2">
    <w:p w:rsidR="00BD45B1" w:rsidP="00C721AC">
      <w:pPr>
        <w:jc w:val="right"/>
        <w:rPr>
          <w:sz w:val="20"/>
        </w:rPr>
      </w:pPr>
    </w:p>
  </w:footnote>
  <w:footnote w:id="3">
    <w:p w:rsidR="00260AD7" w:rsidRPr="006936F4" w:rsidP="00260AD7">
      <w:pPr>
        <w:pStyle w:val="FootnoteText"/>
      </w:pPr>
      <w:r w:rsidRPr="006936F4">
        <w:rPr>
          <w:rStyle w:val="FootnoteReference"/>
        </w:rPr>
        <w:footnoteRef/>
      </w:r>
      <w:r w:rsidRPr="006936F4">
        <w:t xml:space="preserve"> </w:t>
      </w:r>
      <w:r w:rsidRPr="006936F4">
        <w:rPr>
          <w:i/>
        </w:rPr>
        <w:t>See</w:t>
      </w:r>
      <w:r w:rsidRPr="006936F4">
        <w:t xml:space="preserve"> Letter from Nancy J. Victory, Partner, DLA Piper LLP (US), Counsel for T-Mobile US, Inc., to Marlene H. Dortch, Secretary, FCC, AU Docket No. 18-85 (filed. Aug. 6, 2018) (T-Mobile Request). </w:t>
      </w:r>
    </w:p>
  </w:footnote>
  <w:footnote w:id="4">
    <w:p w:rsidR="00260AD7" w:rsidRPr="006936F4" w:rsidP="00260AD7">
      <w:pPr>
        <w:pStyle w:val="FootnoteText"/>
      </w:pPr>
      <w:r w:rsidRPr="006936F4">
        <w:rPr>
          <w:rStyle w:val="FootnoteReference"/>
        </w:rPr>
        <w:footnoteRef/>
      </w:r>
      <w:r w:rsidRPr="006936F4">
        <w:t xml:space="preserve"> </w:t>
      </w:r>
      <w:r w:rsidRPr="006936F4">
        <w:rPr>
          <w:i/>
        </w:rPr>
        <w:t>See</w:t>
      </w:r>
      <w:r w:rsidRPr="006936F4">
        <w:t xml:space="preserve"> Petition of Sprint Corporation for Expedited Declaratory Ruling or Waiver Regarding Joint Bidding and Request for Limited Waiver of Auction Form Rules, AU Docket No. 18-85 (filed Aug. 6, 2018) (Sprint Petition). </w:t>
      </w:r>
    </w:p>
  </w:footnote>
  <w:footnote w:id="5">
    <w:p w:rsidR="00260AD7" w:rsidRPr="006936F4" w:rsidP="00260AD7">
      <w:pPr>
        <w:pStyle w:val="FootnoteText"/>
      </w:pPr>
      <w:r w:rsidRPr="006936F4">
        <w:rPr>
          <w:rStyle w:val="FootnoteReference"/>
        </w:rPr>
        <w:footnoteRef/>
      </w:r>
      <w:r w:rsidRPr="006936F4">
        <w:t xml:space="preserve"> 47 CFR § 1.2105(a)(2)(ix).</w:t>
      </w:r>
    </w:p>
  </w:footnote>
  <w:footnote w:id="6">
    <w:p w:rsidR="00260AD7" w:rsidRPr="006936F4" w:rsidP="00260AD7">
      <w:pPr>
        <w:pStyle w:val="FootnoteText"/>
      </w:pPr>
      <w:r w:rsidRPr="006936F4">
        <w:rPr>
          <w:rStyle w:val="FootnoteReference"/>
        </w:rPr>
        <w:footnoteRef/>
      </w:r>
      <w:r w:rsidRPr="006936F4">
        <w:t xml:space="preserve"> Sprint Petition at 7-11.</w:t>
      </w:r>
    </w:p>
  </w:footnote>
  <w:footnote w:id="7">
    <w:p w:rsidR="00C339AE" w:rsidRPr="006936F4" w:rsidP="00C339AE">
      <w:pPr>
        <w:pStyle w:val="FootnoteText"/>
      </w:pPr>
      <w:r w:rsidRPr="006936F4">
        <w:rPr>
          <w:rStyle w:val="FootnoteReference"/>
        </w:rPr>
        <w:footnoteRef/>
      </w:r>
      <w:r w:rsidRPr="006936F4">
        <w:t xml:space="preserve"> T-Mobile Request at 1.</w:t>
      </w:r>
    </w:p>
  </w:footnote>
  <w:footnote w:id="8">
    <w:p w:rsidR="00C339AE" w:rsidRPr="006936F4" w:rsidP="00C339AE">
      <w:pPr>
        <w:widowControl/>
        <w:autoSpaceDE w:val="0"/>
        <w:autoSpaceDN w:val="0"/>
        <w:adjustRightInd w:val="0"/>
        <w:spacing w:after="120"/>
        <w:rPr>
          <w:sz w:val="20"/>
        </w:rPr>
      </w:pPr>
      <w:r w:rsidRPr="006936F4">
        <w:rPr>
          <w:rStyle w:val="FootnoteReference"/>
        </w:rPr>
        <w:footnoteRef/>
      </w:r>
      <w:r w:rsidRPr="006936F4">
        <w:rPr>
          <w:sz w:val="20"/>
        </w:rPr>
        <w:t xml:space="preserve"> To implement the prohibition on joint bidding arrangements, the Commission’s rules require each auction applicant to certify in its short-form application that it (or any party that controls or is controlled by it) has not entered into and will not enter into any arrangement or understanding of any kind relating directly or indirectly to bidding at auction with, among others, “any other applicant” or a nationwide provider.  </w:t>
      </w:r>
      <w:r w:rsidRPr="006936F4">
        <w:rPr>
          <w:i/>
          <w:iCs/>
          <w:sz w:val="20"/>
        </w:rPr>
        <w:t xml:space="preserve">See </w:t>
      </w:r>
      <w:r w:rsidRPr="006936F4">
        <w:rPr>
          <w:sz w:val="20"/>
        </w:rPr>
        <w:t>47 CFR § 1.2105(a)(2)(ix);</w:t>
      </w:r>
      <w:r w:rsidRPr="006936F4">
        <w:rPr>
          <w:i/>
          <w:iCs/>
          <w:sz w:val="20"/>
        </w:rPr>
        <w:t xml:space="preserve"> Updating Part 1 Competitive Bidding Rules et al.</w:t>
      </w:r>
      <w:r w:rsidRPr="006936F4">
        <w:rPr>
          <w:sz w:val="20"/>
        </w:rPr>
        <w:t xml:space="preserve">, Report and Order, Order on Reconsideration of the First Report and Order, Third Order on Reconsideration of the Second Report and Order, Third Report and Order, 30 FCC </w:t>
      </w:r>
      <w:r w:rsidRPr="006936F4">
        <w:rPr>
          <w:sz w:val="20"/>
        </w:rPr>
        <w:t>Rcd</w:t>
      </w:r>
      <w:r w:rsidRPr="006936F4">
        <w:rPr>
          <w:sz w:val="20"/>
        </w:rPr>
        <w:t xml:space="preserve"> 7493, 7575-76, paras. 195-97 (2015) (</w:t>
      </w:r>
      <w:r w:rsidRPr="006936F4">
        <w:rPr>
          <w:i/>
          <w:iCs/>
          <w:sz w:val="20"/>
        </w:rPr>
        <w:t>2015 Part 1 Report and Order</w:t>
      </w:r>
      <w:r w:rsidRPr="006936F4">
        <w:rPr>
          <w:sz w:val="20"/>
        </w:rPr>
        <w:t xml:space="preserve">) (modified by Erratum, 30 FCC </w:t>
      </w:r>
      <w:r w:rsidRPr="006936F4">
        <w:rPr>
          <w:sz w:val="20"/>
        </w:rPr>
        <w:t>Rcd</w:t>
      </w:r>
      <w:r w:rsidRPr="006936F4">
        <w:rPr>
          <w:sz w:val="20"/>
        </w:rPr>
        <w:t xml:space="preserve"> 8518 (2015)).</w:t>
      </w:r>
    </w:p>
  </w:footnote>
  <w:footnote w:id="9">
    <w:p w:rsidR="00C339AE" w:rsidRPr="006936F4" w:rsidP="00C339AE">
      <w:pPr>
        <w:pStyle w:val="FootnoteText"/>
      </w:pPr>
      <w:r w:rsidRPr="006936F4">
        <w:rPr>
          <w:rStyle w:val="FootnoteReference"/>
        </w:rPr>
        <w:footnoteRef/>
      </w:r>
      <w:r w:rsidRPr="006936F4">
        <w:t xml:space="preserve"> 47 CFR § 1.2105(a)(2)(ix)(C);</w:t>
      </w:r>
      <w:r w:rsidRPr="006936F4">
        <w:rPr>
          <w:i/>
          <w:iCs/>
        </w:rPr>
        <w:t xml:space="preserve"> 2015 Part 1 Report and Order</w:t>
      </w:r>
      <w:r w:rsidRPr="006936F4">
        <w:t xml:space="preserve">, 30 FCC </w:t>
      </w:r>
      <w:r w:rsidRPr="006936F4">
        <w:t>Rcd</w:t>
      </w:r>
      <w:r w:rsidRPr="006936F4">
        <w:t xml:space="preserve"> at 7576, para. 197.</w:t>
      </w:r>
    </w:p>
  </w:footnote>
  <w:footnote w:id="10">
    <w:p w:rsidR="00C339AE" w:rsidRPr="006936F4" w:rsidP="00C339AE">
      <w:pPr>
        <w:pStyle w:val="FootnoteText"/>
      </w:pPr>
      <w:r w:rsidRPr="002F0ABB">
        <w:rPr>
          <w:rStyle w:val="FootnoteReference"/>
        </w:rPr>
        <w:footnoteRef/>
      </w:r>
      <w:r w:rsidRPr="006936F4">
        <w:t xml:space="preserve"> </w:t>
      </w:r>
      <w:r w:rsidRPr="002F0ABB">
        <w:rPr>
          <w:i/>
        </w:rPr>
        <w:t>See Auctions of Upper Microwave Flexible Use Licenses for Next-Generation Wireless Services</w:t>
      </w:r>
      <w:r w:rsidRPr="006936F4">
        <w:rPr>
          <w:i/>
        </w:rPr>
        <w:t>; Notice and Filing Requirements, Minimum Opening Bids, Upfront Payments, and Other Procedures for Auctions 101 (28 GHz) and 102 (24 GHz); Bidding in Auction 101 Scheduled to Begin November 14, 2018</w:t>
      </w:r>
      <w:r w:rsidRPr="006936F4">
        <w:t xml:space="preserve">, </w:t>
      </w:r>
      <w:bookmarkStart w:id="1" w:name="_Hlk508609275"/>
      <w:r w:rsidRPr="002F0ABB">
        <w:t>AU Docket No. 18-85</w:t>
      </w:r>
      <w:r w:rsidRPr="006936F4">
        <w:t>, Public Notice, FCC 18-109, Section II.D (Aug. 3, 2018) (</w:t>
      </w:r>
      <w:r w:rsidRPr="002F0ABB">
        <w:rPr>
          <w:i/>
        </w:rPr>
        <w:t>Auction</w:t>
      </w:r>
      <w:r w:rsidRPr="006936F4">
        <w:rPr>
          <w:i/>
        </w:rPr>
        <w:t>s 101 and 102</w:t>
      </w:r>
      <w:r w:rsidRPr="002F0ABB">
        <w:rPr>
          <w:i/>
        </w:rPr>
        <w:t xml:space="preserve"> Procedures P</w:t>
      </w:r>
      <w:r w:rsidRPr="006936F4">
        <w:rPr>
          <w:i/>
        </w:rPr>
        <w:t xml:space="preserve">ublic </w:t>
      </w:r>
      <w:r w:rsidRPr="002F0ABB">
        <w:rPr>
          <w:i/>
        </w:rPr>
        <w:t>N</w:t>
      </w:r>
      <w:r w:rsidRPr="006936F4">
        <w:rPr>
          <w:i/>
        </w:rPr>
        <w:t>otice</w:t>
      </w:r>
      <w:r w:rsidRPr="006936F4">
        <w:t>).</w:t>
      </w:r>
      <w:r w:rsidRPr="002F0ABB">
        <w:t xml:space="preserve"> </w:t>
      </w:r>
      <w:bookmarkEnd w:id="1"/>
    </w:p>
  </w:footnote>
  <w:footnote w:id="11">
    <w:p w:rsidR="00C339AE" w:rsidRPr="006936F4" w:rsidP="00C339AE">
      <w:pPr>
        <w:pStyle w:val="FootnoteText"/>
      </w:pPr>
      <w:r w:rsidRPr="006936F4">
        <w:rPr>
          <w:rStyle w:val="FootnoteReference"/>
        </w:rPr>
        <w:footnoteRef/>
      </w:r>
      <w:r w:rsidRPr="006936F4">
        <w:t xml:space="preserve"> T-Mobile Request at 1-5.</w:t>
      </w:r>
    </w:p>
  </w:footnote>
  <w:footnote w:id="12">
    <w:p w:rsidR="00C339AE" w:rsidRPr="006936F4" w:rsidP="00C339AE">
      <w:pPr>
        <w:pStyle w:val="FootnoteText"/>
      </w:pPr>
      <w:r w:rsidRPr="006936F4">
        <w:rPr>
          <w:rStyle w:val="FootnoteReference"/>
        </w:rPr>
        <w:footnoteRef/>
      </w:r>
      <w:r w:rsidRPr="006936F4">
        <w:t xml:space="preserve"> </w:t>
      </w:r>
      <w:r w:rsidRPr="006936F4">
        <w:rPr>
          <w:i/>
        </w:rPr>
        <w:t xml:space="preserve">Id. </w:t>
      </w:r>
      <w:r w:rsidRPr="006936F4">
        <w:t>at 6-7.</w:t>
      </w:r>
    </w:p>
  </w:footnote>
  <w:footnote w:id="13">
    <w:p w:rsidR="00C339AE" w:rsidRPr="006936F4" w:rsidP="00C339AE">
      <w:pPr>
        <w:pStyle w:val="FootnoteText"/>
      </w:pPr>
      <w:r w:rsidRPr="002F0ABB">
        <w:rPr>
          <w:rStyle w:val="FootnoteReference"/>
        </w:rPr>
        <w:footnoteRef/>
      </w:r>
      <w:r w:rsidRPr="006936F4">
        <w:t xml:space="preserve"> </w:t>
      </w:r>
      <w:r w:rsidRPr="006936F4">
        <w:rPr>
          <w:i/>
        </w:rPr>
        <w:t>Id.</w:t>
      </w:r>
      <w:r w:rsidRPr="006936F4">
        <w:t xml:space="preserve"> at 3-4, 7-8.</w:t>
      </w:r>
    </w:p>
  </w:footnote>
  <w:footnote w:id="14">
    <w:p w:rsidR="00C339AE" w:rsidRPr="006936F4" w:rsidP="00C339AE">
      <w:pPr>
        <w:pStyle w:val="FootnoteText"/>
      </w:pPr>
      <w:r w:rsidRPr="006936F4">
        <w:rPr>
          <w:rStyle w:val="FootnoteReference"/>
        </w:rPr>
        <w:footnoteRef/>
      </w:r>
      <w:r w:rsidRPr="006936F4">
        <w:t xml:space="preserve"> </w:t>
      </w:r>
      <w:r w:rsidRPr="006936F4">
        <w:rPr>
          <w:i/>
        </w:rPr>
        <w:t>Id.</w:t>
      </w:r>
      <w:r w:rsidRPr="006936F4">
        <w:t xml:space="preserve"> at 7-8.</w:t>
      </w:r>
    </w:p>
  </w:footnote>
  <w:footnote w:id="15">
    <w:p w:rsidR="00C339AE" w:rsidRPr="006936F4" w:rsidP="00C339AE">
      <w:pPr>
        <w:pStyle w:val="FootnoteText"/>
      </w:pPr>
      <w:r w:rsidRPr="006936F4">
        <w:rPr>
          <w:rStyle w:val="FootnoteReference"/>
        </w:rPr>
        <w:footnoteRef/>
      </w:r>
      <w:r w:rsidRPr="006936F4">
        <w:t xml:space="preserve"> </w:t>
      </w:r>
      <w:r w:rsidRPr="006936F4">
        <w:rPr>
          <w:i/>
        </w:rPr>
        <w:t>Id.</w:t>
      </w:r>
      <w:r w:rsidRPr="006936F4">
        <w:t xml:space="preserve"> at 8.</w:t>
      </w:r>
    </w:p>
  </w:footnote>
  <w:footnote w:id="16">
    <w:p w:rsidR="00C339AE" w:rsidRPr="006936F4" w:rsidP="00C339AE">
      <w:pPr>
        <w:pStyle w:val="FootnoteText"/>
      </w:pPr>
      <w:r w:rsidRPr="006936F4">
        <w:rPr>
          <w:rStyle w:val="FootnoteReference"/>
        </w:rPr>
        <w:footnoteRef/>
      </w:r>
      <w:r w:rsidRPr="006936F4">
        <w:t xml:space="preserve"> Sprint Petition at 1. </w:t>
      </w:r>
    </w:p>
  </w:footnote>
  <w:footnote w:id="17">
    <w:p w:rsidR="00C339AE" w:rsidRPr="006936F4" w:rsidP="00C339AE">
      <w:pPr>
        <w:pStyle w:val="FootnoteText"/>
      </w:pPr>
      <w:r w:rsidRPr="006936F4">
        <w:rPr>
          <w:rStyle w:val="FootnoteReference"/>
        </w:rPr>
        <w:footnoteRef/>
      </w:r>
      <w:r w:rsidRPr="006936F4">
        <w:t xml:space="preserve"> </w:t>
      </w:r>
      <w:r w:rsidRPr="006936F4">
        <w:rPr>
          <w:i/>
        </w:rPr>
        <w:t>Id.</w:t>
      </w:r>
      <w:r w:rsidRPr="006936F4">
        <w:t xml:space="preserve"> at 3. </w:t>
      </w:r>
    </w:p>
  </w:footnote>
  <w:footnote w:id="18">
    <w:p w:rsidR="00C339AE" w:rsidRPr="006936F4" w:rsidP="00C339AE">
      <w:pPr>
        <w:pStyle w:val="FootnoteText"/>
      </w:pPr>
      <w:r w:rsidRPr="006936F4">
        <w:rPr>
          <w:rStyle w:val="FootnoteReference"/>
        </w:rPr>
        <w:footnoteRef/>
      </w:r>
      <w:r w:rsidRPr="006936F4">
        <w:t xml:space="preserve"> </w:t>
      </w:r>
      <w:r w:rsidRPr="006936F4">
        <w:rPr>
          <w:i/>
        </w:rPr>
        <w:t>Id.</w:t>
      </w:r>
      <w:r w:rsidRPr="006936F4">
        <w:t xml:space="preserve"> at 5.</w:t>
      </w:r>
    </w:p>
  </w:footnote>
  <w:footnote w:id="19">
    <w:p w:rsidR="00C339AE" w:rsidRPr="006936F4" w:rsidP="00C339AE">
      <w:pPr>
        <w:pStyle w:val="FootnoteText"/>
      </w:pPr>
      <w:r w:rsidRPr="006936F4">
        <w:rPr>
          <w:rStyle w:val="FootnoteReference"/>
        </w:rPr>
        <w:footnoteRef/>
      </w:r>
      <w:r w:rsidRPr="006936F4">
        <w:t xml:space="preserve"> </w:t>
      </w:r>
      <w:r w:rsidRPr="006936F4">
        <w:rPr>
          <w:i/>
        </w:rPr>
        <w:t>Id.</w:t>
      </w:r>
      <w:r w:rsidRPr="006936F4">
        <w:t xml:space="preserve"> at 2, 6-7.</w:t>
      </w:r>
    </w:p>
  </w:footnote>
  <w:footnote w:id="20">
    <w:p w:rsidR="00C339AE" w:rsidRPr="006936F4" w:rsidP="00C339AE">
      <w:pPr>
        <w:pStyle w:val="FootnoteText"/>
        <w:rPr>
          <w:color w:val="000000" w:themeColor="text1"/>
        </w:rPr>
      </w:pPr>
      <w:r w:rsidRPr="006936F4">
        <w:rPr>
          <w:rStyle w:val="FootnoteReference"/>
        </w:rPr>
        <w:footnoteRef/>
      </w:r>
      <w:r w:rsidRPr="006936F4">
        <w:t xml:space="preserve"> </w:t>
      </w:r>
      <w:r w:rsidRPr="006936F4">
        <w:rPr>
          <w:i/>
        </w:rPr>
        <w:t xml:space="preserve">See </w:t>
      </w:r>
      <w:r w:rsidR="00933275">
        <w:rPr>
          <w:i/>
        </w:rPr>
        <w:t>i</w:t>
      </w:r>
      <w:bookmarkStart w:id="2" w:name="_GoBack"/>
      <w:bookmarkEnd w:id="2"/>
      <w:r w:rsidRPr="006936F4">
        <w:rPr>
          <w:i/>
        </w:rPr>
        <w:t>d.</w:t>
      </w:r>
      <w:r w:rsidRPr="006936F4">
        <w:t xml:space="preserve"> at 8;</w:t>
      </w:r>
      <w:r w:rsidRPr="006936F4">
        <w:rPr>
          <w:i/>
        </w:rPr>
        <w:t xml:space="preserve"> see also </w:t>
      </w:r>
      <w:r w:rsidRPr="006936F4">
        <w:t>47 CFR § 1.2105(b)(2) (“</w:t>
      </w:r>
      <w:r w:rsidRPr="006936F4">
        <w:rPr>
          <w:color w:val="000000" w:themeColor="text1"/>
        </w:rPr>
        <w:t>Major amendments cannot be made to a short-form </w:t>
      </w:r>
      <w:r>
        <w:fldChar w:fldCharType="begin"/>
      </w:r>
      <w:r>
        <w:instrText xml:space="preserve"> HYPERLINK "https://www.law.cornell.edu/definitions/index.php?width=840&amp;height=800&amp;iframe=true&amp;def_id=c19d642fdc81779b4769c0ef2ecb86f6&amp;term_occur=33&amp;term_src=Title:47:Chapter:I:Subchapter:A:Part:1:Subpart:Q:Subjgrp:203:1.2105" \o "application" </w:instrText>
      </w:r>
      <w:r>
        <w:fldChar w:fldCharType="separate"/>
      </w:r>
      <w:r w:rsidRPr="006936F4">
        <w:rPr>
          <w:rStyle w:val="Hyperlink"/>
          <w:color w:val="000000" w:themeColor="text1"/>
          <w:u w:val="none"/>
        </w:rPr>
        <w:t>application</w:t>
      </w:r>
      <w:r>
        <w:fldChar w:fldCharType="end"/>
      </w:r>
      <w:r w:rsidRPr="006936F4">
        <w:rPr>
          <w:rStyle w:val="Hyperlink"/>
          <w:color w:val="000000" w:themeColor="text1"/>
          <w:u w:val="none"/>
        </w:rPr>
        <w:t xml:space="preserve"> </w:t>
      </w:r>
      <w:r w:rsidRPr="006936F4">
        <w:rPr>
          <w:color w:val="000000" w:themeColor="text1"/>
        </w:rPr>
        <w:t xml:space="preserve"> after the initial filing deadline.  Major amendments include changes in ownership of the applicant that would constitute an assignment or transfer of control, changes in an applicant’s size which would affect eligibility for designated entity provisions, and changes in the license service areas identified on the short-form </w:t>
      </w:r>
      <w:r>
        <w:fldChar w:fldCharType="begin"/>
      </w:r>
      <w:r>
        <w:instrText xml:space="preserve"> HYPERLINK "https://www.law.cornell.edu/definitions/index.php?width=840&amp;height=800&amp;iframe=true&amp;def_id=c19d642fdc81779b4769c0ef2ecb86f6&amp;term_occur=34&amp;term_src=Title:47:Chapter:I:Subchapter:A:Part:1:Subpart:Q:Subjgrp:203:1.2105" \o "application" </w:instrText>
      </w:r>
      <w:r>
        <w:fldChar w:fldCharType="separate"/>
      </w:r>
      <w:r w:rsidRPr="006936F4">
        <w:rPr>
          <w:rStyle w:val="Hyperlink"/>
          <w:color w:val="000000" w:themeColor="text1"/>
          <w:u w:val="none"/>
        </w:rPr>
        <w:t>application</w:t>
      </w:r>
      <w:r>
        <w:fldChar w:fldCharType="end"/>
      </w:r>
      <w:r w:rsidRPr="006936F4">
        <w:rPr>
          <w:color w:val="000000" w:themeColor="text1"/>
        </w:rPr>
        <w:t xml:space="preserve"> on which the applicant intends to bid.”).</w:t>
      </w:r>
    </w:p>
  </w:footnote>
  <w:footnote w:id="21">
    <w:p w:rsidR="00C339AE" w:rsidRPr="006936F4" w:rsidP="00C339AE">
      <w:pPr>
        <w:pStyle w:val="FootnoteText"/>
      </w:pPr>
      <w:r w:rsidRPr="006936F4">
        <w:rPr>
          <w:rStyle w:val="FootnoteReference"/>
        </w:rPr>
        <w:footnoteRef/>
      </w:r>
      <w:r w:rsidRPr="006936F4">
        <w:t xml:space="preserve"> Sprint Petition at 8.</w:t>
      </w:r>
    </w:p>
  </w:footnote>
  <w:footnote w:id="22">
    <w:p w:rsidR="00C339AE" w:rsidRPr="006936F4" w:rsidP="00C339AE">
      <w:pPr>
        <w:pStyle w:val="FootnoteText"/>
      </w:pPr>
      <w:r w:rsidRPr="006936F4">
        <w:rPr>
          <w:rStyle w:val="FootnoteReference"/>
        </w:rPr>
        <w:footnoteRef/>
      </w:r>
      <w:r w:rsidRPr="006936F4">
        <w:t xml:space="preserve"> </w:t>
      </w:r>
      <w:r w:rsidRPr="006936F4">
        <w:rPr>
          <w:i/>
        </w:rPr>
        <w:t>Id.</w:t>
      </w:r>
      <w:r w:rsidRPr="006936F4">
        <w:t xml:space="preserve">; </w:t>
      </w:r>
      <w:r w:rsidRPr="006936F4">
        <w:rPr>
          <w:i/>
        </w:rPr>
        <w:t xml:space="preserve">see also </w:t>
      </w:r>
      <w:r w:rsidRPr="006936F4">
        <w:t>47 CFR § 1.2105(b)(4).</w:t>
      </w:r>
    </w:p>
  </w:footnote>
  <w:footnote w:id="23">
    <w:p w:rsidR="00C339AE" w:rsidRPr="006936F4" w:rsidP="00C339AE">
      <w:pPr>
        <w:pStyle w:val="FootnoteText"/>
      </w:pPr>
      <w:r w:rsidRPr="002F0ABB">
        <w:rPr>
          <w:rStyle w:val="FootnoteReference"/>
        </w:rPr>
        <w:footnoteRef/>
      </w:r>
      <w:r w:rsidRPr="006936F4">
        <w:t xml:space="preserve"> Sprint Petition at 8-9.</w:t>
      </w:r>
    </w:p>
  </w:footnote>
  <w:footnote w:id="24">
    <w:p w:rsidR="00C339AE" w:rsidRPr="006936F4" w:rsidP="00C339AE">
      <w:pPr>
        <w:pStyle w:val="FootnoteText"/>
      </w:pPr>
      <w:r w:rsidRPr="002F0ABB">
        <w:rPr>
          <w:rStyle w:val="FootnoteReference"/>
        </w:rPr>
        <w:footnoteRef/>
      </w:r>
      <w:r w:rsidRPr="006936F4">
        <w:t xml:space="preserve"> </w:t>
      </w:r>
      <w:r w:rsidRPr="006936F4">
        <w:rPr>
          <w:i/>
        </w:rPr>
        <w:t>See</w:t>
      </w:r>
      <w:r w:rsidRPr="006936F4">
        <w:t xml:space="preserve"> </w:t>
      </w:r>
      <w:r w:rsidRPr="006936F4">
        <w:rPr>
          <w:i/>
        </w:rPr>
        <w:t xml:space="preserve">Auctions 101 and 102 Procedures Public Notice </w:t>
      </w:r>
      <w:r w:rsidRPr="006936F4">
        <w:t>at 17-18, para. 41.</w:t>
      </w:r>
    </w:p>
  </w:footnote>
  <w:footnote w:id="25">
    <w:p w:rsidR="00C339AE" w:rsidRPr="006936F4" w:rsidP="00C339AE">
      <w:pPr>
        <w:pStyle w:val="FootnoteText"/>
      </w:pPr>
      <w:r w:rsidRPr="002F0ABB">
        <w:rPr>
          <w:rStyle w:val="FootnoteReference"/>
        </w:rPr>
        <w:footnoteRef/>
      </w:r>
      <w:r w:rsidRPr="006936F4">
        <w:t xml:space="preserve"> In doing so, we specify a filing deadline for responsive pleadings that is shorter than the default deadline set forth in the Commission’s rules, and we waive on our own motion the establishment of a period for the filing of replies.  </w:t>
      </w:r>
      <w:r w:rsidRPr="006936F4">
        <w:rPr>
          <w:i/>
        </w:rPr>
        <w:t>See</w:t>
      </w:r>
      <w:r w:rsidRPr="006936F4">
        <w:t xml:space="preserve"> 47 CFR § 1.2(b) (“Unless otherwise specified by the bureau or office, the filing deadline for responsive pleadings to a docketed petition for declaratory ruling will be 30 days from the release date of the public notice, and the default filing deadline for any replies will be 15 days thereafter.”); </w:t>
      </w:r>
      <w:r w:rsidRPr="006936F4">
        <w:rPr>
          <w:i/>
        </w:rPr>
        <w:t>see also</w:t>
      </w:r>
      <w:r w:rsidRPr="006936F4">
        <w:t xml:space="preserve"> </w:t>
      </w:r>
      <w:r w:rsidRPr="006936F4">
        <w:rPr>
          <w:i/>
        </w:rPr>
        <w:t>id.</w:t>
      </w:r>
      <w:r w:rsidRPr="006936F4">
        <w:t xml:space="preserve"> § 1.3 (establishing that provisions of the Commission’s rules may be waived for good cause shown).</w:t>
      </w:r>
    </w:p>
  </w:footnote>
  <w:footnote w:id="26">
    <w:p w:rsidR="00C339AE" w:rsidRPr="006936F4" w:rsidP="00C339AE">
      <w:pPr>
        <w:pStyle w:val="FootnoteText"/>
      </w:pPr>
      <w:r w:rsidRPr="006936F4">
        <w:rPr>
          <w:rStyle w:val="FootnoteReference"/>
        </w:rPr>
        <w:footnoteRef/>
      </w:r>
      <w:r w:rsidRPr="006936F4">
        <w:t xml:space="preserve"> </w:t>
      </w:r>
      <w:r w:rsidRPr="006936F4">
        <w:rPr>
          <w:i/>
          <w:spacing w:val="-2"/>
        </w:rPr>
        <w:t>See</w:t>
      </w:r>
      <w:r w:rsidRPr="006936F4">
        <w:rPr>
          <w:spacing w:val="-2"/>
        </w:rPr>
        <w:t xml:space="preserve"> </w:t>
      </w:r>
      <w:r w:rsidRPr="006936F4">
        <w:rPr>
          <w:i/>
          <w:spacing w:val="-2"/>
        </w:rPr>
        <w:t>Electronic Filing of Documents in Rulemaking Proceedings</w:t>
      </w:r>
      <w:r w:rsidRPr="006936F4">
        <w:rPr>
          <w:spacing w:val="-2"/>
        </w:rPr>
        <w:t>, 63 FR 24121 (1998).</w:t>
      </w:r>
    </w:p>
  </w:footnote>
  <w:footnote w:id="27">
    <w:p w:rsidR="00C339AE" w:rsidRPr="006936F4" w:rsidP="00C339AE">
      <w:pPr>
        <w:pStyle w:val="FootnoteText"/>
      </w:pPr>
      <w:r w:rsidRPr="006936F4">
        <w:rPr>
          <w:rStyle w:val="FootnoteReference"/>
        </w:rPr>
        <w:footnoteRef/>
      </w:r>
      <w:r w:rsidRPr="006936F4">
        <w:t xml:space="preserve"> 47 CFR §§ 1.1200(a); 1.1206.  </w:t>
      </w:r>
    </w:p>
  </w:footnote>
  <w:footnote w:id="28">
    <w:p w:rsidR="00C339AE" w:rsidRPr="006936F4" w:rsidP="00C339AE">
      <w:pPr>
        <w:pStyle w:val="FootnoteText"/>
      </w:pPr>
      <w:r w:rsidRPr="006936F4">
        <w:rPr>
          <w:rStyle w:val="FootnoteReference"/>
        </w:rPr>
        <w:footnoteRef/>
      </w:r>
      <w:r w:rsidRPr="006936F4">
        <w:t xml:space="preserve"> </w:t>
      </w:r>
      <w:r w:rsidRPr="006936F4">
        <w:rPr>
          <w:i/>
        </w:rPr>
        <w:t>Id.</w:t>
      </w:r>
      <w:r w:rsidRPr="006936F4">
        <w:t xml:space="preserve"> § 1.1206(b).  </w:t>
      </w:r>
    </w:p>
  </w:footnote>
  <w:footnote w:id="29">
    <w:p w:rsidR="00C339AE" w:rsidRPr="003E5B0F" w:rsidP="00C339AE">
      <w:pPr>
        <w:pStyle w:val="FootnoteText"/>
      </w:pPr>
      <w:r w:rsidRPr="006936F4">
        <w:rPr>
          <w:rStyle w:val="FootnoteReference"/>
        </w:rPr>
        <w:footnoteRef/>
      </w:r>
      <w:r w:rsidRPr="006936F4">
        <w:t xml:space="preserve"> </w:t>
      </w:r>
      <w:r w:rsidRPr="006936F4">
        <w:rPr>
          <w:i/>
        </w:rPr>
        <w:t>Id.</w:t>
      </w:r>
      <w:r w:rsidRPr="006936F4">
        <w:t xml:space="preserve"> § 1.49(f).</w:t>
      </w:r>
      <w:r w:rsidRPr="003E5B0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F74DB" w:rsidP="00F22BD2">
    <w:pPr>
      <w:pStyle w:val="Header"/>
    </w:pPr>
  </w:p>
  <w:p w:rsidR="005828DE" w:rsidP="003E04C6">
    <w:pPr>
      <w:pStyle w:val="Header"/>
      <w:rPr>
        <w:spacing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D11BE" w:rsidP="009D11BE">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28DE" w:rsidP="009D11BE">
                          <w:pPr>
                            <w:rPr>
                              <w:rFonts w:ascii="Arial" w:hAnsi="Arial"/>
                              <w:b/>
                            </w:rPr>
                          </w:pPr>
                          <w:r>
                            <w:rPr>
                              <w:rFonts w:ascii="Arial" w:hAnsi="Arial"/>
                              <w:b/>
                            </w:rPr>
                            <w:t>Federal Communications Commission</w:t>
                          </w:r>
                        </w:p>
                        <w:p w:rsidR="005828DE"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E100C2">
                            <w:rPr>
                              <w:rFonts w:ascii="Arial" w:hAnsi="Arial"/>
                              <w:b/>
                            </w:rPr>
                            <w:t>reet</w:t>
                          </w:r>
                          <w:r>
                            <w:rPr>
                              <w:rFonts w:ascii="Arial" w:hAnsi="Arial"/>
                              <w:b/>
                            </w:rPr>
                            <w:t>, SW</w:t>
                          </w:r>
                        </w:p>
                        <w:p w:rsidR="005828DE" w:rsidP="009D11BE">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828DE" w:rsidP="009D11BE">
                    <w:pPr>
                      <w:rPr>
                        <w:rFonts w:ascii="Arial" w:hAnsi="Arial"/>
                        <w:b/>
                      </w:rPr>
                    </w:pPr>
                    <w:r>
                      <w:rPr>
                        <w:rFonts w:ascii="Arial" w:hAnsi="Arial"/>
                        <w:b/>
                      </w:rPr>
                      <w:t>Federal Communications Commission</w:t>
                    </w:r>
                  </w:p>
                  <w:p w:rsidR="005828DE"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E100C2">
                      <w:rPr>
                        <w:rFonts w:ascii="Arial" w:hAnsi="Arial"/>
                        <w:b/>
                      </w:rPr>
                      <w:t>reet</w:t>
                    </w:r>
                    <w:r>
                      <w:rPr>
                        <w:rFonts w:ascii="Arial" w:hAnsi="Arial"/>
                        <w:b/>
                      </w:rPr>
                      <w:t>, SW</w:t>
                    </w:r>
                  </w:p>
                  <w:p w:rsidR="005828DE" w:rsidP="009D11BE">
                    <w:pPr>
                      <w:rPr>
                        <w:rFonts w:ascii="Arial" w:hAnsi="Arial"/>
                        <w:sz w:val="24"/>
                      </w:rPr>
                    </w:pPr>
                    <w:r>
                      <w:rPr>
                        <w:rFonts w:ascii="Arial" w:hAnsi="Arial"/>
                        <w:b/>
                      </w:rPr>
                      <w:t>Washington, DC 20554</w:t>
                    </w:r>
                  </w:p>
                </w:txbxContent>
              </v:textbox>
              <w10:wrap anchorx="margin"/>
            </v:shape>
          </w:pict>
        </mc:Fallback>
      </mc:AlternateContent>
    </w:r>
    <w:r>
      <w:rPr>
        <w:noProof/>
      </w:rPr>
      <w:drawing>
        <wp:inline distT="0" distB="0" distL="0" distR="0">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3400" cy="533400"/>
                  </a:xfrm>
                  <a:prstGeom prst="rect">
                    <a:avLst/>
                  </a:prstGeom>
                  <a:noFill/>
                  <a:ln>
                    <a:noFill/>
                  </a:ln>
                </pic:spPr>
              </pic:pic>
            </a:graphicData>
          </a:graphic>
        </wp:inline>
      </w:drawing>
    </w:r>
    <w:r w:rsidRPr="009D11BE" w:rsidR="000D09F9">
      <w:rPr>
        <w:rFonts w:ascii="Arial" w:hAnsi="Arial" w:cs="Arial"/>
        <w:sz w:val="96"/>
        <w:szCs w:val="96"/>
      </w:rPr>
      <w:t xml:space="preserve"> </w:t>
    </w:r>
    <w:r w:rsidR="000D09F9">
      <w:rPr>
        <w:rFonts w:ascii="Arial" w:hAnsi="Arial" w:cs="Arial"/>
        <w:b/>
        <w:sz w:val="96"/>
      </w:rPr>
      <w:t>PUBLIC NOTICE</w:t>
    </w:r>
  </w:p>
  <w:p w:rsidR="005828DE" w:rsidRPr="009D11BE" w:rsidP="009D11BE">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28DE" w:rsidP="009D11BE">
                          <w:pPr>
                            <w:spacing w:before="40"/>
                            <w:jc w:val="right"/>
                            <w:rPr>
                              <w:rFonts w:ascii="Arial" w:hAnsi="Arial"/>
                              <w:b/>
                              <w:sz w:val="16"/>
                            </w:rPr>
                          </w:pPr>
                          <w:r>
                            <w:rPr>
                              <w:rFonts w:ascii="Arial" w:hAnsi="Arial"/>
                              <w:b/>
                              <w:sz w:val="16"/>
                            </w:rPr>
                            <w:t>News Media Information</w:t>
                          </w:r>
                          <w:r w:rsidR="00E100C2">
                            <w:rPr>
                              <w:rFonts w:ascii="Arial" w:hAnsi="Arial"/>
                              <w:b/>
                              <w:sz w:val="16"/>
                            </w:rPr>
                            <w:t>:</w:t>
                          </w:r>
                          <w:r>
                            <w:rPr>
                              <w:rFonts w:ascii="Arial" w:hAnsi="Arial"/>
                              <w:b/>
                              <w:sz w:val="16"/>
                            </w:rPr>
                            <w:t xml:space="preserve"> 202</w:t>
                          </w:r>
                          <w:r w:rsidR="00E100C2">
                            <w:rPr>
                              <w:rFonts w:ascii="Arial" w:hAnsi="Arial"/>
                              <w:b/>
                              <w:sz w:val="16"/>
                            </w:rPr>
                            <w:t>-</w:t>
                          </w:r>
                          <w:r>
                            <w:rPr>
                              <w:rFonts w:ascii="Arial" w:hAnsi="Arial"/>
                              <w:b/>
                              <w:sz w:val="16"/>
                            </w:rPr>
                            <w:t>418-0500</w:t>
                          </w:r>
                        </w:p>
                        <w:p w:rsidR="005828DE" w:rsidP="009D11BE">
                          <w:pPr>
                            <w:jc w:val="right"/>
                            <w:rPr>
                              <w:rFonts w:ascii="Arial" w:hAnsi="Arial"/>
                              <w:b/>
                              <w:sz w:val="16"/>
                            </w:rPr>
                          </w:pPr>
                          <w:r>
                            <w:rPr>
                              <w:rFonts w:ascii="Arial" w:hAnsi="Arial"/>
                              <w:b/>
                              <w:sz w:val="16"/>
                            </w:rPr>
                            <w:t xml:space="preserve">Internet: </w:t>
                          </w:r>
                          <w:r>
                            <w:fldChar w:fldCharType="begin"/>
                          </w:r>
                          <w:r>
                            <w:instrText xml:space="preserve"> HYPERLINK "http://www.fcc.gov" </w:instrText>
                          </w:r>
                          <w:r>
                            <w:fldChar w:fldCharType="separate"/>
                          </w:r>
                          <w:r w:rsidRPr="00757559" w:rsidR="006D4890">
                            <w:rPr>
                              <w:rStyle w:val="Hyperlink"/>
                              <w:rFonts w:ascii="Arial" w:hAnsi="Arial"/>
                              <w:b/>
                              <w:sz w:val="16"/>
                            </w:rPr>
                            <w:t>www.fcc.gov</w:t>
                          </w:r>
                          <w:r>
                            <w:fldChar w:fldCharType="end"/>
                          </w:r>
                        </w:p>
                        <w:p w:rsidR="005828DE" w:rsidP="009D11BE">
                          <w:pPr>
                            <w:jc w:val="right"/>
                          </w:pPr>
                          <w:r>
                            <w:rPr>
                              <w:rFonts w:ascii="Arial" w:hAnsi="Arial"/>
                              <w:b/>
                              <w:sz w:val="16"/>
                            </w:rP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828DE" w:rsidP="009D11BE">
                    <w:pPr>
                      <w:spacing w:before="40"/>
                      <w:jc w:val="right"/>
                      <w:rPr>
                        <w:rFonts w:ascii="Arial" w:hAnsi="Arial"/>
                        <w:b/>
                        <w:sz w:val="16"/>
                      </w:rPr>
                    </w:pPr>
                    <w:r>
                      <w:rPr>
                        <w:rFonts w:ascii="Arial" w:hAnsi="Arial"/>
                        <w:b/>
                        <w:sz w:val="16"/>
                      </w:rPr>
                      <w:t>News Media Information</w:t>
                    </w:r>
                    <w:r w:rsidR="00E100C2">
                      <w:rPr>
                        <w:rFonts w:ascii="Arial" w:hAnsi="Arial"/>
                        <w:b/>
                        <w:sz w:val="16"/>
                      </w:rPr>
                      <w:t>:</w:t>
                    </w:r>
                    <w:r>
                      <w:rPr>
                        <w:rFonts w:ascii="Arial" w:hAnsi="Arial"/>
                        <w:b/>
                        <w:sz w:val="16"/>
                      </w:rPr>
                      <w:t xml:space="preserve"> 202</w:t>
                    </w:r>
                    <w:r w:rsidR="00E100C2">
                      <w:rPr>
                        <w:rFonts w:ascii="Arial" w:hAnsi="Arial"/>
                        <w:b/>
                        <w:sz w:val="16"/>
                      </w:rPr>
                      <w:t>-</w:t>
                    </w:r>
                    <w:r>
                      <w:rPr>
                        <w:rFonts w:ascii="Arial" w:hAnsi="Arial"/>
                        <w:b/>
                        <w:sz w:val="16"/>
                      </w:rPr>
                      <w:t>418-0500</w:t>
                    </w:r>
                  </w:p>
                  <w:p w:rsidR="005828DE" w:rsidP="009D11BE">
                    <w:pPr>
                      <w:jc w:val="right"/>
                      <w:rPr>
                        <w:rFonts w:ascii="Arial" w:hAnsi="Arial"/>
                        <w:b/>
                        <w:sz w:val="16"/>
                      </w:rPr>
                    </w:pPr>
                    <w:r>
                      <w:rPr>
                        <w:rFonts w:ascii="Arial" w:hAnsi="Arial"/>
                        <w:b/>
                        <w:sz w:val="16"/>
                      </w:rPr>
                      <w:t xml:space="preserve">Internet: </w:t>
                    </w:r>
                    <w:r>
                      <w:fldChar w:fldCharType="begin"/>
                    </w:r>
                    <w:r>
                      <w:instrText xml:space="preserve"> HYPERLINK "http://www.fcc.gov" </w:instrText>
                    </w:r>
                    <w:r>
                      <w:fldChar w:fldCharType="separate"/>
                    </w:r>
                    <w:r w:rsidRPr="00757559" w:rsidR="006D4890">
                      <w:rPr>
                        <w:rStyle w:val="Hyperlink"/>
                        <w:rFonts w:ascii="Arial" w:hAnsi="Arial"/>
                        <w:b/>
                        <w:sz w:val="16"/>
                      </w:rPr>
                      <w:t>www.fcc.gov</w:t>
                    </w:r>
                    <w:r>
                      <w:fldChar w:fldCharType="end"/>
                    </w:r>
                  </w:p>
                  <w:p w:rsidR="005828DE" w:rsidP="009D11BE">
                    <w:pPr>
                      <w:jc w:val="right"/>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97B3A"/>
    <w:multiLevelType w:val="multilevel"/>
    <w:tmpl w:val="AA58A51A"/>
    <w:styleLink w:val="AppendixHeadings"/>
    <w:lvl w:ilvl="0">
      <w:start w:val="1"/>
      <w:numFmt w:val="upperLetter"/>
      <w:pStyle w:val="AppendixHeading1"/>
      <w:suff w:val="nothing"/>
      <w:lvlText w:val="APPENDIX %1:"/>
      <w:lvlJc w:val="left"/>
      <w:pPr>
        <w:ind w:left="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465811"/>
    <w:multiLevelType w:val="hybridMultilevel"/>
    <w:tmpl w:val="2C74C0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ind w:left="420" w:hanging="360"/>
      </w:pPr>
      <w:rPr>
        <w:rFonts w:ascii="Courier New" w:hAnsi="Courier New" w:cs="Courier New" w:hint="default"/>
      </w:rPr>
    </w:lvl>
    <w:lvl w:ilvl="2" w:tentative="1">
      <w:start w:val="1"/>
      <w:numFmt w:val="bullet"/>
      <w:lvlText w:val=""/>
      <w:lvlJc w:val="left"/>
      <w:pPr>
        <w:ind w:left="1140" w:hanging="360"/>
      </w:pPr>
      <w:rPr>
        <w:rFonts w:ascii="Wingdings" w:hAnsi="Wingdings" w:hint="default"/>
      </w:rPr>
    </w:lvl>
    <w:lvl w:ilvl="3" w:tentative="1">
      <w:start w:val="1"/>
      <w:numFmt w:val="bullet"/>
      <w:lvlText w:val=""/>
      <w:lvlJc w:val="left"/>
      <w:pPr>
        <w:ind w:left="1860" w:hanging="360"/>
      </w:pPr>
      <w:rPr>
        <w:rFonts w:ascii="Symbol" w:hAnsi="Symbol" w:hint="default"/>
      </w:rPr>
    </w:lvl>
    <w:lvl w:ilvl="4" w:tentative="1">
      <w:start w:val="1"/>
      <w:numFmt w:val="bullet"/>
      <w:lvlText w:val="o"/>
      <w:lvlJc w:val="left"/>
      <w:pPr>
        <w:ind w:left="2580" w:hanging="360"/>
      </w:pPr>
      <w:rPr>
        <w:rFonts w:ascii="Courier New" w:hAnsi="Courier New" w:cs="Courier New" w:hint="default"/>
      </w:rPr>
    </w:lvl>
    <w:lvl w:ilvl="5" w:tentative="1">
      <w:start w:val="1"/>
      <w:numFmt w:val="bullet"/>
      <w:lvlText w:val=""/>
      <w:lvlJc w:val="left"/>
      <w:pPr>
        <w:ind w:left="3300" w:hanging="360"/>
      </w:pPr>
      <w:rPr>
        <w:rFonts w:ascii="Wingdings" w:hAnsi="Wingdings" w:hint="default"/>
      </w:rPr>
    </w:lvl>
    <w:lvl w:ilvl="6" w:tentative="1">
      <w:start w:val="1"/>
      <w:numFmt w:val="bullet"/>
      <w:lvlText w:val=""/>
      <w:lvlJc w:val="left"/>
      <w:pPr>
        <w:ind w:left="4020" w:hanging="360"/>
      </w:pPr>
      <w:rPr>
        <w:rFonts w:ascii="Symbol" w:hAnsi="Symbol" w:hint="default"/>
      </w:rPr>
    </w:lvl>
    <w:lvl w:ilvl="7" w:tentative="1">
      <w:start w:val="1"/>
      <w:numFmt w:val="bullet"/>
      <w:lvlText w:val="o"/>
      <w:lvlJc w:val="left"/>
      <w:pPr>
        <w:ind w:left="4740" w:hanging="360"/>
      </w:pPr>
      <w:rPr>
        <w:rFonts w:ascii="Courier New" w:hAnsi="Courier New" w:cs="Courier New" w:hint="default"/>
      </w:rPr>
    </w:lvl>
    <w:lvl w:ilvl="8" w:tentative="1">
      <w:start w:val="1"/>
      <w:numFmt w:val="bullet"/>
      <w:lvlText w:val=""/>
      <w:lvlJc w:val="left"/>
      <w:pPr>
        <w:ind w:left="546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9A86CD3"/>
    <w:multiLevelType w:val="hybridMultilevel"/>
    <w:tmpl w:val="6B643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46080DF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i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3F5159C2"/>
    <w:multiLevelType w:val="multilevel"/>
    <w:tmpl w:val="AA58A51A"/>
    <w:numStyleLink w:val="Appendix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9"/>
  </w:num>
  <w:num w:numId="5">
    <w:abstractNumId w:val="5"/>
  </w:num>
  <w:num w:numId="6">
    <w:abstractNumId w:val="2"/>
  </w:num>
  <w:num w:numId="7">
    <w:abstractNumId w:val="0"/>
  </w:num>
  <w:num w:numId="8">
    <w:abstractNumId w:val="8"/>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A62EC1"/>
    <w:pPr>
      <w:keepNext/>
      <w:numPr>
        <w:numId w:val="3"/>
      </w:numPr>
      <w:tabs>
        <w:tab w:val="left" w:pos="720"/>
      </w:tabs>
      <w:suppressAutoHyphens/>
      <w:spacing w:after="120"/>
      <w:outlineLvl w:val="0"/>
    </w:pPr>
    <w:rPr>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4474F9"/>
    <w:pPr>
      <w:numPr>
        <w:ilvl w:val="1"/>
        <w:numId w:val="3"/>
      </w:numPr>
      <w:spacing w:after="120"/>
      <w:jc w:val="both"/>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5826DC"/>
    <w:rPr>
      <w:snapToGrid w:val="0"/>
      <w:kern w:val="28"/>
      <w:sz w:val="22"/>
    </w:rPr>
  </w:style>
  <w:style w:type="paragraph" w:customStyle="1" w:styleId="AppendixHeading2">
    <w:name w:val="Appendix Heading 2"/>
    <w:basedOn w:val="Normal"/>
    <w:next w:val="Normal"/>
    <w:qFormat/>
    <w:rsid w:val="00973BC7"/>
    <w:pPr>
      <w:keepNext/>
      <w:keepLines/>
      <w:numPr>
        <w:ilvl w:val="1"/>
        <w:numId w:val="8"/>
      </w:numPr>
      <w:spacing w:before="120" w:after="120"/>
      <w:ind w:left="720" w:hanging="720"/>
      <w:outlineLvl w:val="1"/>
    </w:pPr>
    <w:rPr>
      <w:b/>
    </w:rPr>
  </w:style>
  <w:style w:type="paragraph" w:customStyle="1" w:styleId="AppendixHeading3">
    <w:name w:val="Appendix Heading 3"/>
    <w:basedOn w:val="Normal"/>
    <w:next w:val="Normal"/>
    <w:qFormat/>
    <w:rsid w:val="00973BC7"/>
    <w:pPr>
      <w:keepNext/>
      <w:keepLines/>
      <w:numPr>
        <w:ilvl w:val="2"/>
        <w:numId w:val="8"/>
      </w:numPr>
      <w:spacing w:before="120" w:after="120"/>
      <w:ind w:left="720" w:hanging="720"/>
      <w:outlineLvl w:val="2"/>
    </w:pPr>
    <w:rPr>
      <w:b/>
    </w:rPr>
  </w:style>
  <w:style w:type="paragraph" w:customStyle="1" w:styleId="AppendixHeading1">
    <w:name w:val="Appendix Heading 1"/>
    <w:basedOn w:val="Normal"/>
    <w:next w:val="Normal"/>
    <w:qFormat/>
    <w:rsid w:val="00973BC7"/>
    <w:pPr>
      <w:keepNext/>
      <w:numPr>
        <w:numId w:val="8"/>
      </w:numPr>
      <w:spacing w:before="120" w:after="120" w:line="360" w:lineRule="auto"/>
      <w:jc w:val="center"/>
      <w:outlineLvl w:val="0"/>
    </w:pPr>
    <w:rPr>
      <w:b/>
    </w:rPr>
  </w:style>
  <w:style w:type="numbering" w:customStyle="1" w:styleId="AppendixHeadings">
    <w:name w:val="Appendix Headings"/>
    <w:uiPriority w:val="99"/>
    <w:rsid w:val="00973BC7"/>
    <w:pPr>
      <w:numPr>
        <w:numId w:val="7"/>
      </w:numPr>
    </w:pPr>
  </w:style>
  <w:style w:type="character" w:customStyle="1" w:styleId="FooterChar">
    <w:name w:val="Footer Char"/>
    <w:link w:val="Footer"/>
    <w:uiPriority w:val="99"/>
    <w:rsid w:val="00973BC7"/>
    <w:rPr>
      <w:snapToGrid w:val="0"/>
      <w:kern w:val="28"/>
      <w:sz w:val="22"/>
    </w:rPr>
  </w:style>
  <w:style w:type="paragraph" w:customStyle="1" w:styleId="AppendixHeading4">
    <w:name w:val="Appendix Heading 4"/>
    <w:basedOn w:val="Normal"/>
    <w:next w:val="Normal"/>
    <w:qFormat/>
    <w:rsid w:val="00973BC7"/>
    <w:pPr>
      <w:keepNext/>
      <w:numPr>
        <w:ilvl w:val="3"/>
        <w:numId w:val="8"/>
      </w:numPr>
      <w:spacing w:before="120" w:after="120"/>
      <w:ind w:left="720" w:hanging="720"/>
      <w:outlineLvl w:val="3"/>
    </w:pPr>
    <w:rPr>
      <w:b/>
      <w:bCs/>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link w:val="FootnoteText"/>
    <w:rsid w:val="00F80C07"/>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
    <w:rsid w:val="009C2804"/>
  </w:style>
  <w:style w:type="character" w:styleId="CommentReference">
    <w:name w:val="annotation reference"/>
    <w:rsid w:val="00377D71"/>
    <w:rPr>
      <w:sz w:val="16"/>
      <w:szCs w:val="16"/>
    </w:rPr>
  </w:style>
  <w:style w:type="paragraph" w:styleId="CommentText">
    <w:name w:val="annotation text"/>
    <w:basedOn w:val="Normal"/>
    <w:link w:val="CommentTextChar"/>
    <w:rsid w:val="00377D71"/>
    <w:rPr>
      <w:sz w:val="20"/>
    </w:rPr>
  </w:style>
  <w:style w:type="character" w:customStyle="1" w:styleId="CommentTextChar">
    <w:name w:val="Comment Text Char"/>
    <w:link w:val="CommentText"/>
    <w:rsid w:val="00377D71"/>
    <w:rPr>
      <w:snapToGrid w:val="0"/>
      <w:kern w:val="28"/>
    </w:rPr>
  </w:style>
  <w:style w:type="paragraph" w:styleId="CommentSubject">
    <w:name w:val="annotation subject"/>
    <w:basedOn w:val="CommentText"/>
    <w:next w:val="CommentText"/>
    <w:link w:val="CommentSubjectChar"/>
    <w:rsid w:val="00377D71"/>
    <w:rPr>
      <w:b/>
      <w:bCs/>
    </w:rPr>
  </w:style>
  <w:style w:type="character" w:customStyle="1" w:styleId="CommentSubjectChar">
    <w:name w:val="Comment Subject Char"/>
    <w:link w:val="CommentSubject"/>
    <w:rsid w:val="00377D71"/>
    <w:rPr>
      <w:b/>
      <w:bCs/>
      <w:snapToGrid w:val="0"/>
      <w:kern w:val="28"/>
    </w:rPr>
  </w:style>
  <w:style w:type="paragraph" w:styleId="BalloonText">
    <w:name w:val="Balloon Text"/>
    <w:basedOn w:val="Normal"/>
    <w:link w:val="BalloonTextChar"/>
    <w:rsid w:val="00377D71"/>
    <w:rPr>
      <w:rFonts w:ascii="Segoe UI" w:hAnsi="Segoe UI" w:cs="Segoe UI"/>
      <w:sz w:val="18"/>
      <w:szCs w:val="18"/>
    </w:rPr>
  </w:style>
  <w:style w:type="character" w:customStyle="1" w:styleId="BalloonTextChar">
    <w:name w:val="Balloon Text Char"/>
    <w:link w:val="BalloonText"/>
    <w:rsid w:val="00377D71"/>
    <w:rPr>
      <w:rFonts w:ascii="Segoe UI" w:hAnsi="Segoe UI" w:cs="Segoe UI"/>
      <w:snapToGrid w:val="0"/>
      <w:kern w:val="28"/>
      <w:sz w:val="18"/>
      <w:szCs w:val="18"/>
    </w:rPr>
  </w:style>
  <w:style w:type="character" w:customStyle="1" w:styleId="HeaderChar">
    <w:name w:val="Header Char"/>
    <w:link w:val="Header"/>
    <w:rsid w:val="00D56575"/>
    <w:rPr>
      <w:b/>
      <w:snapToGrid w:val="0"/>
      <w:kern w:val="28"/>
      <w:sz w:val="22"/>
    </w:rPr>
  </w:style>
  <w:style w:type="paragraph" w:styleId="Revision">
    <w:name w:val="Revision"/>
    <w:hidden/>
    <w:uiPriority w:val="99"/>
    <w:semiHidden/>
    <w:rsid w:val="00600F32"/>
    <w:rPr>
      <w:snapToGrid w:val="0"/>
      <w:kern w:val="28"/>
      <w:sz w:val="22"/>
    </w:rPr>
  </w:style>
  <w:style w:type="character" w:customStyle="1" w:styleId="UnresolvedMention1">
    <w:name w:val="Unresolved Mention1"/>
    <w:uiPriority w:val="99"/>
    <w:semiHidden/>
    <w:unhideWhenUsed/>
    <w:rsid w:val="00976D08"/>
    <w:rPr>
      <w:color w:val="808080"/>
      <w:shd w:val="clear" w:color="auto" w:fill="E6E6E6"/>
    </w:rPr>
  </w:style>
  <w:style w:type="character" w:customStyle="1" w:styleId="UnresolvedMention2">
    <w:name w:val="Unresolved Mention2"/>
    <w:basedOn w:val="DefaultParagraphFont"/>
    <w:uiPriority w:val="99"/>
    <w:semiHidden/>
    <w:unhideWhenUsed/>
    <w:rsid w:val="009B0CE2"/>
    <w:rPr>
      <w:color w:val="808080"/>
      <w:shd w:val="clear" w:color="auto" w:fill="E6E6E6"/>
    </w:rPr>
  </w:style>
  <w:style w:type="character" w:styleId="FollowedHyperlink">
    <w:name w:val="FollowedHyperlink"/>
    <w:basedOn w:val="DefaultParagraphFont"/>
    <w:rsid w:val="00165183"/>
    <w:rPr>
      <w:color w:val="954F72" w:themeColor="followedHyperlink"/>
      <w:u w:val="single"/>
    </w:rPr>
  </w:style>
  <w:style w:type="character" w:customStyle="1" w:styleId="ParaNumChar">
    <w:name w:val="ParaNum Char"/>
    <w:locked/>
    <w:rsid w:val="004A625F"/>
    <w:rPr>
      <w:snapToGrid w:val="0"/>
      <w:kern w:val="28"/>
      <w:sz w:val="22"/>
      <w:szCs w:val="20"/>
    </w:rPr>
  </w:style>
  <w:style w:type="paragraph" w:customStyle="1" w:styleId="Paranum0">
    <w:name w:val="Paranum"/>
    <w:basedOn w:val="Normal"/>
    <w:rsid w:val="00C339AE"/>
    <w:pPr>
      <w:numPr>
        <w:numId w:val="9"/>
      </w:numPr>
      <w:tabs>
        <w:tab w:val="clear" w:pos="1080"/>
      </w:tabs>
      <w:spacing w:after="220"/>
      <w:jc w:val="both"/>
    </w:pPr>
    <w:rPr>
      <w:snapToGrid/>
      <w:kern w:val="0"/>
    </w:rPr>
  </w:style>
  <w:style w:type="paragraph" w:styleId="ListParagraph">
    <w:name w:val="List Paragraph"/>
    <w:basedOn w:val="Normal"/>
    <w:uiPriority w:val="34"/>
    <w:qFormat/>
    <w:rsid w:val="00C339AE"/>
    <w:pPr>
      <w:ind w:left="720"/>
      <w:contextualSpacing/>
    </w:pPr>
  </w:style>
  <w:style w:type="character" w:customStyle="1" w:styleId="UnresolvedMention">
    <w:name w:val="Unresolved Mention"/>
    <w:basedOn w:val="DefaultParagraphFont"/>
    <w:uiPriority w:val="99"/>
    <w:semiHidden/>
    <w:unhideWhenUsed/>
    <w:rsid w:val="006D4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