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8624B6" w:rsidP="00487EEE">
      <w:pPr>
        <w:spacing w:after="120"/>
        <w:jc w:val="right"/>
        <w:rPr>
          <w:b/>
          <w:sz w:val="24"/>
        </w:rPr>
      </w:pPr>
      <w:bookmarkStart w:id="0" w:name="_GoBack"/>
      <w:bookmarkEnd w:id="0"/>
      <w:r w:rsidRPr="008624B6">
        <w:rPr>
          <w:b/>
          <w:sz w:val="24"/>
        </w:rPr>
        <w:t>DA 18-</w:t>
      </w:r>
      <w:r w:rsidR="00452E74">
        <w:rPr>
          <w:b/>
          <w:sz w:val="24"/>
        </w:rPr>
        <w:t>835</w:t>
      </w:r>
    </w:p>
    <w:p w:rsidR="008624B6" w:rsidRPr="008624B6" w:rsidP="00C82B6B">
      <w:pPr>
        <w:jc w:val="right"/>
        <w:rPr>
          <w:b/>
          <w:sz w:val="24"/>
        </w:rPr>
      </w:pPr>
      <w:r w:rsidRPr="008624B6">
        <w:rPr>
          <w:b/>
          <w:sz w:val="24"/>
        </w:rPr>
        <w:t>Aug</w:t>
      </w:r>
      <w:r>
        <w:rPr>
          <w:b/>
          <w:sz w:val="24"/>
        </w:rPr>
        <w:t>ust</w:t>
      </w:r>
      <w:r w:rsidRPr="008624B6">
        <w:rPr>
          <w:b/>
          <w:sz w:val="24"/>
        </w:rPr>
        <w:t xml:space="preserve"> </w:t>
      </w:r>
      <w:r w:rsidRPr="00977F3B" w:rsidR="00452E74">
        <w:rPr>
          <w:b/>
          <w:sz w:val="24"/>
        </w:rPr>
        <w:t>10</w:t>
      </w:r>
      <w:r w:rsidRPr="008624B6">
        <w:rPr>
          <w:b/>
          <w:sz w:val="24"/>
        </w:rPr>
        <w:t>, 2018</w:t>
      </w:r>
    </w:p>
    <w:p w:rsidR="008624B6" w:rsidP="00C82B6B">
      <w:pPr>
        <w:jc w:val="right"/>
        <w:rPr>
          <w:sz w:val="24"/>
        </w:rPr>
      </w:pPr>
    </w:p>
    <w:p w:rsidR="00C134D5" w:rsidP="00F36E31">
      <w:pPr>
        <w:jc w:val="center"/>
        <w:rPr>
          <w:b/>
          <w:caps/>
          <w:szCs w:val="22"/>
        </w:rPr>
      </w:pPr>
      <w:r>
        <w:rPr>
          <w:b/>
          <w:caps/>
          <w:szCs w:val="22"/>
        </w:rPr>
        <w:t xml:space="preserve">WIRELESS TELECOMMUNICATIONS BUREAU </w:t>
      </w:r>
      <w:r w:rsidR="00C876CB">
        <w:rPr>
          <w:b/>
          <w:caps/>
          <w:szCs w:val="22"/>
        </w:rPr>
        <w:t>releases UPDATED LIST OF LICENSES to be offered in AUCTION 102 (24 Gh</w:t>
      </w:r>
      <w:r w:rsidRPr="00C876CB" w:rsidR="00C876CB">
        <w:rPr>
          <w:rFonts w:ascii="Times New Roman Bold" w:hAnsi="Times New Roman Bold"/>
          <w:b/>
          <w:szCs w:val="22"/>
        </w:rPr>
        <w:t>z</w:t>
      </w:r>
      <w:r w:rsidR="00F36E31">
        <w:rPr>
          <w:b/>
          <w:caps/>
          <w:szCs w:val="22"/>
        </w:rPr>
        <w:t xml:space="preserve">); </w:t>
      </w:r>
      <w:r w:rsidR="00C876CB">
        <w:rPr>
          <w:b/>
          <w:caps/>
          <w:szCs w:val="22"/>
        </w:rPr>
        <w:t xml:space="preserve">announces </w:t>
      </w:r>
      <w:r>
        <w:rPr>
          <w:b/>
          <w:caps/>
          <w:szCs w:val="22"/>
        </w:rPr>
        <w:t xml:space="preserve">adjustment to the categories </w:t>
      </w:r>
      <w:r w:rsidR="00F36E31">
        <w:rPr>
          <w:b/>
          <w:caps/>
          <w:szCs w:val="22"/>
        </w:rPr>
        <w:t xml:space="preserve">and number </w:t>
      </w:r>
      <w:r>
        <w:rPr>
          <w:b/>
          <w:caps/>
          <w:szCs w:val="22"/>
        </w:rPr>
        <w:t xml:space="preserve">of generic license blocks </w:t>
      </w:r>
    </w:p>
    <w:p w:rsidR="00C876CB" w:rsidRPr="00C876CB" w:rsidP="00C876CB">
      <w:pPr>
        <w:jc w:val="center"/>
        <w:rPr>
          <w:b/>
          <w:caps/>
          <w:szCs w:val="22"/>
        </w:rPr>
      </w:pPr>
    </w:p>
    <w:p w:rsidR="008624B6" w:rsidRPr="0099013F" w:rsidP="008624B6">
      <w:pPr>
        <w:widowControl/>
        <w:jc w:val="center"/>
        <w:rPr>
          <w:b/>
          <w:szCs w:val="22"/>
        </w:rPr>
      </w:pPr>
      <w:r w:rsidRPr="0099013F">
        <w:rPr>
          <w:b/>
          <w:szCs w:val="22"/>
        </w:rPr>
        <w:t>AU Docket No. 1</w:t>
      </w:r>
      <w:r w:rsidR="00C134D5">
        <w:rPr>
          <w:b/>
          <w:szCs w:val="22"/>
        </w:rPr>
        <w:t>8-85</w:t>
      </w:r>
    </w:p>
    <w:p w:rsidR="008624B6" w:rsidRPr="00464FD4" w:rsidP="008624B6">
      <w:pPr>
        <w:widowControl/>
      </w:pPr>
      <w:bookmarkStart w:id="1" w:name="_Toc431569565"/>
      <w:bookmarkStart w:id="2" w:name="_Toc433271945"/>
      <w:bookmarkStart w:id="3" w:name="_Toc433643983"/>
    </w:p>
    <w:p w:rsidR="00E25E08" w:rsidP="00AD0EF6">
      <w:pPr>
        <w:pStyle w:val="ParaNum"/>
        <w:numPr>
          <w:ilvl w:val="0"/>
          <w:numId w:val="0"/>
        </w:numPr>
        <w:ind w:firstLine="720"/>
      </w:pPr>
      <w:bookmarkEnd w:id="1"/>
      <w:bookmarkEnd w:id="2"/>
      <w:bookmarkEnd w:id="3"/>
      <w:r>
        <w:t>1.</w:t>
      </w:r>
      <w:r>
        <w:tab/>
      </w:r>
      <w:r w:rsidRPr="00753BBC" w:rsidR="0087288C">
        <w:t xml:space="preserve">The Wireless Telecommunications Bureau </w:t>
      </w:r>
      <w:r w:rsidR="00041F05">
        <w:t xml:space="preserve">(Bureau) </w:t>
      </w:r>
      <w:r w:rsidR="00C876CB">
        <w:t xml:space="preserve">today </w:t>
      </w:r>
      <w:r w:rsidR="00AD0EF6">
        <w:t>releases an updated list of licenses to be offered in Auction 102 (24 GHz)</w:t>
      </w:r>
      <w:r w:rsidR="00210A2D">
        <w:t xml:space="preserve"> and announces an adjustment to the categories </w:t>
      </w:r>
      <w:r w:rsidR="00301E46">
        <w:t>and number</w:t>
      </w:r>
      <w:r w:rsidR="006D2117">
        <w:t xml:space="preserve"> </w:t>
      </w:r>
      <w:r w:rsidR="00210A2D">
        <w:t xml:space="preserve">of generic license blocks available for bidding in Auction 102, as a result of </w:t>
      </w:r>
      <w:r w:rsidR="00CE6939">
        <w:t>our grant of license modificat</w:t>
      </w:r>
      <w:r w:rsidR="001C4E08">
        <w:t>i</w:t>
      </w:r>
      <w:r w:rsidR="00CE6939">
        <w:t xml:space="preserve">ons requested by </w:t>
      </w:r>
      <w:r w:rsidR="007C2703">
        <w:t xml:space="preserve">an incumbent </w:t>
      </w:r>
      <w:r w:rsidR="00210A2D">
        <w:t>licensee</w:t>
      </w:r>
      <w:r w:rsidR="00AD0EF6">
        <w:t>.</w:t>
      </w:r>
      <w:r>
        <w:rPr>
          <w:rStyle w:val="FootnoteReference"/>
          <w:szCs w:val="22"/>
        </w:rPr>
        <w:footnoteReference w:id="3"/>
      </w:r>
      <w:r w:rsidR="00AD0EF6">
        <w:t xml:space="preserve">  The updated list </w:t>
      </w:r>
      <w:r w:rsidR="00210A2D">
        <w:t xml:space="preserve">of licenses in Auction 102 </w:t>
      </w:r>
      <w:r w:rsidR="00AD0EF6">
        <w:t>is</w:t>
      </w:r>
      <w:r w:rsidR="00157470">
        <w:t xml:space="preserve"> available as an </w:t>
      </w:r>
      <w:r w:rsidR="00AD0EF6">
        <w:t>“Attachment A”</w:t>
      </w:r>
      <w:r w:rsidR="00157470">
        <w:t xml:space="preserve"> file</w:t>
      </w:r>
      <w:r w:rsidR="00AD0EF6">
        <w:t xml:space="preserve"> at </w:t>
      </w:r>
      <w:r>
        <w:fldChar w:fldCharType="begin"/>
      </w:r>
      <w:r>
        <w:instrText xml:space="preserve"> HYPERLINK "https://www.fcc.gov/auction/102/" </w:instrText>
      </w:r>
      <w:r>
        <w:fldChar w:fldCharType="separate"/>
      </w:r>
      <w:r w:rsidRPr="00C87ACE" w:rsidR="00AD0EF6">
        <w:rPr>
          <w:rStyle w:val="Hyperlink"/>
        </w:rPr>
        <w:t>www.fcc.gov/auction/102/</w:t>
      </w:r>
      <w:r>
        <w:fldChar w:fldCharType="end"/>
      </w:r>
      <w:r w:rsidR="00AD0EF6">
        <w:t>.</w:t>
      </w:r>
    </w:p>
    <w:p w:rsidR="00C37575" w:rsidP="00F36E31">
      <w:pPr>
        <w:pStyle w:val="ParaNum"/>
        <w:numPr>
          <w:ilvl w:val="0"/>
          <w:numId w:val="0"/>
        </w:numPr>
        <w:ind w:firstLine="720"/>
      </w:pPr>
      <w:r>
        <w:t>2.</w:t>
      </w:r>
      <w:r>
        <w:tab/>
      </w:r>
      <w:r w:rsidR="00F36E31">
        <w:t>I</w:t>
      </w:r>
      <w:r w:rsidR="00F44731">
        <w:t xml:space="preserve">n the </w:t>
      </w:r>
      <w:r w:rsidRPr="00F44731" w:rsidR="00F44731">
        <w:rPr>
          <w:i/>
        </w:rPr>
        <w:t>Auctions 101 and 102 Procedures Public Notice</w:t>
      </w:r>
      <w:r w:rsidR="00F44731">
        <w:t xml:space="preserve">, </w:t>
      </w:r>
      <w:r w:rsidR="00F36E31">
        <w:t>the Commission</w:t>
      </w:r>
      <w:r>
        <w:t xml:space="preserve"> noted that </w:t>
      </w:r>
      <w:r w:rsidR="00F36E31">
        <w:t xml:space="preserve">M&amp;M Brothers, LLC (M&amp;M) </w:t>
      </w:r>
      <w:r>
        <w:t xml:space="preserve">had filed applications </w:t>
      </w:r>
      <w:r w:rsidR="00F36E31">
        <w:t xml:space="preserve">to </w:t>
      </w:r>
      <w:r>
        <w:t>modify its 24 GHz licenses</w:t>
      </w:r>
      <w:r>
        <w:rPr>
          <w:szCs w:val="22"/>
        </w:rPr>
        <w:t xml:space="preserve"> in </w:t>
      </w:r>
      <w:r w:rsidRPr="005712E5" w:rsidR="00C04273">
        <w:rPr>
          <w:szCs w:val="22"/>
        </w:rPr>
        <w:t>nine P</w:t>
      </w:r>
      <w:r>
        <w:rPr>
          <w:szCs w:val="22"/>
        </w:rPr>
        <w:t xml:space="preserve">artial </w:t>
      </w:r>
      <w:r w:rsidRPr="005712E5" w:rsidR="00C04273">
        <w:rPr>
          <w:szCs w:val="22"/>
        </w:rPr>
        <w:t>E</w:t>
      </w:r>
      <w:r>
        <w:rPr>
          <w:szCs w:val="22"/>
        </w:rPr>
        <w:t>conomic Areas (PEAs) that</w:t>
      </w:r>
      <w:r w:rsidRPr="005712E5" w:rsidR="00C04273">
        <w:rPr>
          <w:szCs w:val="22"/>
        </w:rPr>
        <w:t>, if granted, would change the number of bidding categories and blocks available in Auction 102</w:t>
      </w:r>
      <w:r>
        <w:rPr>
          <w:szCs w:val="22"/>
        </w:rPr>
        <w:t>.</w:t>
      </w:r>
      <w:r>
        <w:rPr>
          <w:rStyle w:val="FootnoteReference"/>
          <w:szCs w:val="22"/>
        </w:rPr>
        <w:footnoteReference w:id="4"/>
      </w:r>
      <w:r w:rsidR="00301E46">
        <w:rPr>
          <w:szCs w:val="22"/>
        </w:rPr>
        <w:t xml:space="preserve">  T</w:t>
      </w:r>
      <w:r>
        <w:rPr>
          <w:szCs w:val="22"/>
        </w:rPr>
        <w:t xml:space="preserve">he Commission </w:t>
      </w:r>
      <w:r w:rsidRPr="00FA3E0C" w:rsidR="00E34902">
        <w:t>direct</w:t>
      </w:r>
      <w:r w:rsidR="00E34902">
        <w:t>ed the Bureau</w:t>
      </w:r>
      <w:r w:rsidRPr="00FA3E0C" w:rsidR="00E34902">
        <w:t xml:space="preserve">, once </w:t>
      </w:r>
      <w:r w:rsidR="00E34902">
        <w:t>it acted</w:t>
      </w:r>
      <w:r w:rsidRPr="00FA3E0C" w:rsidR="00E34902">
        <w:t xml:space="preserve"> on these applications, to update the list of licenses to be offered in Auction 102 and to adjust the categories </w:t>
      </w:r>
      <w:r w:rsidR="00E34902">
        <w:t xml:space="preserve">and number </w:t>
      </w:r>
      <w:r w:rsidRPr="00FA3E0C" w:rsidR="00E34902">
        <w:t>of generic blocks that will be available in Auction 102, to the extent necessary</w:t>
      </w:r>
      <w:r w:rsidR="00E34902">
        <w:t>.</w:t>
      </w:r>
      <w:r>
        <w:rPr>
          <w:rStyle w:val="FootnoteReference"/>
        </w:rPr>
        <w:footnoteReference w:id="5"/>
      </w:r>
      <w:r w:rsidR="00E34902">
        <w:t xml:space="preserve">  </w:t>
      </w:r>
    </w:p>
    <w:p w:rsidR="00210A2D" w:rsidP="00F36E31">
      <w:pPr>
        <w:pStyle w:val="ParaNum"/>
        <w:numPr>
          <w:ilvl w:val="0"/>
          <w:numId w:val="0"/>
        </w:numPr>
        <w:ind w:firstLine="720"/>
        <w:rPr>
          <w:szCs w:val="22"/>
        </w:rPr>
      </w:pPr>
      <w:r>
        <w:t>3.</w:t>
      </w:r>
      <w:r>
        <w:tab/>
      </w:r>
      <w:r w:rsidR="00E34902">
        <w:t xml:space="preserve">On August </w:t>
      </w:r>
      <w:r w:rsidRPr="000D16AB" w:rsidR="00452E74">
        <w:t>9</w:t>
      </w:r>
      <w:r w:rsidR="00E34902">
        <w:t xml:space="preserve">, </w:t>
      </w:r>
      <w:r>
        <w:t xml:space="preserve">2018, </w:t>
      </w:r>
      <w:r w:rsidR="00E34902">
        <w:t>the Commission granted M&amp;M’s applications.</w:t>
      </w:r>
      <w:r>
        <w:rPr>
          <w:rStyle w:val="FootnoteReference"/>
        </w:rPr>
        <w:footnoteReference w:id="6"/>
      </w:r>
      <w:r w:rsidR="00E34902">
        <w:t xml:space="preserve">  </w:t>
      </w:r>
      <w:r w:rsidR="00684D9C">
        <w:t xml:space="preserve">Consistent with the Commission’s adopted procedures for Auction </w:t>
      </w:r>
      <w:r w:rsidR="007C2703">
        <w:t>102, in one PEA, one of the blocks in the upper 24 GHz band will have reduced bandwidth (75 megahertz).  That block will be offered in an additional category, for a total of three categories of blocks in that PEA.</w:t>
      </w:r>
      <w:r>
        <w:rPr>
          <w:rStyle w:val="FootnoteReference"/>
        </w:rPr>
        <w:footnoteReference w:id="7"/>
      </w:r>
      <w:r w:rsidR="007C2703">
        <w:t xml:space="preserve">  In three other PEAs, one fewer block will be available in the upper 24 GHz band.  Accordingly</w:t>
      </w:r>
      <w:r>
        <w:t xml:space="preserve">, </w:t>
      </w:r>
      <w:r w:rsidR="00F44731">
        <w:t xml:space="preserve">the clock phase of Auction 102 </w:t>
      </w:r>
      <w:r w:rsidR="00325B13">
        <w:rPr>
          <w:szCs w:val="22"/>
        </w:rPr>
        <w:t xml:space="preserve">will allow </w:t>
      </w:r>
      <w:r w:rsidRPr="005712E5" w:rsidR="00F44731">
        <w:rPr>
          <w:szCs w:val="22"/>
        </w:rPr>
        <w:t xml:space="preserve">bidding for </w:t>
      </w:r>
      <w:r w:rsidR="00684D9C">
        <w:rPr>
          <w:szCs w:val="22"/>
        </w:rPr>
        <w:t xml:space="preserve">two </w:t>
      </w:r>
      <w:r w:rsidRPr="005712E5" w:rsidR="00F44731">
        <w:rPr>
          <w:szCs w:val="22"/>
        </w:rPr>
        <w:t xml:space="preserve">generic </w:t>
      </w:r>
      <w:r w:rsidR="00A44BBC">
        <w:rPr>
          <w:szCs w:val="22"/>
        </w:rPr>
        <w:t>100</w:t>
      </w:r>
      <w:r w:rsidR="003D439C">
        <w:rPr>
          <w:szCs w:val="22"/>
        </w:rPr>
        <w:t>-</w:t>
      </w:r>
      <w:r>
        <w:rPr>
          <w:szCs w:val="22"/>
        </w:rPr>
        <w:t>megahertz</w:t>
      </w:r>
      <w:r w:rsidR="00A44BBC">
        <w:rPr>
          <w:szCs w:val="22"/>
        </w:rPr>
        <w:t xml:space="preserve"> </w:t>
      </w:r>
      <w:r w:rsidRPr="005712E5" w:rsidR="00F44731">
        <w:rPr>
          <w:szCs w:val="22"/>
        </w:rPr>
        <w:t>blocks in</w:t>
      </w:r>
      <w:r w:rsidR="00684D9C">
        <w:rPr>
          <w:szCs w:val="22"/>
        </w:rPr>
        <w:t xml:space="preserve"> the lower 24 GHz segment (</w:t>
      </w:r>
      <w:r w:rsidR="007C2703">
        <w:rPr>
          <w:szCs w:val="22"/>
        </w:rPr>
        <w:t>Category L) in every PEA and five generic 100-megahertz blocks in the upper 24 GHz segment (Category U)</w:t>
      </w:r>
      <w:bookmarkStart w:id="5" w:name="_Hlk521415769"/>
      <w:r w:rsidR="007C2703">
        <w:rPr>
          <w:szCs w:val="22"/>
        </w:rPr>
        <w:t xml:space="preserve"> </w:t>
      </w:r>
      <w:r w:rsidRPr="005712E5" w:rsidR="007C2703">
        <w:rPr>
          <w:szCs w:val="22"/>
        </w:rPr>
        <w:t xml:space="preserve">in most PEAs (i.e., those </w:t>
      </w:r>
      <w:r w:rsidRPr="005712E5" w:rsidR="007C2703">
        <w:rPr>
          <w:szCs w:val="22"/>
        </w:rPr>
        <w:t>without an incumbent licensee).</w:t>
      </w:r>
      <w:bookmarkEnd w:id="5"/>
      <w:r w:rsidR="007C2703">
        <w:rPr>
          <w:szCs w:val="22"/>
        </w:rPr>
        <w:t xml:space="preserve">  In three PEAs, four 100-megahertz Category U blocks will be available instead of five.</w:t>
      </w:r>
      <w:r>
        <w:rPr>
          <w:rStyle w:val="FootnoteReference"/>
          <w:szCs w:val="22"/>
        </w:rPr>
        <w:footnoteReference w:id="8"/>
      </w:r>
      <w:r w:rsidR="007C2703">
        <w:rPr>
          <w:szCs w:val="22"/>
        </w:rPr>
        <w:t xml:space="preserve">  In one other PEA, four 100-megahertz Category U blocks will be available plus one 75-megahertz block in the upper 24 GHz segment (Category UI).</w:t>
      </w:r>
      <w:r>
        <w:rPr>
          <w:rStyle w:val="FootnoteReference"/>
          <w:szCs w:val="22"/>
        </w:rPr>
        <w:footnoteReference w:id="9"/>
      </w:r>
      <w:r w:rsidR="00565262">
        <w:rPr>
          <w:szCs w:val="22"/>
        </w:rPr>
        <w:t xml:space="preserve">   </w:t>
      </w:r>
    </w:p>
    <w:p w:rsidR="00A44BBC" w:rsidP="00A44BBC">
      <w:pPr>
        <w:pStyle w:val="ParaNum"/>
        <w:numPr>
          <w:ilvl w:val="0"/>
          <w:numId w:val="0"/>
        </w:numPr>
        <w:ind w:firstLine="720"/>
        <w:rPr>
          <w:szCs w:val="22"/>
        </w:rPr>
      </w:pPr>
      <w:r>
        <w:t>4.</w:t>
      </w:r>
      <w:r>
        <w:tab/>
      </w:r>
      <w:r>
        <w:t>For further information concerning t</w:t>
      </w:r>
      <w:r w:rsidR="000F0FB8">
        <w:t>he licenses available in Auction 102</w:t>
      </w:r>
      <w:r>
        <w:t xml:space="preserve">, please email </w:t>
      </w:r>
      <w:r>
        <w:fldChar w:fldCharType="begin"/>
      </w:r>
      <w:r>
        <w:instrText xml:space="preserve"> HYPERLINK "mailto:auction102@fcc.gov" </w:instrText>
      </w:r>
      <w:r>
        <w:fldChar w:fldCharType="separate"/>
      </w:r>
      <w:r w:rsidRPr="00D27199" w:rsidR="000F0FB8">
        <w:rPr>
          <w:rStyle w:val="Hyperlink"/>
        </w:rPr>
        <w:t>auction102@fcc.gov</w:t>
      </w:r>
      <w:r>
        <w:fldChar w:fldCharType="end"/>
      </w:r>
      <w:r>
        <w:t xml:space="preserve"> or </w:t>
      </w:r>
      <w:r w:rsidRPr="00BB3C4F">
        <w:rPr>
          <w:szCs w:val="22"/>
        </w:rPr>
        <w:t xml:space="preserve">contact </w:t>
      </w:r>
      <w:r w:rsidR="000F0FB8">
        <w:rPr>
          <w:szCs w:val="22"/>
        </w:rPr>
        <w:t>Erik Beith</w:t>
      </w:r>
      <w:r w:rsidR="00A2377A">
        <w:rPr>
          <w:szCs w:val="22"/>
        </w:rPr>
        <w:t xml:space="preserve"> or Kathryn Hinton</w:t>
      </w:r>
      <w:r w:rsidRPr="00BB3C4F">
        <w:rPr>
          <w:szCs w:val="22"/>
        </w:rPr>
        <w:t>, Auctions and Spectrum Access Division, Wireless Telecommunications Bureau, at (202) 418-0660.</w:t>
      </w:r>
    </w:p>
    <w:p w:rsidR="00684D9C" w:rsidRPr="00A44BBC" w:rsidP="00A44BBC">
      <w:pPr>
        <w:pStyle w:val="ParaNum"/>
        <w:numPr>
          <w:ilvl w:val="0"/>
          <w:numId w:val="0"/>
        </w:numPr>
        <w:ind w:firstLine="720"/>
        <w:rPr>
          <w:szCs w:val="22"/>
        </w:rPr>
      </w:pPr>
    </w:p>
    <w:p w:rsidR="008257A6" w:rsidRPr="003E03C7" w:rsidP="00210A2D">
      <w:pPr>
        <w:pStyle w:val="ParaNum"/>
        <w:numPr>
          <w:ilvl w:val="0"/>
          <w:numId w:val="0"/>
        </w:numPr>
        <w:jc w:val="center"/>
        <w:rPr>
          <w:b/>
          <w:bCs/>
          <w:szCs w:val="22"/>
        </w:rPr>
      </w:pPr>
      <w:r w:rsidRPr="00067878">
        <w:rPr>
          <w:b/>
          <w:bCs/>
          <w:szCs w:val="22"/>
        </w:rPr>
        <w:noBreakHyphen/>
        <w:t xml:space="preserve"> </w:t>
      </w:r>
      <w:r w:rsidRPr="00422465">
        <w:rPr>
          <w:b/>
          <w:szCs w:val="22"/>
        </w:rPr>
        <w:t xml:space="preserve">FCC </w:t>
      </w:r>
      <w:r w:rsidRPr="00067878">
        <w:rPr>
          <w:b/>
          <w:bCs/>
          <w:szCs w:val="22"/>
        </w:rPr>
        <w:noBreakHyphen/>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P="0055614C">
    <w:pPr>
      <w:pStyle w:val="Footer"/>
      <w:framePr w:wrap="around" w:vAnchor="text" w:hAnchor="margin" w:xAlign="center" w:y="1"/>
    </w:pPr>
    <w:r>
      <w:fldChar w:fldCharType="begin"/>
    </w:r>
    <w:r>
      <w:instrText xml:space="preserve">PAGE  </w:instrText>
    </w:r>
    <w:r>
      <w:fldChar w:fldCharType="separate"/>
    </w:r>
    <w:r>
      <w:fldChar w:fldCharType="end"/>
    </w:r>
  </w:p>
  <w:p w:rsidR="008728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87288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RPr="000E0F59">
    <w:pPr>
      <w:pStyle w:val="Footer"/>
      <w:tabs>
        <w:tab w:val="clear" w:pos="8640"/>
      </w:tabs>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5A3D">
      <w:r>
        <w:separator/>
      </w:r>
    </w:p>
  </w:footnote>
  <w:footnote w:type="continuationSeparator" w:id="1">
    <w:p w:rsidR="00F75A3D">
      <w:pPr>
        <w:rPr>
          <w:sz w:val="20"/>
        </w:rPr>
      </w:pPr>
      <w:r>
        <w:rPr>
          <w:sz w:val="20"/>
        </w:rPr>
        <w:t xml:space="preserve">(Continued from previous page)  </w:t>
      </w:r>
      <w:r>
        <w:rPr>
          <w:sz w:val="20"/>
        </w:rPr>
        <w:separator/>
      </w:r>
    </w:p>
  </w:footnote>
  <w:footnote w:type="continuationNotice" w:id="2">
    <w:p w:rsidR="00F75A3D">
      <w:pPr>
        <w:rPr>
          <w:sz w:val="20"/>
        </w:rPr>
      </w:pPr>
    </w:p>
  </w:footnote>
  <w:footnote w:id="3">
    <w:p w:rsidR="00157470" w:rsidRPr="00997384" w:rsidP="00157470">
      <w:pPr>
        <w:pStyle w:val="FootnoteText"/>
        <w:rPr>
          <w:i/>
        </w:rPr>
      </w:pPr>
      <w:r w:rsidRPr="006A6E06">
        <w:rPr>
          <w:rStyle w:val="FootnoteReference"/>
        </w:rPr>
        <w:footnoteRef/>
      </w:r>
      <w:r w:rsidR="00C04273">
        <w:t xml:space="preserve"> </w:t>
      </w:r>
      <w:r w:rsidRPr="00301E46" w:rsidR="00301E46">
        <w:rPr>
          <w:i/>
        </w:rPr>
        <w:t xml:space="preserve">See </w:t>
      </w:r>
      <w:r w:rsidR="00E14118">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943AA1" w:rsidR="00E14118">
        <w:t xml:space="preserve">, </w:t>
      </w:r>
      <w:r w:rsidRPr="00F062A7" w:rsidR="00E14118">
        <w:t xml:space="preserve">Public </w:t>
      </w:r>
      <w:r w:rsidRPr="00BC22C2" w:rsidR="00E14118">
        <w:t xml:space="preserve">Notice, </w:t>
      </w:r>
      <w:r w:rsidR="00E14118">
        <w:t>FCC 18-109 at 6,</w:t>
      </w:r>
      <w:r w:rsidR="00723463">
        <w:t xml:space="preserve"> 72, </w:t>
      </w:r>
      <w:r w:rsidR="00E14118">
        <w:t>para</w:t>
      </w:r>
      <w:r w:rsidR="00723463">
        <w:t>s</w:t>
      </w:r>
      <w:r w:rsidR="00E14118">
        <w:t>. 11</w:t>
      </w:r>
      <w:r w:rsidR="00723463">
        <w:t>, 220</w:t>
      </w:r>
      <w:r w:rsidR="00E14118">
        <w:t xml:space="preserve"> </w:t>
      </w:r>
      <w:r w:rsidRPr="00BC22C2" w:rsidR="00E14118">
        <w:t>(</w:t>
      </w:r>
      <w:r w:rsidR="00E14118">
        <w:t xml:space="preserve">Aug. 3, </w:t>
      </w:r>
      <w:r w:rsidRPr="00BC22C2" w:rsidR="00E14118">
        <w:t>2018) (</w:t>
      </w:r>
      <w:r w:rsidRPr="00BC22C2" w:rsidR="00E14118">
        <w:rPr>
          <w:i/>
        </w:rPr>
        <w:t>Auction</w:t>
      </w:r>
      <w:r w:rsidR="00E14118">
        <w:rPr>
          <w:i/>
        </w:rPr>
        <w:t>s 101 and 102</w:t>
      </w:r>
      <w:r w:rsidRPr="004C2D50" w:rsidR="00E14118">
        <w:rPr>
          <w:i/>
        </w:rPr>
        <w:t xml:space="preserve"> Procedures Public Notice</w:t>
      </w:r>
      <w:r w:rsidR="00833ADF">
        <w:t>).</w:t>
      </w:r>
    </w:p>
  </w:footnote>
  <w:footnote w:id="4">
    <w:p w:rsidR="00AD7A98">
      <w:pPr>
        <w:pStyle w:val="FootnoteText"/>
      </w:pPr>
      <w:r>
        <w:rPr>
          <w:rStyle w:val="FootnoteReference"/>
        </w:rPr>
        <w:footnoteRef/>
      </w:r>
      <w:r>
        <w:t xml:space="preserve"> </w:t>
      </w:r>
      <w:r w:rsidRPr="00AD7A98">
        <w:rPr>
          <w:i/>
        </w:rPr>
        <w:t>Id.</w:t>
      </w:r>
      <w:r w:rsidRPr="00DB0318" w:rsidR="00DB0318">
        <w:t xml:space="preserve"> </w:t>
      </w:r>
      <w:r w:rsidR="006B107A">
        <w:t xml:space="preserve">at </w:t>
      </w:r>
      <w:r w:rsidR="00D37D68">
        <w:t>6, 72, paras. 11, 220</w:t>
      </w:r>
      <w:r w:rsidR="006B107A">
        <w:t>.</w:t>
      </w:r>
      <w:r w:rsidR="00DB0318">
        <w:t xml:space="preserve"> </w:t>
      </w:r>
      <w:r w:rsidR="00D37D68">
        <w:t xml:space="preserve"> </w:t>
      </w:r>
      <w:r w:rsidRPr="00AB10EE" w:rsidR="00DB0318">
        <w:t xml:space="preserve">In </w:t>
      </w:r>
      <w:r w:rsidR="00DB0318">
        <w:t>these</w:t>
      </w:r>
      <w:r w:rsidRPr="00AB10EE" w:rsidR="00DB0318">
        <w:t xml:space="preserve"> applications</w:t>
      </w:r>
      <w:r w:rsidR="00DB0318">
        <w:t xml:space="preserve"> and subsequent amendments, M&amp;M requested</w:t>
      </w:r>
      <w:r w:rsidRPr="00AB10EE" w:rsidR="00DB0318">
        <w:t xml:space="preserve"> the following modifications</w:t>
      </w:r>
      <w:r w:rsidR="00DB0318">
        <w:t>:</w:t>
      </w:r>
      <w:r w:rsidRPr="00AB10EE" w:rsidR="00DB0318">
        <w:t xml:space="preserve">  </w:t>
      </w:r>
      <w:r w:rsidR="00DB0318">
        <w:t xml:space="preserve">(1) </w:t>
      </w:r>
      <w:r w:rsidRPr="00AB10EE" w:rsidR="00DB0318">
        <w:t xml:space="preserve">increase holdings to 100 megahertz (all in </w:t>
      </w:r>
      <w:r w:rsidR="00DB0318">
        <w:t>B</w:t>
      </w:r>
      <w:r w:rsidRPr="00AB10EE" w:rsidR="00DB0318">
        <w:t xml:space="preserve">lock </w:t>
      </w:r>
      <w:r w:rsidR="00DB0318">
        <w:t>G</w:t>
      </w:r>
      <w:r w:rsidRPr="00AB10EE" w:rsidR="00DB0318">
        <w:t xml:space="preserve">) in PEA 15 - Phoenix, AZ, PEA 26 - Las Vegas, NV, and PEA 76 - Reno, NV; </w:t>
      </w:r>
      <w:r w:rsidR="00DB0318">
        <w:t xml:space="preserve">(2) </w:t>
      </w:r>
      <w:r w:rsidRPr="00AB10EE" w:rsidR="00DB0318">
        <w:t xml:space="preserve">reduce holdings to 25 megahertz in PEA 75 - Albuquerque, NM; and </w:t>
      </w:r>
      <w:r w:rsidR="00DB0318">
        <w:t>(3) relinquish</w:t>
      </w:r>
      <w:r w:rsidRPr="00AB10EE" w:rsidR="00DB0318">
        <w:t xml:space="preserve"> all spectrum holdings in PEA 126 - Casa Grande, AZ, PEA 229 - Saint George, UT, PEA 285 - Gallup, NM, PEA 323 - Socorro, NM, and PEA 375 - Deming, NM.</w:t>
      </w:r>
      <w:r w:rsidR="00DB0318">
        <w:t xml:space="preserve">  </w:t>
      </w:r>
      <w:r w:rsidRPr="00D37D68" w:rsidR="006B107A">
        <w:rPr>
          <w:i/>
        </w:rPr>
        <w:t>See</w:t>
      </w:r>
      <w:r w:rsidR="006B107A">
        <w:t xml:space="preserve"> </w:t>
      </w:r>
      <w:r w:rsidR="006B107A">
        <w:rPr>
          <w:i/>
        </w:rPr>
        <w:t>i</w:t>
      </w:r>
      <w:r w:rsidRPr="00DB0318" w:rsidR="00DB0318">
        <w:rPr>
          <w:i/>
        </w:rPr>
        <w:t>d.</w:t>
      </w:r>
      <w:r w:rsidR="00DB0318">
        <w:t xml:space="preserve"> at 6, 72, paras. 11 n.24, 220 n.416.</w:t>
      </w:r>
    </w:p>
  </w:footnote>
  <w:footnote w:id="5">
    <w:p w:rsidR="00AD7A98">
      <w:pPr>
        <w:pStyle w:val="FootnoteText"/>
      </w:pPr>
      <w:r>
        <w:rPr>
          <w:rStyle w:val="FootnoteReference"/>
        </w:rPr>
        <w:footnoteRef/>
      </w:r>
      <w:r>
        <w:t xml:space="preserve"> </w:t>
      </w:r>
      <w:r w:rsidRPr="00AD7A98">
        <w:rPr>
          <w:i/>
        </w:rPr>
        <w:t>Id.</w:t>
      </w:r>
      <w:r>
        <w:rPr>
          <w:i/>
        </w:rPr>
        <w:t xml:space="preserve"> </w:t>
      </w:r>
      <w:r w:rsidRPr="00123255" w:rsidR="00123255">
        <w:t>at 6, 72, paras. 11, 220.</w:t>
      </w:r>
      <w:r w:rsidR="00123255">
        <w:t xml:space="preserve">  </w:t>
      </w:r>
    </w:p>
  </w:footnote>
  <w:footnote w:id="6">
    <w:p w:rsidR="00123255" w:rsidRPr="000D2CD0" w:rsidP="000D2CD0">
      <w:pPr>
        <w:pStyle w:val="FootnoteText"/>
        <w:rPr>
          <w:bCs/>
        </w:rPr>
      </w:pPr>
      <w:r>
        <w:rPr>
          <w:rStyle w:val="FootnoteReference"/>
        </w:rPr>
        <w:footnoteRef/>
      </w:r>
      <w:r>
        <w:t xml:space="preserve"> </w:t>
      </w:r>
      <w:bookmarkStart w:id="4" w:name="_Hlk521582739"/>
      <w:r w:rsidRPr="00123255">
        <w:rPr>
          <w:i/>
        </w:rPr>
        <w:t xml:space="preserve">See </w:t>
      </w:r>
      <w:r w:rsidR="000D16AB">
        <w:t xml:space="preserve">Commission’s Universal Licensing System </w:t>
      </w:r>
      <w:r w:rsidR="007D147B">
        <w:t>File No</w:t>
      </w:r>
      <w:r w:rsidR="000D2CD0">
        <w:t>s</w:t>
      </w:r>
      <w:r w:rsidR="007D147B">
        <w:t xml:space="preserve">. </w:t>
      </w:r>
      <w:r w:rsidRPr="000D2CD0" w:rsidR="009B2C28">
        <w:rPr>
          <w:bCs/>
        </w:rPr>
        <w:t>0008271002</w:t>
      </w:r>
      <w:r w:rsidR="000D2CD0">
        <w:rPr>
          <w:bCs/>
        </w:rPr>
        <w:t xml:space="preserve">, </w:t>
      </w:r>
      <w:r w:rsidRPr="000D2CD0" w:rsidR="009B2C28">
        <w:rPr>
          <w:bCs/>
        </w:rPr>
        <w:t>0008271003</w:t>
      </w:r>
      <w:r w:rsidR="000D2CD0">
        <w:rPr>
          <w:bCs/>
        </w:rPr>
        <w:t xml:space="preserve">, </w:t>
      </w:r>
      <w:r w:rsidRPr="000D2CD0" w:rsidR="009B2C28">
        <w:rPr>
          <w:bCs/>
        </w:rPr>
        <w:t>0008271006</w:t>
      </w:r>
      <w:r w:rsidR="000D2CD0">
        <w:rPr>
          <w:bCs/>
        </w:rPr>
        <w:t xml:space="preserve">, </w:t>
      </w:r>
      <w:r w:rsidRPr="000D2CD0" w:rsidR="009B2C28">
        <w:rPr>
          <w:bCs/>
        </w:rPr>
        <w:t>0008271022</w:t>
      </w:r>
      <w:r w:rsidR="000D2CD0">
        <w:rPr>
          <w:bCs/>
        </w:rPr>
        <w:t xml:space="preserve"> (</w:t>
      </w:r>
      <w:r w:rsidR="007C2703">
        <w:rPr>
          <w:bCs/>
        </w:rPr>
        <w:t>g</w:t>
      </w:r>
      <w:r w:rsidR="00452E74">
        <w:rPr>
          <w:bCs/>
        </w:rPr>
        <w:t>ranted Aug. 9</w:t>
      </w:r>
      <w:r w:rsidR="000D2CD0">
        <w:rPr>
          <w:bCs/>
        </w:rPr>
        <w:t>, 2018).</w:t>
      </w:r>
      <w:bookmarkEnd w:id="4"/>
    </w:p>
  </w:footnote>
  <w:footnote w:id="7">
    <w:p w:rsidR="007C2703" w:rsidP="007C2703">
      <w:pPr>
        <w:pStyle w:val="FootnoteText"/>
      </w:pPr>
      <w:r>
        <w:rPr>
          <w:rStyle w:val="FootnoteReference"/>
        </w:rPr>
        <w:footnoteRef/>
      </w:r>
      <w:r>
        <w:t xml:space="preserve"> </w:t>
      </w:r>
      <w:r w:rsidRPr="00123255">
        <w:rPr>
          <w:i/>
        </w:rPr>
        <w:t>See Auctions 101 and 102 Procedures Public Notice</w:t>
      </w:r>
      <w:r>
        <w:t xml:space="preserve"> at 71-72, para. 220 (adopting proposal to offer reduced-bandwidth block or blocks in Auction 102).</w:t>
      </w:r>
    </w:p>
  </w:footnote>
  <w:footnote w:id="8">
    <w:p w:rsidR="007C2703" w:rsidRPr="0044543D" w:rsidP="007C2703">
      <w:pPr>
        <w:pStyle w:val="FootnoteText"/>
      </w:pPr>
      <w:r>
        <w:rPr>
          <w:rStyle w:val="FootnoteReference"/>
        </w:rPr>
        <w:footnoteRef/>
      </w:r>
      <w:r>
        <w:t xml:space="preserve"> </w:t>
      </w:r>
      <w:r>
        <w:rPr>
          <w:i/>
        </w:rPr>
        <w:t>Id.</w:t>
      </w:r>
      <w:r w:rsidRPr="009431C9">
        <w:t xml:space="preserve"> at </w:t>
      </w:r>
      <w:r>
        <w:t>71, para. 217</w:t>
      </w:r>
      <w:r w:rsidR="009B2C28">
        <w:t>;</w:t>
      </w:r>
      <w:r>
        <w:t xml:space="preserve"> </w:t>
      </w:r>
      <w:r w:rsidR="009B2C28">
        <w:rPr>
          <w:i/>
        </w:rPr>
        <w:t>s</w:t>
      </w:r>
      <w:r w:rsidRPr="0044543D">
        <w:rPr>
          <w:i/>
        </w:rPr>
        <w:t>ee</w:t>
      </w:r>
      <w:r>
        <w:rPr>
          <w:i/>
        </w:rPr>
        <w:t xml:space="preserve"> also</w:t>
      </w:r>
      <w:r w:rsidRPr="0044543D">
        <w:rPr>
          <w:i/>
        </w:rPr>
        <w:t xml:space="preserve"> </w:t>
      </w:r>
      <w:r>
        <w:rPr>
          <w:i/>
        </w:rPr>
        <w:t>id.</w:t>
      </w:r>
      <w:r>
        <w:t xml:space="preserve"> at 71-72, para. 220 &amp; n.416.  Additional information is available in the “Attachment A” files on the Auction 102 website.</w:t>
      </w:r>
    </w:p>
  </w:footnote>
  <w:footnote w:id="9">
    <w:p w:rsidR="00A44BBC">
      <w:pPr>
        <w:pStyle w:val="FootnoteText"/>
      </w:pPr>
      <w:r>
        <w:rPr>
          <w:rStyle w:val="FootnoteReference"/>
        </w:rPr>
        <w:footnoteRef/>
      </w:r>
      <w:r w:rsidR="00AA0670">
        <w:t xml:space="preserve"> </w:t>
      </w:r>
      <w:r w:rsidR="00AB63D2">
        <w:t>Th</w:t>
      </w:r>
      <w:r w:rsidR="00FF7950">
        <w:t xml:space="preserve">e </w:t>
      </w:r>
      <w:r w:rsidR="003D439C">
        <w:t>75-megahertz</w:t>
      </w:r>
      <w:r w:rsidR="00BC69DA">
        <w:t xml:space="preserve"> </w:t>
      </w:r>
      <w:r w:rsidR="00A2377A">
        <w:rPr>
          <w:szCs w:val="22"/>
        </w:rPr>
        <w:t>block (25.150–25.225 GHz) lies within B</w:t>
      </w:r>
      <w:r w:rsidR="000F0FB8">
        <w:rPr>
          <w:szCs w:val="22"/>
        </w:rPr>
        <w:t xml:space="preserve">lock </w:t>
      </w:r>
      <w:r w:rsidR="00A2377A">
        <w:rPr>
          <w:szCs w:val="22"/>
        </w:rPr>
        <w:t>G</w:t>
      </w:r>
      <w:r w:rsidR="000F1CBE">
        <w:rPr>
          <w:szCs w:val="22"/>
        </w:rPr>
        <w:t xml:space="preserve"> </w:t>
      </w:r>
      <w:r>
        <w:rPr>
          <w:szCs w:val="22"/>
        </w:rPr>
        <w:t>in PEA 75 – Albuquerque, NM.</w:t>
      </w:r>
      <w:r w:rsidR="00AB63D2">
        <w:rPr>
          <w:szCs w:val="22"/>
        </w:rPr>
        <w:t xml:space="preserve">  This</w:t>
      </w:r>
      <w:r w:rsidR="000F0FB8">
        <w:rPr>
          <w:szCs w:val="22"/>
        </w:rPr>
        <w:t xml:space="preserve"> </w:t>
      </w:r>
      <w:r w:rsidR="000F0FB8">
        <w:t>PEA</w:t>
      </w:r>
      <w:r w:rsidR="00AB63D2">
        <w:t xml:space="preserve"> </w:t>
      </w:r>
      <w:r w:rsidR="000F0FB8">
        <w:t>is</w:t>
      </w:r>
      <w:r w:rsidRPr="00D764A7" w:rsidR="00AB63D2">
        <w:t xml:space="preserve"> noted with an asterisk in </w:t>
      </w:r>
      <w:r w:rsidR="00FF7950">
        <w:t xml:space="preserve">the </w:t>
      </w:r>
      <w:r w:rsidRPr="00D764A7" w:rsidR="00AB63D2">
        <w:t>Attachment A</w:t>
      </w:r>
      <w:r w:rsidR="00FF7950">
        <w:t xml:space="preserve"> file</w:t>
      </w:r>
      <w:r w:rsidR="000F0FB8">
        <w:t>.</w:t>
      </w:r>
      <w:r w:rsidR="00AA0670">
        <w:t xml:space="preserve">  </w:t>
      </w:r>
      <w:r w:rsidRPr="000F0FB8" w:rsidR="00AA0670">
        <w:rPr>
          <w:i/>
        </w:rPr>
        <w:t xml:space="preserve">See </w:t>
      </w:r>
      <w:r w:rsidR="00AA0670">
        <w:rPr>
          <w:i/>
        </w:rPr>
        <w:t>id.</w:t>
      </w:r>
      <w:r w:rsidR="00AA0670">
        <w:t xml:space="preserve"> at 72, para. 220 (“[</w:t>
      </w:r>
      <w:r w:rsidR="00AA0670">
        <w:rPr>
          <w:szCs w:val="22"/>
        </w:rPr>
        <w:t>I]</w:t>
      </w:r>
      <w:r w:rsidRPr="005712E5" w:rsidR="00AA0670">
        <w:rPr>
          <w:szCs w:val="22"/>
        </w:rPr>
        <w:t>f M&amp;M’s proposed license modification is granted, we would auction the remaining 75 megahertz in PEA 75 - Albuquerque, NM, resulting in one additional category in the upper band, for a total of three categories</w:t>
      </w:r>
      <w:r w:rsidR="00AA0670">
        <w:rPr>
          <w:szCs w:val="22"/>
        </w:rPr>
        <w:t>.”)</w:t>
      </w:r>
      <w:r w:rsidR="00AA067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RPr="00274975" w:rsidP="00692AC6">
    <w:pPr>
      <w:pStyle w:val="Header"/>
      <w:rPr>
        <w:rFonts w:ascii="Times New Roman" w:hAnsi="Times New Roman" w:cs="Times New Roman"/>
        <w:sz w:val="22"/>
        <w:szCs w:val="22"/>
      </w:rPr>
    </w:pPr>
    <w:r w:rsidRPr="00274975">
      <w:rPr>
        <w:rFonts w:ascii="Times New Roman" w:hAnsi="Times New Roman" w:cs="Times New Roman"/>
        <w:sz w:val="22"/>
        <w:szCs w:val="22"/>
      </w:rPr>
      <w:tab/>
      <w:t>Federal Communications Commission</w:t>
    </w:r>
    <w:r w:rsidRPr="00274975">
      <w:rPr>
        <w:rFonts w:ascii="Times New Roman" w:hAnsi="Times New Roman" w:cs="Times New Roman"/>
        <w:sz w:val="22"/>
        <w:szCs w:val="22"/>
      </w:rPr>
      <w:tab/>
    </w:r>
    <w:r w:rsidR="00452E74">
      <w:rPr>
        <w:rFonts w:ascii="Times New Roman" w:hAnsi="Times New Roman" w:cs="Times New Roman"/>
        <w:sz w:val="22"/>
        <w:szCs w:val="22"/>
      </w:rPr>
      <w:t xml:space="preserve">DA </w:t>
    </w:r>
    <w:r w:rsidR="00274975">
      <w:rPr>
        <w:rFonts w:ascii="Times New Roman" w:hAnsi="Times New Roman" w:cs="Times New Roman"/>
        <w:sz w:val="22"/>
        <w:szCs w:val="22"/>
      </w:rPr>
      <w:t>18-</w:t>
    </w:r>
    <w:r w:rsidR="00452E74">
      <w:rPr>
        <w:rFonts w:ascii="Times New Roman" w:hAnsi="Times New Roman" w:cs="Times New Roman"/>
        <w:sz w:val="22"/>
        <w:szCs w:val="22"/>
      </w:rPr>
      <w:t>835</w:t>
    </w:r>
  </w:p>
  <w:p w:rsidR="0087288C" w:rsidRPr="00274975">
    <w:pPr>
      <w:tabs>
        <w:tab w:val="left" w:pos="-720"/>
      </w:tabs>
      <w:suppressAutoHyphens/>
      <w:spacing w:line="19" w:lineRule="exact"/>
      <w:rPr>
        <w:spacing w:val="-2"/>
        <w:szCs w:val="22"/>
      </w:rPr>
    </w:pPr>
    <w:r w:rsidRPr="00274975">
      <w:rPr>
        <w:noProof/>
        <w:snapToGrid/>
        <w:szCs w:val="22"/>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7288C" w:rsidRPr="00274975">
    <w:pPr>
      <w:spacing w:after="389" w:line="100" w:lineRule="exac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288C" w:rsidRPr="00837C62" w:rsidP="003E03C7">
    <w:pPr>
      <w:pStyle w:val="Header"/>
      <w:ind w:firstLine="0"/>
    </w:pPr>
    <w:r>
      <w:rPr>
        <w:noProof/>
      </w:rPr>
      <w:drawing>
        <wp:inline distT="0" distB="0" distL="0" distR="0">
          <wp:extent cx="530225" cy="530225"/>
          <wp:effectExtent l="0" t="0" r="3175" b="3175"/>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inline>
      </w:drawing>
    </w:r>
    <w:r>
      <w:t xml:space="preserve">  </w:t>
    </w:r>
    <w:r w:rsidRPr="00837C62">
      <w:t>PUBLIC NOTICE</w:t>
    </w:r>
  </w:p>
  <w:p w:rsidR="0087288C" w:rsidP="00692AC6">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7288C" w:rsidP="00C82B6B">
                          <w:pPr>
                            <w:rPr>
                              <w:rFonts w:ascii="Arial" w:hAnsi="Arial"/>
                              <w:b/>
                            </w:rPr>
                          </w:pPr>
                          <w:r>
                            <w:rPr>
                              <w:rFonts w:ascii="Arial" w:hAnsi="Arial"/>
                              <w:b/>
                            </w:rPr>
                            <w:t>Federal Communications Commission</w:t>
                          </w:r>
                        </w:p>
                        <w:p w:rsidR="0087288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87288C" w:rsidP="00C82B6B">
                          <w:pPr>
                            <w:rPr>
                              <w:rFonts w:ascii="Arial" w:hAnsi="Arial"/>
                              <w:sz w:val="24"/>
                            </w:rPr>
                          </w:pPr>
                          <w:r>
                            <w:rPr>
                              <w:rFonts w:ascii="Arial" w:hAnsi="Arial"/>
                              <w:b/>
                            </w:rPr>
                            <w:t>Washington, DC</w:t>
                          </w:r>
                          <w:r w:rsidR="00C1718C">
                            <w:rPr>
                              <w:rFonts w:ascii="Arial" w:hAnsi="Arial"/>
                              <w:b/>
                            </w:rPr>
                            <w:t xml:space="preserve"> </w:t>
                          </w:r>
                          <w:r>
                            <w:rPr>
                              <w:rFonts w:ascii="Arial" w:hAnsi="Arial"/>
                              <w:b/>
                            </w:rPr>
                            <w:t xml:space="preserve">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87288C" w:rsidP="00C82B6B">
                    <w:pPr>
                      <w:rPr>
                        <w:rFonts w:ascii="Arial" w:hAnsi="Arial"/>
                        <w:b/>
                      </w:rPr>
                    </w:pPr>
                    <w:r>
                      <w:rPr>
                        <w:rFonts w:ascii="Arial" w:hAnsi="Arial"/>
                        <w:b/>
                      </w:rPr>
                      <w:t>Federal Communications Commission</w:t>
                    </w:r>
                  </w:p>
                  <w:p w:rsidR="0087288C"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87288C" w:rsidP="00C82B6B">
                    <w:pPr>
                      <w:rPr>
                        <w:rFonts w:ascii="Arial" w:hAnsi="Arial"/>
                        <w:sz w:val="24"/>
                      </w:rPr>
                    </w:pPr>
                    <w:r>
                      <w:rPr>
                        <w:rFonts w:ascii="Arial" w:hAnsi="Arial"/>
                        <w:b/>
                      </w:rPr>
                      <w:t>Washington, DC</w:t>
                    </w:r>
                    <w:r w:rsidR="00C1718C">
                      <w:rPr>
                        <w:rFonts w:ascii="Arial" w:hAnsi="Arial"/>
                        <w:b/>
                      </w:rPr>
                      <w:t xml:space="preserve"> </w:t>
                    </w:r>
                    <w:r>
                      <w:rPr>
                        <w:rFonts w:ascii="Arial" w:hAnsi="Arial"/>
                        <w:b/>
                      </w:rPr>
                      <w:t xml:space="preserve"> 20554</w:t>
                    </w:r>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7288C" w:rsidP="00C82B6B">
                          <w:pPr>
                            <w:spacing w:before="40"/>
                            <w:jc w:val="right"/>
                            <w:rPr>
                              <w:rFonts w:ascii="Arial" w:hAnsi="Arial"/>
                              <w:b/>
                              <w:sz w:val="16"/>
                            </w:rPr>
                          </w:pPr>
                          <w:r>
                            <w:rPr>
                              <w:rFonts w:ascii="Arial" w:hAnsi="Arial"/>
                              <w:b/>
                              <w:sz w:val="16"/>
                            </w:rPr>
                            <w:t>News Media Information: 202-418-0500</w:t>
                          </w:r>
                        </w:p>
                        <w:p w:rsidR="0087288C" w:rsidP="00C82B6B">
                          <w:pPr>
                            <w:jc w:val="right"/>
                            <w:rPr>
                              <w:rFonts w:ascii="Arial" w:hAnsi="Arial"/>
                              <w:b/>
                              <w:sz w:val="16"/>
                            </w:rPr>
                          </w:pPr>
                          <w:r>
                            <w:rPr>
                              <w:rFonts w:ascii="Arial" w:hAnsi="Arial"/>
                              <w:b/>
                              <w:sz w:val="16"/>
                            </w:rPr>
                            <w:tab/>
                            <w:t xml:space="preserve">Internet: </w:t>
                          </w:r>
                          <w:r>
                            <w:fldChar w:fldCharType="begin"/>
                          </w:r>
                          <w:r>
                            <w:instrText xml:space="preserve"> HYPERLINK "https://www.fcc.gov" </w:instrText>
                          </w:r>
                          <w:r>
                            <w:fldChar w:fldCharType="separate"/>
                          </w:r>
                          <w:r w:rsidRPr="00197C6E">
                            <w:rPr>
                              <w:rStyle w:val="Hyperlink"/>
                              <w:rFonts w:ascii="Arial" w:hAnsi="Arial"/>
                              <w:b/>
                              <w:color w:val="000000" w:themeColor="text1"/>
                              <w:sz w:val="16"/>
                              <w:u w:val="none"/>
                            </w:rPr>
                            <w:t>www.fcc.gov</w:t>
                          </w:r>
                          <w:r>
                            <w:fldChar w:fldCharType="end"/>
                          </w:r>
                        </w:p>
                        <w:p w:rsidR="0087288C" w:rsidP="00C82B6B">
                          <w:pPr>
                            <w:jc w:val="right"/>
                            <w:rPr>
                              <w:rFonts w:ascii="Arial" w:hAnsi="Arial"/>
                              <w:b/>
                              <w:sz w:val="16"/>
                            </w:rPr>
                          </w:pPr>
                          <w:r>
                            <w:rPr>
                              <w:rFonts w:ascii="Arial" w:hAnsi="Arial"/>
                              <w:b/>
                              <w:sz w:val="16"/>
                            </w:rPr>
                            <w:t>TTY: 888-835-5322</w:t>
                          </w:r>
                        </w:p>
                        <w:p w:rsidR="0087288C"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87288C" w:rsidP="00C82B6B">
                    <w:pPr>
                      <w:spacing w:before="40"/>
                      <w:jc w:val="right"/>
                      <w:rPr>
                        <w:rFonts w:ascii="Arial" w:hAnsi="Arial"/>
                        <w:b/>
                        <w:sz w:val="16"/>
                      </w:rPr>
                    </w:pPr>
                    <w:r>
                      <w:rPr>
                        <w:rFonts w:ascii="Arial" w:hAnsi="Arial"/>
                        <w:b/>
                        <w:sz w:val="16"/>
                      </w:rPr>
                      <w:t>News Media Information: 202-418-0500</w:t>
                    </w:r>
                  </w:p>
                  <w:p w:rsidR="0087288C" w:rsidP="00C82B6B">
                    <w:pPr>
                      <w:jc w:val="right"/>
                      <w:rPr>
                        <w:rFonts w:ascii="Arial" w:hAnsi="Arial"/>
                        <w:b/>
                        <w:sz w:val="16"/>
                      </w:rPr>
                    </w:pPr>
                    <w:r>
                      <w:rPr>
                        <w:rFonts w:ascii="Arial" w:hAnsi="Arial"/>
                        <w:b/>
                        <w:sz w:val="16"/>
                      </w:rPr>
                      <w:tab/>
                      <w:t xml:space="preserve">Internet: </w:t>
                    </w:r>
                    <w:r>
                      <w:fldChar w:fldCharType="begin"/>
                    </w:r>
                    <w:r>
                      <w:instrText xml:space="preserve"> HYPERLINK "https://www.fcc.gov" </w:instrText>
                    </w:r>
                    <w:r>
                      <w:fldChar w:fldCharType="separate"/>
                    </w:r>
                    <w:r w:rsidRPr="00197C6E">
                      <w:rPr>
                        <w:rStyle w:val="Hyperlink"/>
                        <w:rFonts w:ascii="Arial" w:hAnsi="Arial"/>
                        <w:b/>
                        <w:color w:val="000000" w:themeColor="text1"/>
                        <w:sz w:val="16"/>
                        <w:u w:val="none"/>
                      </w:rPr>
                      <w:t>www.fcc.gov</w:t>
                    </w:r>
                    <w:r>
                      <w:fldChar w:fldCharType="end"/>
                    </w:r>
                  </w:p>
                  <w:p w:rsidR="0087288C" w:rsidP="00C82B6B">
                    <w:pPr>
                      <w:jc w:val="right"/>
                      <w:rPr>
                        <w:rFonts w:ascii="Arial" w:hAnsi="Arial"/>
                        <w:b/>
                        <w:sz w:val="16"/>
                      </w:rPr>
                    </w:pPr>
                    <w:r>
                      <w:rPr>
                        <w:rFonts w:ascii="Arial" w:hAnsi="Arial"/>
                        <w:b/>
                        <w:sz w:val="16"/>
                      </w:rPr>
                      <w:t>TTY: 888-835-5322</w:t>
                    </w:r>
                  </w:p>
                  <w:p w:rsidR="0087288C" w:rsidP="00C82B6B">
                    <w:pPr>
                      <w:jc w:val="right"/>
                    </w:pPr>
                  </w:p>
                </w:txbxContent>
              </v:textbox>
            </v:shape>
          </w:pict>
        </mc:Fallback>
      </mc:AlternateContent>
    </w:r>
  </w:p>
  <w:p w:rsidR="0087288C" w:rsidRPr="00C82B6B" w:rsidP="00692AC6">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B18D2"/>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1B147228"/>
    <w:multiLevelType w:val="hybridMultilevel"/>
    <w:tmpl w:val="5F02629A"/>
    <w:lvl w:ilvl="0">
      <w:start w:val="1"/>
      <w:numFmt w:val="bullet"/>
      <w:lvlText w:val=""/>
      <w:lvlJc w:val="left"/>
      <w:pPr>
        <w:ind w:left="702" w:hanging="360"/>
      </w:pPr>
      <w:rPr>
        <w:rFonts w:ascii="Symbol" w:hAnsi="Symbol" w:hint="default"/>
      </w:rPr>
    </w:lvl>
    <w:lvl w:ilvl="1" w:tentative="1">
      <w:start w:val="1"/>
      <w:numFmt w:val="bullet"/>
      <w:lvlText w:val="o"/>
      <w:lvlJc w:val="left"/>
      <w:pPr>
        <w:ind w:left="1422" w:hanging="360"/>
      </w:pPr>
      <w:rPr>
        <w:rFonts w:ascii="Courier New" w:hAnsi="Courier New" w:cs="Courier New" w:hint="default"/>
      </w:rPr>
    </w:lvl>
    <w:lvl w:ilvl="2" w:tentative="1">
      <w:start w:val="1"/>
      <w:numFmt w:val="bullet"/>
      <w:lvlText w:val=""/>
      <w:lvlJc w:val="left"/>
      <w:pPr>
        <w:ind w:left="2142" w:hanging="360"/>
      </w:pPr>
      <w:rPr>
        <w:rFonts w:ascii="Wingdings" w:hAnsi="Wingdings" w:hint="default"/>
      </w:rPr>
    </w:lvl>
    <w:lvl w:ilvl="3" w:tentative="1">
      <w:start w:val="1"/>
      <w:numFmt w:val="bullet"/>
      <w:lvlText w:val=""/>
      <w:lvlJc w:val="left"/>
      <w:pPr>
        <w:ind w:left="2862" w:hanging="360"/>
      </w:pPr>
      <w:rPr>
        <w:rFonts w:ascii="Symbol" w:hAnsi="Symbol" w:hint="default"/>
      </w:rPr>
    </w:lvl>
    <w:lvl w:ilvl="4" w:tentative="1">
      <w:start w:val="1"/>
      <w:numFmt w:val="bullet"/>
      <w:lvlText w:val="o"/>
      <w:lvlJc w:val="left"/>
      <w:pPr>
        <w:ind w:left="3582" w:hanging="360"/>
      </w:pPr>
      <w:rPr>
        <w:rFonts w:ascii="Courier New" w:hAnsi="Courier New" w:cs="Courier New" w:hint="default"/>
      </w:rPr>
    </w:lvl>
    <w:lvl w:ilvl="5" w:tentative="1">
      <w:start w:val="1"/>
      <w:numFmt w:val="bullet"/>
      <w:lvlText w:val=""/>
      <w:lvlJc w:val="left"/>
      <w:pPr>
        <w:ind w:left="4302" w:hanging="360"/>
      </w:pPr>
      <w:rPr>
        <w:rFonts w:ascii="Wingdings" w:hAnsi="Wingdings" w:hint="default"/>
      </w:rPr>
    </w:lvl>
    <w:lvl w:ilvl="6" w:tentative="1">
      <w:start w:val="1"/>
      <w:numFmt w:val="bullet"/>
      <w:lvlText w:val=""/>
      <w:lvlJc w:val="left"/>
      <w:pPr>
        <w:ind w:left="5022" w:hanging="360"/>
      </w:pPr>
      <w:rPr>
        <w:rFonts w:ascii="Symbol" w:hAnsi="Symbol" w:hint="default"/>
      </w:rPr>
    </w:lvl>
    <w:lvl w:ilvl="7" w:tentative="1">
      <w:start w:val="1"/>
      <w:numFmt w:val="bullet"/>
      <w:lvlText w:val="o"/>
      <w:lvlJc w:val="left"/>
      <w:pPr>
        <w:ind w:left="5742" w:hanging="360"/>
      </w:pPr>
      <w:rPr>
        <w:rFonts w:ascii="Courier New" w:hAnsi="Courier New" w:cs="Courier New" w:hint="default"/>
      </w:rPr>
    </w:lvl>
    <w:lvl w:ilvl="8" w:tentative="1">
      <w:start w:val="1"/>
      <w:numFmt w:val="bullet"/>
      <w:lvlText w:val=""/>
      <w:lvlJc w:val="left"/>
      <w:pPr>
        <w:ind w:left="6462" w:hanging="360"/>
      </w:pPr>
      <w:rPr>
        <w:rFonts w:ascii="Wingdings" w:hAnsi="Wingdings" w:hint="default"/>
      </w:rPr>
    </w:lvl>
  </w:abstractNum>
  <w:abstractNum w:abstractNumId="4">
    <w:nsid w:val="1E1F3D3A"/>
    <w:multiLevelType w:val="hybridMultilevel"/>
    <w:tmpl w:val="D6284F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BF47093"/>
    <w:multiLevelType w:val="multilevel"/>
    <w:tmpl w:val="79EA8CC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3408673F"/>
    <w:multiLevelType w:val="hybridMultilevel"/>
    <w:tmpl w:val="4722328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3A940D52"/>
    <w:multiLevelType w:val="hybridMultilevel"/>
    <w:tmpl w:val="E99E08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Symbo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Symbo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646339"/>
    <w:multiLevelType w:val="hybridMultilevel"/>
    <w:tmpl w:val="812AB6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EE9765F"/>
    <w:multiLevelType w:val="multilevel"/>
    <w:tmpl w:val="BF70CCBC"/>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53233418"/>
    <w:multiLevelType w:val="hybridMultilevel"/>
    <w:tmpl w:val="6D501A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A566E23"/>
    <w:multiLevelType w:val="multilevel"/>
    <w:tmpl w:val="773A4EF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b/>
      </w:rPr>
    </w:lvl>
    <w:lvl w:ilvl="4">
      <w:start w:val="1"/>
      <w:numFmt w:val="lowerRoman"/>
      <w:lvlText w:val="(%5)"/>
      <w:lvlJc w:val="left"/>
      <w:pPr>
        <w:tabs>
          <w:tab w:val="num" w:pos="3960"/>
        </w:tabs>
        <w:ind w:left="360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79395A2A"/>
    <w:multiLevelType w:val="hybridMultilevel"/>
    <w:tmpl w:val="7804D30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Symbo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Symbol"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8"/>
  </w:num>
  <w:num w:numId="3">
    <w:abstractNumId w:val="7"/>
  </w:num>
  <w:num w:numId="4">
    <w:abstractNumId w:val="13"/>
  </w:num>
  <w:num w:numId="5">
    <w:abstractNumId w:val="6"/>
  </w:num>
  <w:num w:numId="6">
    <w:abstractNumId w:val="0"/>
  </w:num>
  <w:num w:numId="7">
    <w:abstractNumId w:val="10"/>
  </w:num>
  <w:num w:numId="8">
    <w:abstractNumId w:val="11"/>
  </w:num>
  <w:num w:numId="9">
    <w:abstractNumId w:val="1"/>
  </w:num>
  <w:num w:numId="10">
    <w:abstractNumId w:val="19"/>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7"/>
  </w:num>
  <w:num w:numId="16">
    <w:abstractNumId w:val="14"/>
  </w:num>
  <w:num w:numId="17">
    <w:abstractNumId w:val="2"/>
  </w:num>
  <w:num w:numId="18">
    <w:abstractNumId w:val="18"/>
    <w:lvlOverride w:ilvl="0">
      <w:startOverride w:val="1"/>
    </w:lvlOverride>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lvlOverride w:ilvl="0">
      <w:startOverride w:val="1"/>
    </w:lvlOverride>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2"/>
  </w:num>
  <w:num w:numId="87">
    <w:abstractNumId w:val="18"/>
  </w:num>
  <w:num w:numId="88">
    <w:abstractNumId w:val="18"/>
  </w:num>
  <w:num w:numId="89">
    <w:abstractNumId w:val="18"/>
  </w:num>
  <w:num w:numId="90">
    <w:abstractNumId w:val="18"/>
  </w:num>
  <w:num w:numId="91">
    <w:abstractNumId w:val="18"/>
  </w:num>
  <w:num w:numId="92">
    <w:abstractNumId w:val="15"/>
  </w:num>
  <w:num w:numId="93">
    <w:abstractNumId w:val="17"/>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18"/>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num>
  <w:num w:numId="135">
    <w:abstractNumId w:val="8"/>
  </w:num>
  <w:num w:numId="136">
    <w:abstractNumId w:val="3"/>
  </w:num>
  <w:num w:numId="1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BFE"/>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qFormat/>
    <w:rsid w:val="00503B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503BFE"/>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503BFE"/>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503BFE"/>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03BFE"/>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503BFE"/>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503BF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3BFE"/>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503BF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503B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03BFE"/>
  </w:style>
  <w:style w:type="paragraph" w:customStyle="1" w:styleId="ParaNum">
    <w:name w:val="ParaNum"/>
    <w:basedOn w:val="Normal"/>
    <w:link w:val="ParaNumChar"/>
    <w:rsid w:val="00503BFE"/>
    <w:pPr>
      <w:numPr>
        <w:numId w:val="2"/>
      </w:numPr>
      <w:tabs>
        <w:tab w:val="clear" w:pos="1080"/>
        <w:tab w:val="num" w:pos="1440"/>
      </w:tabs>
      <w:spacing w:after="120"/>
    </w:pPr>
  </w:style>
  <w:style w:type="paragraph" w:styleId="EndnoteText">
    <w:name w:val="endnote text"/>
    <w:basedOn w:val="Normal"/>
    <w:semiHidden/>
    <w:rsid w:val="00503BFE"/>
    <w:rPr>
      <w:sz w:val="20"/>
    </w:rPr>
  </w:style>
  <w:style w:type="character" w:styleId="EndnoteReference">
    <w:name w:val="endnote reference"/>
    <w:semiHidden/>
    <w:rsid w:val="00503BFE"/>
    <w:rPr>
      <w:vertAlign w:val="superscript"/>
    </w:rPr>
  </w:style>
  <w:style w:type="paragraph" w:styleId="FootnoteText">
    <w:name w:val="footnote text"/>
    <w:aliases w:val="Footnote Text Char,Footnote Text Char Char,Footnote Text Char Char3 Char Char Char Char,Footnote Text Char1,Footnote Text Char1 Char1 Char,Footnote Text Char2,Footnote Text Char3 Char1 Char Char Char,Footnote Text Char4 Char Char Char,f,fn"/>
    <w:link w:val="FootnoteTextChar3"/>
    <w:rsid w:val="00503BFE"/>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503BFE"/>
    <w:rPr>
      <w:rFonts w:ascii="Times New Roman" w:hAnsi="Times New Roman"/>
      <w:dstrike w:val="0"/>
      <w:color w:val="auto"/>
      <w:sz w:val="22"/>
      <w:vertAlign w:val="superscript"/>
    </w:rPr>
  </w:style>
  <w:style w:type="paragraph" w:styleId="TOC1">
    <w:name w:val="toc 1"/>
    <w:basedOn w:val="Normal"/>
    <w:next w:val="Normal"/>
    <w:uiPriority w:val="39"/>
    <w:rsid w:val="00503BF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3BFE"/>
    <w:pPr>
      <w:tabs>
        <w:tab w:val="left" w:pos="720"/>
        <w:tab w:val="right" w:leader="dot" w:pos="9360"/>
      </w:tabs>
      <w:suppressAutoHyphens/>
      <w:ind w:left="720" w:right="720" w:hanging="360"/>
    </w:pPr>
    <w:rPr>
      <w:noProof/>
    </w:rPr>
  </w:style>
  <w:style w:type="paragraph" w:styleId="TOC3">
    <w:name w:val="toc 3"/>
    <w:basedOn w:val="Normal"/>
    <w:next w:val="Normal"/>
    <w:semiHidden/>
    <w:rsid w:val="00503BF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3BF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3BF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3BF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3BF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3BF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3BF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3BFE"/>
    <w:pPr>
      <w:tabs>
        <w:tab w:val="right" w:pos="9360"/>
      </w:tabs>
      <w:suppressAutoHyphens/>
    </w:pPr>
  </w:style>
  <w:style w:type="character" w:customStyle="1" w:styleId="EquationCaption">
    <w:name w:val="_Equation Caption"/>
    <w:rsid w:val="00503BFE"/>
  </w:style>
  <w:style w:type="paragraph" w:styleId="Header">
    <w:name w:val="header"/>
    <w:basedOn w:val="Normal"/>
    <w:autoRedefine/>
    <w:rsid w:val="00503BF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03BFE"/>
    <w:pPr>
      <w:tabs>
        <w:tab w:val="center" w:pos="4320"/>
        <w:tab w:val="right" w:pos="8640"/>
      </w:tabs>
    </w:pPr>
  </w:style>
  <w:style w:type="character" w:styleId="PageNumber">
    <w:name w:val="page number"/>
    <w:basedOn w:val="DefaultParagraphFont"/>
    <w:rsid w:val="00503BFE"/>
  </w:style>
  <w:style w:type="paragraph" w:styleId="BlockText">
    <w:name w:val="Block Text"/>
    <w:basedOn w:val="Normal"/>
    <w:rsid w:val="00503BFE"/>
    <w:pPr>
      <w:spacing w:after="240"/>
      <w:ind w:left="1440" w:right="1440"/>
    </w:pPr>
  </w:style>
  <w:style w:type="paragraph" w:customStyle="1" w:styleId="Paratitle">
    <w:name w:val="Para title"/>
    <w:basedOn w:val="Normal"/>
    <w:rsid w:val="00503BFE"/>
    <w:pPr>
      <w:tabs>
        <w:tab w:val="center" w:pos="9270"/>
      </w:tabs>
      <w:spacing w:after="240"/>
    </w:pPr>
    <w:rPr>
      <w:spacing w:val="-2"/>
    </w:rPr>
  </w:style>
  <w:style w:type="paragraph" w:customStyle="1" w:styleId="Bullet">
    <w:name w:val="Bullet"/>
    <w:basedOn w:val="Normal"/>
    <w:rsid w:val="00503BFE"/>
    <w:pPr>
      <w:numPr>
        <w:numId w:val="1"/>
      </w:numPr>
      <w:tabs>
        <w:tab w:val="clear" w:pos="360"/>
        <w:tab w:val="left" w:pos="2160"/>
      </w:tabs>
      <w:spacing w:after="220"/>
      <w:ind w:left="2160" w:hanging="720"/>
    </w:pPr>
  </w:style>
  <w:style w:type="paragraph" w:customStyle="1" w:styleId="TableFormat">
    <w:name w:val="TableFormat"/>
    <w:basedOn w:val="Bullet"/>
    <w:rsid w:val="00503BFE"/>
    <w:pPr>
      <w:numPr>
        <w:numId w:val="0"/>
      </w:numPr>
      <w:tabs>
        <w:tab w:val="clear" w:pos="2160"/>
        <w:tab w:val="left" w:pos="5040"/>
      </w:tabs>
      <w:ind w:left="5040" w:hanging="3600"/>
    </w:pPr>
  </w:style>
  <w:style w:type="paragraph" w:customStyle="1" w:styleId="TOCTitle">
    <w:name w:val="TOC Title"/>
    <w:basedOn w:val="Normal"/>
    <w:rsid w:val="00503BF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3BFE"/>
    <w:pPr>
      <w:jc w:val="center"/>
    </w:pPr>
    <w:rPr>
      <w:rFonts w:ascii="Times New Roman Bold" w:hAnsi="Times New Roman Bold"/>
      <w:b/>
      <w:bCs/>
      <w:caps/>
      <w:szCs w:val="22"/>
    </w:rPr>
  </w:style>
  <w:style w:type="character" w:styleId="Hyperlink">
    <w:name w:val="Hyperlink"/>
    <w:rsid w:val="00503BFE"/>
    <w:rPr>
      <w:color w:val="0000FF"/>
      <w:u w:val="single"/>
    </w:rPr>
  </w:style>
  <w:style w:type="character" w:customStyle="1" w:styleId="FootnoteTextChar3">
    <w:name w:val="Footnote Text Char3"/>
    <w:aliases w:val="Footnote Text Char Char Char,Footnote Text Char Char3 Char Char Char Char Char,Footnote Text Char1 Char1 Char Char,Footnote Text Char2 Char,Footnote Text Char3 Char1 Char Char Char Char,Footnote Text Char4 Char Char Char Char,f Char"/>
    <w:link w:val="FootnoteText"/>
    <w:rsid w:val="008257A6"/>
  </w:style>
  <w:style w:type="character" w:styleId="Emphasis">
    <w:name w:val="Emphasis"/>
    <w:qFormat/>
    <w:rsid w:val="008257A6"/>
    <w:rPr>
      <w:i/>
      <w:iCs/>
    </w:rPr>
  </w:style>
  <w:style w:type="character" w:styleId="Strong">
    <w:name w:val="Strong"/>
    <w:qFormat/>
    <w:rsid w:val="008257A6"/>
    <w:rPr>
      <w:b/>
    </w:rPr>
  </w:style>
  <w:style w:type="character" w:customStyle="1" w:styleId="a">
    <w:name w:val="_"/>
    <w:rsid w:val="008257A6"/>
    <w:rPr>
      <w:rFonts w:ascii="Times New Roman" w:hAnsi="Times New Roman"/>
      <w:sz w:val="24"/>
    </w:rPr>
  </w:style>
  <w:style w:type="paragraph" w:customStyle="1" w:styleId="12PtBullet">
    <w:name w:val="12PtBullet"/>
    <w:basedOn w:val="Normal"/>
    <w:rsid w:val="008257A6"/>
    <w:pPr>
      <w:tabs>
        <w:tab w:val="num" w:pos="720"/>
      </w:tabs>
      <w:ind w:left="720" w:hanging="720"/>
    </w:pPr>
    <w:rPr>
      <w:snapToGrid/>
      <w:sz w:val="24"/>
    </w:rPr>
  </w:style>
  <w:style w:type="character" w:customStyle="1" w:styleId="a0">
    <w:name w:val="a"/>
    <w:rsid w:val="008257A6"/>
    <w:rPr>
      <w:rFonts w:ascii="Times New Roman" w:hAnsi="Times New Roman" w:cs="Times New Roman" w:hint="default"/>
    </w:rPr>
  </w:style>
  <w:style w:type="paragraph" w:styleId="BalloonText">
    <w:name w:val="Balloon Text"/>
    <w:basedOn w:val="Normal"/>
    <w:link w:val="BalloonTextChar"/>
    <w:uiPriority w:val="99"/>
    <w:semiHidden/>
    <w:unhideWhenUsed/>
    <w:rsid w:val="006C6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26"/>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sid w:val="00F65416"/>
    <w:rPr>
      <w:color w:val="605E5C"/>
      <w:shd w:val="clear" w:color="auto" w:fill="E1DFDD"/>
    </w:rPr>
  </w:style>
  <w:style w:type="character" w:styleId="CommentReference">
    <w:name w:val="annotation reference"/>
    <w:basedOn w:val="DefaultParagraphFont"/>
    <w:uiPriority w:val="99"/>
    <w:unhideWhenUsed/>
    <w:rsid w:val="002914A9"/>
    <w:rPr>
      <w:sz w:val="16"/>
      <w:szCs w:val="16"/>
    </w:rPr>
  </w:style>
  <w:style w:type="paragraph" w:styleId="CommentText">
    <w:name w:val="annotation text"/>
    <w:basedOn w:val="Normal"/>
    <w:link w:val="CommentTextChar"/>
    <w:uiPriority w:val="99"/>
    <w:semiHidden/>
    <w:unhideWhenUsed/>
    <w:rsid w:val="002914A9"/>
    <w:rPr>
      <w:sz w:val="20"/>
    </w:rPr>
  </w:style>
  <w:style w:type="character" w:customStyle="1" w:styleId="CommentTextChar">
    <w:name w:val="Comment Text Char"/>
    <w:basedOn w:val="DefaultParagraphFont"/>
    <w:link w:val="CommentText"/>
    <w:uiPriority w:val="99"/>
    <w:semiHidden/>
    <w:rsid w:val="002914A9"/>
    <w:rPr>
      <w:snapToGrid w:val="0"/>
      <w:kern w:val="28"/>
    </w:rPr>
  </w:style>
  <w:style w:type="paragraph" w:styleId="CommentSubject">
    <w:name w:val="annotation subject"/>
    <w:basedOn w:val="CommentText"/>
    <w:next w:val="CommentText"/>
    <w:link w:val="CommentSubjectChar"/>
    <w:uiPriority w:val="99"/>
    <w:semiHidden/>
    <w:unhideWhenUsed/>
    <w:rsid w:val="002914A9"/>
    <w:rPr>
      <w:b/>
      <w:bCs/>
    </w:rPr>
  </w:style>
  <w:style w:type="character" w:customStyle="1" w:styleId="CommentSubjectChar">
    <w:name w:val="Comment Subject Char"/>
    <w:basedOn w:val="CommentTextChar"/>
    <w:link w:val="CommentSubject"/>
    <w:uiPriority w:val="99"/>
    <w:semiHidden/>
    <w:rsid w:val="002914A9"/>
    <w:rPr>
      <w:b/>
      <w:bCs/>
      <w:snapToGrid w:val="0"/>
      <w:kern w:val="28"/>
    </w:rPr>
  </w:style>
  <w:style w:type="character" w:customStyle="1" w:styleId="ParaNumChar">
    <w:name w:val="ParaNum Char"/>
    <w:link w:val="ParaNum"/>
    <w:locked/>
    <w:rsid w:val="00866048"/>
    <w:rPr>
      <w:snapToGrid w:val="0"/>
      <w:kern w:val="28"/>
      <w:sz w:val="22"/>
    </w:rPr>
  </w:style>
  <w:style w:type="paragraph" w:styleId="ListParagraph">
    <w:name w:val="List Paragraph"/>
    <w:basedOn w:val="Normal"/>
    <w:uiPriority w:val="34"/>
    <w:qFormat/>
    <w:rsid w:val="0080355A"/>
    <w:pPr>
      <w:ind w:left="720"/>
    </w:pPr>
  </w:style>
  <w:style w:type="character" w:customStyle="1" w:styleId="apple-converted-space">
    <w:name w:val="apple-converted-space"/>
    <w:rsid w:val="00011D99"/>
  </w:style>
  <w:style w:type="character" w:customStyle="1" w:styleId="break-word">
    <w:name w:val="break-word"/>
    <w:rsid w:val="00011D99"/>
  </w:style>
  <w:style w:type="character" w:customStyle="1" w:styleId="ParaNumCharChar1">
    <w:name w:val="ParaNum Char Char1"/>
    <w:locked/>
    <w:rsid w:val="0087288C"/>
    <w:rPr>
      <w:snapToGrid w:val="0"/>
      <w:kern w:val="28"/>
      <w:sz w:val="22"/>
    </w:rPr>
  </w:style>
  <w:style w:type="character" w:styleId="FollowedHyperlink">
    <w:name w:val="FollowedHyperlink"/>
    <w:basedOn w:val="DefaultParagraphFont"/>
    <w:uiPriority w:val="99"/>
    <w:semiHidden/>
    <w:unhideWhenUsed/>
    <w:rsid w:val="00987683"/>
    <w:rPr>
      <w:color w:val="954F72" w:themeColor="followedHyperlink"/>
      <w:u w:val="single"/>
    </w:rPr>
  </w:style>
  <w:style w:type="character" w:customStyle="1" w:styleId="FooterChar">
    <w:name w:val="Footer Char"/>
    <w:link w:val="Footer"/>
    <w:uiPriority w:val="99"/>
    <w:rsid w:val="00503BFE"/>
    <w:rPr>
      <w:snapToGrid w:val="0"/>
      <w:kern w:val="28"/>
      <w:sz w:val="22"/>
    </w:rPr>
  </w:style>
  <w:style w:type="paragraph" w:styleId="Revision">
    <w:name w:val="Revision"/>
    <w:hidden/>
    <w:uiPriority w:val="99"/>
    <w:semiHidden/>
    <w:rsid w:val="005A19D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