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0683">
      <w:pPr>
        <w:jc w:val="center"/>
        <w:rPr>
          <w:b/>
        </w:rPr>
      </w:pPr>
      <w:r>
        <w:rPr>
          <w:b/>
        </w:rPr>
        <w:t>Before the</w:t>
      </w:r>
    </w:p>
    <w:p w:rsidR="009C0683">
      <w:pPr>
        <w:jc w:val="center"/>
        <w:rPr>
          <w:b/>
        </w:rPr>
      </w:pPr>
      <w:r>
        <w:rPr>
          <w:b/>
        </w:rPr>
        <w:t>Federal Communications Commission</w:t>
      </w:r>
    </w:p>
    <w:p w:rsidR="009C0683">
      <w:pPr>
        <w:jc w:val="center"/>
        <w:rPr>
          <w:b/>
        </w:rPr>
      </w:pPr>
      <w:r>
        <w:rPr>
          <w:b/>
        </w:rPr>
        <w:t>Washington, D.C. 20554</w:t>
      </w:r>
    </w:p>
    <w:p w:rsidR="009C0683"/>
    <w:p w:rsidR="009C0683"/>
    <w:tbl>
      <w:tblPr>
        <w:tblW w:w="0" w:type="auto"/>
        <w:tblLayout w:type="fixed"/>
        <w:tblLook w:val="0000"/>
      </w:tblPr>
      <w:tblGrid>
        <w:gridCol w:w="4698"/>
        <w:gridCol w:w="720"/>
        <w:gridCol w:w="4230"/>
      </w:tblGrid>
      <w:tr>
        <w:tblPrEx>
          <w:tblW w:w="0" w:type="auto"/>
          <w:tblLayout w:type="fixed"/>
          <w:tblLook w:val="0000"/>
        </w:tblPrEx>
        <w:tc>
          <w:tcPr>
            <w:tcW w:w="4698" w:type="dxa"/>
          </w:tcPr>
          <w:p w:rsidR="009C0683">
            <w:pPr>
              <w:ind w:right="-18"/>
            </w:pPr>
            <w:r>
              <w:t>In the Matter of</w:t>
            </w:r>
          </w:p>
          <w:p w:rsidR="00BD0C43">
            <w:pPr>
              <w:ind w:right="-18"/>
            </w:pPr>
          </w:p>
          <w:p w:rsidR="00BD0C43">
            <w:pPr>
              <w:ind w:right="-18"/>
            </w:pPr>
            <w:r>
              <w:t>INTELLIGENT TRANSPORTATION &amp; MONITORING WIRELESS LLC</w:t>
            </w:r>
          </w:p>
          <w:p w:rsidR="00BD0C43">
            <w:pPr>
              <w:ind w:right="-18"/>
            </w:pPr>
          </w:p>
          <w:p w:rsidR="00BD0C43">
            <w:pPr>
              <w:ind w:right="-18"/>
            </w:pPr>
            <w:r>
              <w:t xml:space="preserve">352 Applications for Renewal of </w:t>
            </w:r>
            <w:r w:rsidRPr="00F5382A">
              <w:t>Multiple Address System Licenses</w:t>
            </w:r>
          </w:p>
          <w:p w:rsidR="009C0683">
            <w:pPr>
              <w:ind w:right="-18"/>
            </w:pPr>
          </w:p>
          <w:p w:rsidR="00BD0C43">
            <w:pPr>
              <w:ind w:right="-18"/>
            </w:pPr>
            <w:r>
              <w:t>SKYBRIDGE SPECTRUM FOUNDATION</w:t>
            </w:r>
          </w:p>
          <w:p w:rsidR="009C0683">
            <w:pPr>
              <w:ind w:right="-18"/>
            </w:pPr>
          </w:p>
          <w:p w:rsidR="00F5382A">
            <w:pPr>
              <w:ind w:right="-18"/>
            </w:pPr>
            <w:r>
              <w:t xml:space="preserve">352 Applications for Renewal of </w:t>
            </w:r>
            <w:r w:rsidRPr="00F5382A">
              <w:t>Multiple Address System Licenses</w:t>
            </w:r>
          </w:p>
        </w:tc>
        <w:tc>
          <w:tcPr>
            <w:tcW w:w="720" w:type="dxa"/>
          </w:tcPr>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9C0683">
            <w:pPr>
              <w:rPr>
                <w:b/>
              </w:rPr>
            </w:pPr>
            <w:r>
              <w:rPr>
                <w:b/>
              </w:rPr>
              <w:t>)</w:t>
            </w:r>
          </w:p>
          <w:p w:rsidR="00F5382A">
            <w:pPr>
              <w:rPr>
                <w:b/>
              </w:rPr>
            </w:pPr>
            <w:r>
              <w:rPr>
                <w:b/>
              </w:rPr>
              <w:t>)</w:t>
            </w:r>
          </w:p>
          <w:p w:rsidR="00F5382A">
            <w:pPr>
              <w:rPr>
                <w:b/>
              </w:rPr>
            </w:pPr>
            <w:r>
              <w:rPr>
                <w:b/>
              </w:rPr>
              <w:t>)</w:t>
            </w:r>
          </w:p>
          <w:p w:rsidR="00F5382A">
            <w:pPr>
              <w:rPr>
                <w:b/>
              </w:rPr>
            </w:pPr>
            <w:r>
              <w:rPr>
                <w:b/>
              </w:rPr>
              <w:t>)</w:t>
            </w:r>
          </w:p>
          <w:p w:rsidR="00F5382A">
            <w:pPr>
              <w:rPr>
                <w:b/>
              </w:rPr>
            </w:pPr>
            <w:r>
              <w:rPr>
                <w:b/>
              </w:rPr>
              <w:t>)</w:t>
            </w:r>
          </w:p>
          <w:p w:rsidR="00F5382A">
            <w:pPr>
              <w:rPr>
                <w:b/>
              </w:rPr>
            </w:pPr>
            <w:r>
              <w:rPr>
                <w:b/>
              </w:rPr>
              <w:t>)</w:t>
            </w:r>
          </w:p>
          <w:p w:rsidR="00021944">
            <w:pPr>
              <w:rPr>
                <w:b/>
              </w:rPr>
            </w:pPr>
            <w:r>
              <w:rPr>
                <w:b/>
              </w:rPr>
              <w:t>)</w:t>
            </w:r>
          </w:p>
          <w:p w:rsidR="00F5382A">
            <w:pPr>
              <w:rPr>
                <w:b/>
              </w:rPr>
            </w:pPr>
          </w:p>
        </w:tc>
        <w:tc>
          <w:tcPr>
            <w:tcW w:w="4230" w:type="dxa"/>
          </w:tcPr>
          <w:p w:rsidR="009C0683"/>
          <w:p w:rsidR="009C0683"/>
          <w:p w:rsidR="00E52F78" w:rsidP="00F5382A">
            <w:pPr>
              <w:rPr>
                <w:spacing w:val="-2"/>
              </w:rPr>
            </w:pPr>
            <w:r>
              <w:rPr>
                <w:spacing w:val="-2"/>
              </w:rPr>
              <w:t>File Nos. 000720444</w:t>
            </w:r>
            <w:r w:rsidR="001A5555">
              <w:rPr>
                <w:spacing w:val="-2"/>
              </w:rPr>
              <w:t>0-00072024472, 0007204474—007204727, 0007204729-0007204793</w:t>
            </w:r>
          </w:p>
          <w:p w:rsidR="00F5382A" w:rsidP="00F5382A">
            <w:pPr>
              <w:rPr>
                <w:spacing w:val="-2"/>
              </w:rPr>
            </w:pPr>
          </w:p>
          <w:p w:rsidR="00BD0C43" w:rsidP="00F5382A">
            <w:pPr>
              <w:rPr>
                <w:spacing w:val="-2"/>
              </w:rPr>
            </w:pPr>
          </w:p>
          <w:p w:rsidR="00021944" w:rsidP="00F5382A">
            <w:pPr>
              <w:rPr>
                <w:spacing w:val="-2"/>
              </w:rPr>
            </w:pPr>
          </w:p>
          <w:p w:rsidR="00F5382A" w:rsidP="00F5382A">
            <w:pPr>
              <w:rPr>
                <w:spacing w:val="-2"/>
              </w:rPr>
            </w:pPr>
            <w:r>
              <w:rPr>
                <w:spacing w:val="-2"/>
              </w:rPr>
              <w:t>File Nos. 0007206392-0007206411, 0007206417-0007206459, 0007206461-0007206517, 0007206519-0007206578, 0007206580-0007206439, 0007206641-0007206752</w:t>
            </w:r>
          </w:p>
        </w:tc>
      </w:tr>
    </w:tbl>
    <w:p w:rsidR="009C0683">
      <w:pPr>
        <w:spacing w:before="120"/>
        <w:jc w:val="center"/>
        <w:rPr>
          <w:b/>
          <w:spacing w:val="-2"/>
        </w:rPr>
      </w:pPr>
    </w:p>
    <w:p w:rsidR="009C0683">
      <w:pPr>
        <w:spacing w:before="120"/>
        <w:jc w:val="center"/>
        <w:rPr>
          <w:b/>
        </w:rPr>
      </w:pPr>
      <w:r>
        <w:rPr>
          <w:b/>
          <w:spacing w:val="-2"/>
        </w:rPr>
        <w:t xml:space="preserve">MEMORANDUM OPINION AND </w:t>
      </w:r>
      <w:r>
        <w:rPr>
          <w:b/>
          <w:spacing w:val="-2"/>
        </w:rPr>
        <w:t>ORDER</w:t>
      </w:r>
    </w:p>
    <w:p w:rsidR="009C0683"/>
    <w:p w:rsidR="009C0683">
      <w:pPr>
        <w:tabs>
          <w:tab w:val="left" w:pos="5760"/>
        </w:tabs>
        <w:rPr>
          <w:b/>
        </w:rPr>
      </w:pPr>
      <w:r>
        <w:rPr>
          <w:b/>
        </w:rPr>
        <w:t xml:space="preserve">Adopted:  </w:t>
      </w:r>
      <w:r w:rsidR="00141E6F">
        <w:rPr>
          <w:b/>
        </w:rPr>
        <w:t>August 14</w:t>
      </w:r>
      <w:r>
        <w:rPr>
          <w:b/>
          <w:spacing w:val="-2"/>
        </w:rPr>
        <w:t>, 201</w:t>
      </w:r>
      <w:r w:rsidR="00120F09">
        <w:rPr>
          <w:b/>
          <w:spacing w:val="-2"/>
        </w:rPr>
        <w:t>8</w:t>
      </w:r>
      <w:r>
        <w:rPr>
          <w:b/>
        </w:rPr>
        <w:tab/>
      </w:r>
      <w:r>
        <w:rPr>
          <w:b/>
        </w:rPr>
        <w:tab/>
        <w:t xml:space="preserve">     Released:  </w:t>
      </w:r>
      <w:r w:rsidR="00141E6F">
        <w:rPr>
          <w:b/>
        </w:rPr>
        <w:t>August 14</w:t>
      </w:r>
      <w:r>
        <w:rPr>
          <w:b/>
        </w:rPr>
        <w:t>, 201</w:t>
      </w:r>
      <w:r w:rsidR="00120F09">
        <w:rPr>
          <w:b/>
        </w:rPr>
        <w:t>8</w:t>
      </w:r>
    </w:p>
    <w:p w:rsidR="009C0683">
      <w:pPr>
        <w:tabs>
          <w:tab w:val="left" w:pos="5760"/>
        </w:tabs>
        <w:rPr>
          <w:b/>
        </w:rPr>
      </w:pPr>
    </w:p>
    <w:p w:rsidR="009C0683">
      <w:pPr>
        <w:tabs>
          <w:tab w:val="left" w:pos="5760"/>
        </w:tabs>
        <w:rPr>
          <w:spacing w:val="-2"/>
        </w:rPr>
      </w:pPr>
      <w:r>
        <w:t xml:space="preserve">By the Deputy </w:t>
      </w:r>
      <w:r>
        <w:rPr>
          <w:spacing w:val="-2"/>
        </w:rPr>
        <w:t>Chief, Broadband Division, Wireless Telecommunications Bureau:</w:t>
      </w:r>
    </w:p>
    <w:p w:rsidR="00991930">
      <w:pPr>
        <w:tabs>
          <w:tab w:val="left" w:pos="5760"/>
        </w:tabs>
        <w:rPr>
          <w:spacing w:val="-2"/>
        </w:rPr>
      </w:pPr>
    </w:p>
    <w:p w:rsidR="00991930" w:rsidP="00991930">
      <w:pPr>
        <w:pStyle w:val="Heading1"/>
        <w:widowControl/>
      </w:pPr>
      <w:r>
        <w:t>introduction</w:t>
      </w:r>
    </w:p>
    <w:p w:rsidR="00991930" w:rsidP="00991930">
      <w:pPr>
        <w:pStyle w:val="ParaNum"/>
        <w:widowControl/>
      </w:pPr>
      <w:r>
        <w:t xml:space="preserve">In this </w:t>
      </w:r>
      <w:r w:rsidR="003B364A">
        <w:rPr>
          <w:i/>
        </w:rPr>
        <w:t xml:space="preserve">Memorandum Opinion and </w:t>
      </w:r>
      <w:r w:rsidRPr="00BD0C43">
        <w:rPr>
          <w:i/>
        </w:rPr>
        <w:t>Order</w:t>
      </w:r>
      <w:r>
        <w:t xml:space="preserve">, we dismiss for lack of standing the Petition to Deny filed by SNAPS Holding Company </w:t>
      </w:r>
      <w:r w:rsidR="00022493">
        <w:t xml:space="preserve">(SHC) </w:t>
      </w:r>
      <w:r>
        <w:t xml:space="preserve">against the above-captioned renewal applications of Intelligent Transportation &amp; Monitoring Wireless LLC </w:t>
      </w:r>
      <w:r w:rsidR="00FA2F74">
        <w:t xml:space="preserve">(ITL) </w:t>
      </w:r>
      <w:r>
        <w:t>and of Skybridge Spectrum Foundation</w:t>
      </w:r>
      <w:r w:rsidR="00FA2F74">
        <w:t xml:space="preserve"> (Skybridge)</w:t>
      </w:r>
      <w:r w:rsidR="00D10C3E">
        <w:t xml:space="preserve"> </w:t>
      </w:r>
      <w:r w:rsidR="00E07E31">
        <w:t xml:space="preserve">for 704 Multiple Address System (MAS) licenses </w:t>
      </w:r>
      <w:r w:rsidR="00D10C3E">
        <w:t>(collectively, the 704 MAS Renewal Applications)</w:t>
      </w:r>
      <w:r>
        <w:t>.</w:t>
      </w:r>
      <w:r>
        <w:rPr>
          <w:rStyle w:val="FootnoteReference"/>
          <w:szCs w:val="22"/>
        </w:rPr>
        <w:footnoteReference w:id="3"/>
      </w:r>
      <w:r w:rsidR="00C92C76">
        <w:rPr>
          <w:szCs w:val="22"/>
        </w:rPr>
        <w:t xml:space="preserve"> </w:t>
      </w:r>
      <w:r>
        <w:t xml:space="preserve">  </w:t>
      </w:r>
    </w:p>
    <w:p w:rsidR="00991930" w:rsidP="00991930">
      <w:pPr>
        <w:pStyle w:val="Heading1"/>
        <w:widowControl/>
      </w:pPr>
      <w:r>
        <w:t>background</w:t>
      </w:r>
    </w:p>
    <w:p w:rsidR="00991930" w:rsidP="00991930">
      <w:pPr>
        <w:pStyle w:val="ParaNum"/>
        <w:widowControl/>
      </w:pPr>
      <w:r>
        <w:t xml:space="preserve">MAS is a radio communications service that </w:t>
      </w:r>
      <w:r w:rsidR="006C7B84">
        <w:t xml:space="preserve">operates on </w:t>
      </w:r>
      <w:r>
        <w:t>3.2 megahertz of spectrum in the 900 MHz band</w:t>
      </w:r>
      <w:r w:rsidR="00AC1F0F">
        <w:t xml:space="preserve">, </w:t>
      </w:r>
      <w:r>
        <w:t>licensed under Part 101 of the Commission’s rules.</w:t>
      </w:r>
      <w:r>
        <w:rPr>
          <w:rStyle w:val="FootnoteReference"/>
        </w:rPr>
        <w:footnoteReference w:id="4"/>
      </w:r>
      <w:r>
        <w:t xml:space="preserve">  In 2000, the Commission </w:t>
      </w:r>
      <w:r>
        <w:rPr>
          <w:color w:val="000000"/>
        </w:rPr>
        <w:t>designated the 928/959 MHz bands and twenty of the forty paired channels in the 932/941 MHz bands to be licensed on a geographic area basis using Economic Areas.</w:t>
      </w:r>
      <w:r>
        <w:rPr>
          <w:rStyle w:val="FootnoteReference"/>
          <w:color w:val="000000"/>
        </w:rPr>
        <w:footnoteReference w:id="5"/>
      </w:r>
      <w:r>
        <w:rPr>
          <w:color w:val="000000"/>
        </w:rPr>
        <w:t xml:space="preserve"> </w:t>
      </w:r>
      <w:r>
        <w:t xml:space="preserve">  The Commission has held two auctions </w:t>
      </w:r>
      <w:r>
        <w:t xml:space="preserve">of MAS licenses.  In the first, Auction 42, held </w:t>
      </w:r>
      <w:r w:rsidR="00AC1F0F">
        <w:t xml:space="preserve">in </w:t>
      </w:r>
      <w:r>
        <w:t>November 2001, the Commission sold 878 licenses.</w:t>
      </w:r>
      <w:r>
        <w:rPr>
          <w:rStyle w:val="FootnoteReference"/>
        </w:rPr>
        <w:footnoteReference w:id="6"/>
      </w:r>
      <w:r>
        <w:t xml:space="preserve">  In the second, Auction 59, held </w:t>
      </w:r>
      <w:r w:rsidR="00AC1F0F">
        <w:t xml:space="preserve">in </w:t>
      </w:r>
      <w:r>
        <w:t>April</w:t>
      </w:r>
      <w:r w:rsidR="00A7428A">
        <w:t xml:space="preserve"> </w:t>
      </w:r>
      <w:r w:rsidR="00AC1F0F">
        <w:t xml:space="preserve">and </w:t>
      </w:r>
      <w:r>
        <w:t>May,</w:t>
      </w:r>
      <w:r>
        <w:t xml:space="preserve"> 2005, the Commission sold 2223 licenses.</w:t>
      </w:r>
      <w:r>
        <w:rPr>
          <w:rStyle w:val="FootnoteReference"/>
        </w:rPr>
        <w:footnoteReference w:id="7"/>
      </w:r>
      <w:r>
        <w:t xml:space="preserve"> </w:t>
      </w:r>
    </w:p>
    <w:p w:rsidR="00991930" w:rsidP="00991930">
      <w:pPr>
        <w:pStyle w:val="ParaNum"/>
        <w:widowControl/>
      </w:pPr>
      <w:r>
        <w:t xml:space="preserve">Originally, the licenses at issue </w:t>
      </w:r>
      <w:r w:rsidR="0027305A">
        <w:t xml:space="preserve">here </w:t>
      </w:r>
      <w:r>
        <w:t xml:space="preserve">were assigned to </w:t>
      </w:r>
      <w:r w:rsidR="00022493">
        <w:t>ITL</w:t>
      </w:r>
      <w:r>
        <w:t>, which won 352 MAS licenses in Auction 59.</w:t>
      </w:r>
      <w:r>
        <w:rPr>
          <w:rStyle w:val="FootnoteReference"/>
        </w:rPr>
        <w:footnoteReference w:id="8"/>
      </w:r>
      <w:r>
        <w:t xml:space="preserve">  </w:t>
      </w:r>
      <w:r w:rsidR="00C56686">
        <w:t>O</w:t>
      </w:r>
      <w:r>
        <w:t>n March 29, 2006, ITL’s long form application was granted, and it was issued licenses for each of the markets for which it was the winning bidder.</w:t>
      </w:r>
      <w:r>
        <w:rPr>
          <w:rStyle w:val="FootnoteReference"/>
        </w:rPr>
        <w:footnoteReference w:id="9"/>
      </w:r>
      <w:r>
        <w:t xml:space="preserve">  Under Section 101.1325(b) of the Commission’s Rules, ITL had until March 29, 2011, or five years after its licenses were granted, to provide service to at least one-fifth of the population within </w:t>
      </w:r>
      <w:r w:rsidR="0080417D">
        <w:t>each</w:t>
      </w:r>
      <w:r>
        <w:t xml:space="preserve"> service area or to demonstrate “substantial service.”</w:t>
      </w:r>
      <w:r>
        <w:rPr>
          <w:rStyle w:val="FootnoteReference"/>
        </w:rPr>
        <w:footnoteReference w:id="10"/>
      </w:r>
      <w:r>
        <w:t xml:space="preserve">  </w:t>
      </w:r>
      <w:r w:rsidR="00836B07">
        <w:t>Rather than file construction notifications o</w:t>
      </w:r>
      <w:r>
        <w:t>n March 29, 2011,</w:t>
      </w:r>
      <w:r w:rsidR="00C56686">
        <w:t xml:space="preserve"> </w:t>
      </w:r>
      <w:r w:rsidR="0027305A">
        <w:t xml:space="preserve">however, </w:t>
      </w:r>
      <w:r w:rsidR="00C56686">
        <w:t>ITL filed applications seeking an extension of time to construct the licenses</w:t>
      </w:r>
      <w:r w:rsidR="0027305A">
        <w:t xml:space="preserve"> and</w:t>
      </w:r>
      <w:r w:rsidR="00C56686">
        <w:t xml:space="preserve"> applications seeking to disaggregate</w:t>
      </w:r>
      <w:r>
        <w:t xml:space="preserve"> </w:t>
      </w:r>
      <w:r w:rsidR="00726E0F">
        <w:t xml:space="preserve">the </w:t>
      </w:r>
      <w:r w:rsidR="00C56686">
        <w:t xml:space="preserve">352 licenses </w:t>
      </w:r>
      <w:r w:rsidR="0027305A">
        <w:t>into 704 licenses and assign 352 of those licenses to Skybridge</w:t>
      </w:r>
      <w:r w:rsidR="00726E0F">
        <w:t>.</w:t>
      </w:r>
      <w:r>
        <w:rPr>
          <w:rStyle w:val="FootnoteReference"/>
        </w:rPr>
        <w:footnoteReference w:id="11"/>
      </w:r>
      <w:r>
        <w:t xml:space="preserve">  </w:t>
      </w:r>
      <w:r w:rsidR="00C56686">
        <w:t xml:space="preserve">Under the assignment applications, Skybridge agreed to assume the performance obligations for </w:t>
      </w:r>
      <w:r w:rsidR="00726E0F">
        <w:t xml:space="preserve">the entire Economic Area in which the individual licenses are located, as permitted by section </w:t>
      </w:r>
      <w:r w:rsidR="00022493">
        <w:t>101.1323(c)</w:t>
      </w:r>
      <w:r w:rsidR="00726E0F">
        <w:t xml:space="preserve"> of the Commission’s rules.  </w:t>
      </w:r>
      <w:r>
        <w:t>The</w:t>
      </w:r>
      <w:r w:rsidR="0080417D">
        <w:t xml:space="preserve"> Wireless Telecommunications Bureau (“</w:t>
      </w:r>
      <w:r w:rsidR="00A7428A">
        <w:t>Bureau</w:t>
      </w:r>
      <w:r w:rsidR="0080417D">
        <w:t>”)</w:t>
      </w:r>
      <w:r w:rsidR="00A7428A">
        <w:t xml:space="preserve"> </w:t>
      </w:r>
      <w:r>
        <w:t>granted the</w:t>
      </w:r>
      <w:r w:rsidR="00726E0F">
        <w:t xml:space="preserve"> applications for extensions of time to construct the licenses and the applications to disaggregate the 352 </w:t>
      </w:r>
      <w:r w:rsidR="00B96D19">
        <w:t>licenses</w:t>
      </w:r>
      <w:r>
        <w:t>.</w:t>
      </w:r>
      <w:r>
        <w:rPr>
          <w:rStyle w:val="FootnoteReference"/>
        </w:rPr>
        <w:footnoteReference w:id="12"/>
      </w:r>
      <w:r>
        <w:t xml:space="preserve">  </w:t>
      </w:r>
    </w:p>
    <w:p w:rsidR="00991930" w:rsidP="00991930">
      <w:pPr>
        <w:pStyle w:val="ParaNum"/>
        <w:widowControl/>
      </w:pPr>
      <w:r>
        <w:t xml:space="preserve">On February 6, 2016, the Wireless Telecommunications Bureau (“Bureau”) accepted applications seeking consent to the transfer of control of ITL and Skybridge to Susan L. </w:t>
      </w:r>
      <w:r>
        <w:t>Uecker</w:t>
      </w:r>
      <w:r>
        <w:t xml:space="preserve"> in her capacity as a receiver.</w:t>
      </w:r>
      <w:r>
        <w:rPr>
          <w:rStyle w:val="FootnoteReference"/>
        </w:rPr>
        <w:footnoteReference w:id="13"/>
      </w:r>
      <w:r>
        <w:t xml:space="preserve">  Until the appointment of Ms. </w:t>
      </w:r>
      <w:r>
        <w:t>Uecker</w:t>
      </w:r>
      <w:r>
        <w:t>, ITL and Skybridge were two of multiple entities that were under the control of Warren Havens.</w:t>
      </w:r>
      <w:r>
        <w:rPr>
          <w:rStyle w:val="FootnoteReference"/>
        </w:rPr>
        <w:footnoteReference w:id="14"/>
      </w:r>
      <w:r>
        <w:t xml:space="preserve">  </w:t>
      </w:r>
    </w:p>
    <w:p w:rsidR="00991930" w:rsidP="001E3B6A">
      <w:pPr>
        <w:pStyle w:val="ParaNum"/>
        <w:widowControl/>
      </w:pPr>
      <w:r>
        <w:t>Six weeks later, o</w:t>
      </w:r>
      <w:r w:rsidR="00600B1C">
        <w:t xml:space="preserve">n March 28, 2016, </w:t>
      </w:r>
      <w:r w:rsidR="00191761">
        <w:t xml:space="preserve">Ms. </w:t>
      </w:r>
      <w:r w:rsidR="00191761">
        <w:t>Uecker</w:t>
      </w:r>
      <w:r>
        <w:t xml:space="preserve"> </w:t>
      </w:r>
      <w:r w:rsidR="00600B1C">
        <w:t xml:space="preserve">filed applications to renew </w:t>
      </w:r>
      <w:r>
        <w:t>ITL’s</w:t>
      </w:r>
      <w:r w:rsidR="00600B1C">
        <w:t xml:space="preserve"> 352 </w:t>
      </w:r>
      <w:r>
        <w:t>MAS l</w:t>
      </w:r>
      <w:r w:rsidR="00600B1C">
        <w:t>icenses.</w:t>
      </w:r>
      <w:r>
        <w:rPr>
          <w:rStyle w:val="FootnoteReference"/>
        </w:rPr>
        <w:footnoteReference w:id="15"/>
      </w:r>
      <w:r w:rsidR="00600B1C">
        <w:t xml:space="preserve">  </w:t>
      </w:r>
      <w:r>
        <w:t xml:space="preserve">The next day, </w:t>
      </w:r>
      <w:r w:rsidR="00CE5DD6">
        <w:t xml:space="preserve">March 29, 2016, </w:t>
      </w:r>
      <w:r w:rsidR="00191761">
        <w:t xml:space="preserve">Ms. </w:t>
      </w:r>
      <w:r w:rsidR="00191761">
        <w:t>Uecker</w:t>
      </w:r>
      <w:r>
        <w:t xml:space="preserve"> </w:t>
      </w:r>
      <w:r>
        <w:t xml:space="preserve">filed </w:t>
      </w:r>
      <w:r w:rsidR="00CE5DD6">
        <w:t xml:space="preserve">two sets of applications with respect to </w:t>
      </w:r>
      <w:r w:rsidR="00C424C8">
        <w:t>Skybridge</w:t>
      </w:r>
      <w:r>
        <w:t>’</w:t>
      </w:r>
      <w:r w:rsidR="00C424C8">
        <w:t>s</w:t>
      </w:r>
      <w:r>
        <w:t xml:space="preserve"> </w:t>
      </w:r>
      <w:r w:rsidR="00CE5DD6">
        <w:t>MAS licenses – applications for a 12 month extension of time to demonstrate substantial service, and separate applications to renew the licenses.</w:t>
      </w:r>
      <w:r>
        <w:rPr>
          <w:rStyle w:val="FootnoteReference"/>
        </w:rPr>
        <w:footnoteReference w:id="16"/>
      </w:r>
      <w:r>
        <w:t xml:space="preserve">  </w:t>
      </w:r>
      <w:r w:rsidR="009F6E93">
        <w:t xml:space="preserve">In a separate order being released today, we </w:t>
      </w:r>
      <w:r w:rsidR="009F6E93">
        <w:t>deny the Skybridge applications for extension of time and note that the Skybridge licenses automatically terminated on March 29, 2016.</w:t>
      </w:r>
      <w:r>
        <w:rPr>
          <w:rStyle w:val="FootnoteReference"/>
        </w:rPr>
        <w:footnoteReference w:id="17"/>
      </w:r>
      <w:r w:rsidR="009F6E93">
        <w:t xml:space="preserve">  </w:t>
      </w:r>
      <w:r>
        <w:t xml:space="preserve">  </w:t>
      </w:r>
    </w:p>
    <w:p w:rsidR="004139B1" w:rsidRPr="004139B1" w:rsidP="00991930">
      <w:pPr>
        <w:pStyle w:val="ParaNum"/>
        <w:widowControl/>
      </w:pPr>
      <w:r>
        <w:rPr>
          <w:szCs w:val="22"/>
        </w:rPr>
        <w:t>A month later, o</w:t>
      </w:r>
      <w:r w:rsidR="00262292">
        <w:rPr>
          <w:szCs w:val="22"/>
        </w:rPr>
        <w:t xml:space="preserve">n May 6, 2016, </w:t>
      </w:r>
      <w:r>
        <w:rPr>
          <w:szCs w:val="22"/>
        </w:rPr>
        <w:t>SHC</w:t>
      </w:r>
      <w:r w:rsidR="00262292">
        <w:rPr>
          <w:szCs w:val="22"/>
        </w:rPr>
        <w:t xml:space="preserve"> </w:t>
      </w:r>
      <w:r w:rsidR="00991930">
        <w:rPr>
          <w:szCs w:val="22"/>
        </w:rPr>
        <w:t xml:space="preserve">filed </w:t>
      </w:r>
      <w:r w:rsidR="00694335">
        <w:rPr>
          <w:szCs w:val="22"/>
        </w:rPr>
        <w:t>mutually exclusive applications for the</w:t>
      </w:r>
      <w:r>
        <w:rPr>
          <w:szCs w:val="22"/>
        </w:rPr>
        <w:t xml:space="preserve"> 704 MAS licenses </w:t>
      </w:r>
      <w:r w:rsidR="00694335">
        <w:rPr>
          <w:szCs w:val="22"/>
        </w:rPr>
        <w:t xml:space="preserve">and a Petition to Deny the renewal applications </w:t>
      </w:r>
      <w:r w:rsidR="00191761">
        <w:rPr>
          <w:szCs w:val="22"/>
        </w:rPr>
        <w:t xml:space="preserve">that Ms. </w:t>
      </w:r>
      <w:r w:rsidR="00191761">
        <w:rPr>
          <w:szCs w:val="22"/>
        </w:rPr>
        <w:t>Uecker</w:t>
      </w:r>
      <w:r w:rsidR="00191761">
        <w:rPr>
          <w:szCs w:val="22"/>
        </w:rPr>
        <w:t xml:space="preserve"> had </w:t>
      </w:r>
      <w:r w:rsidR="00694335">
        <w:rPr>
          <w:szCs w:val="22"/>
        </w:rPr>
        <w:t xml:space="preserve">filed </w:t>
      </w:r>
      <w:r w:rsidR="00EF558B">
        <w:rPr>
          <w:szCs w:val="22"/>
        </w:rPr>
        <w:t xml:space="preserve">on behalf of </w:t>
      </w:r>
      <w:r w:rsidR="00694335">
        <w:rPr>
          <w:szCs w:val="22"/>
        </w:rPr>
        <w:t>ITL and Skybridge</w:t>
      </w:r>
      <w:r>
        <w:rPr>
          <w:szCs w:val="22"/>
        </w:rPr>
        <w:t xml:space="preserve"> for the</w:t>
      </w:r>
      <w:r>
        <w:rPr>
          <w:szCs w:val="22"/>
        </w:rPr>
        <w:t>ir respective</w:t>
      </w:r>
      <w:r>
        <w:rPr>
          <w:szCs w:val="22"/>
        </w:rPr>
        <w:t xml:space="preserve"> MAS licenses</w:t>
      </w:r>
      <w:r w:rsidR="00991930">
        <w:rPr>
          <w:szCs w:val="22"/>
        </w:rPr>
        <w:t>.</w:t>
      </w:r>
      <w:r>
        <w:rPr>
          <w:rStyle w:val="FootnoteReference"/>
          <w:szCs w:val="22"/>
        </w:rPr>
        <w:footnoteReference w:id="18"/>
      </w:r>
      <w:r w:rsidR="00991930">
        <w:rPr>
          <w:szCs w:val="22"/>
        </w:rPr>
        <w:t xml:space="preserve">  </w:t>
      </w:r>
      <w:r w:rsidR="00694335">
        <w:rPr>
          <w:szCs w:val="22"/>
        </w:rPr>
        <w:t xml:space="preserve">SHC argues that ITL and Skybridge should be denied a renewal expectancy </w:t>
      </w:r>
      <w:r>
        <w:rPr>
          <w:szCs w:val="22"/>
        </w:rPr>
        <w:t xml:space="preserve">for the MAS licenses </w:t>
      </w:r>
      <w:r w:rsidR="00694335">
        <w:rPr>
          <w:szCs w:val="22"/>
        </w:rPr>
        <w:t xml:space="preserve">because neither entity makes any showing whatsoever that they have constructed anything in connection with the 704 </w:t>
      </w:r>
      <w:r>
        <w:rPr>
          <w:szCs w:val="22"/>
        </w:rPr>
        <w:t xml:space="preserve">MAS </w:t>
      </w:r>
      <w:r w:rsidR="00694335">
        <w:rPr>
          <w:szCs w:val="22"/>
        </w:rPr>
        <w:t>licenses.</w:t>
      </w:r>
      <w:r>
        <w:rPr>
          <w:rStyle w:val="FootnoteReference"/>
          <w:szCs w:val="22"/>
        </w:rPr>
        <w:footnoteReference w:id="19"/>
      </w:r>
      <w:r w:rsidR="00694335">
        <w:rPr>
          <w:szCs w:val="22"/>
        </w:rPr>
        <w:t xml:space="preserve">  </w:t>
      </w:r>
      <w:r w:rsidR="005D4FF2">
        <w:rPr>
          <w:szCs w:val="22"/>
        </w:rPr>
        <w:t xml:space="preserve">SHC </w:t>
      </w:r>
      <w:r w:rsidR="00D16913">
        <w:rPr>
          <w:szCs w:val="22"/>
        </w:rPr>
        <w:t xml:space="preserve">argues </w:t>
      </w:r>
      <w:r w:rsidR="005D4FF2">
        <w:rPr>
          <w:szCs w:val="22"/>
        </w:rPr>
        <w:t xml:space="preserve">that </w:t>
      </w:r>
      <w:r w:rsidR="00D16913">
        <w:rPr>
          <w:szCs w:val="22"/>
        </w:rPr>
        <w:t>the Bureau has rejected arguments similar to the arguments made by ITL and Skybridge in connection with other licenses issued to licensees controlled by Warren Havens.</w:t>
      </w:r>
      <w:r>
        <w:rPr>
          <w:rStyle w:val="FootnoteReference"/>
          <w:szCs w:val="22"/>
        </w:rPr>
        <w:footnoteReference w:id="20"/>
      </w:r>
      <w:r w:rsidR="00D16913">
        <w:rPr>
          <w:szCs w:val="22"/>
        </w:rPr>
        <w:t xml:space="preserve">  </w:t>
      </w:r>
      <w:r>
        <w:rPr>
          <w:szCs w:val="22"/>
        </w:rPr>
        <w:t>SHC further argues that it should be awarded the 704 MAS licenses because in its mutually exclusive applications it commits to begin construction in certain markets within 12 months and to satisfy all applicable construction and coverage requirements within 48 months of being awarded the licenses.</w:t>
      </w:r>
      <w:r>
        <w:rPr>
          <w:rStyle w:val="FootnoteReference"/>
          <w:szCs w:val="22"/>
        </w:rPr>
        <w:footnoteReference w:id="21"/>
      </w:r>
      <w:r>
        <w:rPr>
          <w:szCs w:val="22"/>
        </w:rPr>
        <w:t xml:space="preserve">  </w:t>
      </w:r>
    </w:p>
    <w:p w:rsidR="00A13A2C" w:rsidRPr="00A13A2C" w:rsidP="00A13A2C">
      <w:pPr>
        <w:pStyle w:val="ParaNum"/>
        <w:widowControl/>
      </w:pPr>
      <w:r>
        <w:rPr>
          <w:szCs w:val="22"/>
        </w:rPr>
        <w:t>On May 16, 2016</w:t>
      </w:r>
      <w:r w:rsidR="005969F7">
        <w:rPr>
          <w:szCs w:val="22"/>
        </w:rPr>
        <w:t>,</w:t>
      </w:r>
      <w:r>
        <w:rPr>
          <w:szCs w:val="22"/>
        </w:rPr>
        <w:t xml:space="preserve"> </w:t>
      </w:r>
      <w:r w:rsidR="00191761">
        <w:rPr>
          <w:szCs w:val="22"/>
        </w:rPr>
        <w:t xml:space="preserve">Ms. </w:t>
      </w:r>
      <w:r w:rsidR="00191761">
        <w:rPr>
          <w:szCs w:val="22"/>
        </w:rPr>
        <w:t>Uecker</w:t>
      </w:r>
      <w:r>
        <w:rPr>
          <w:szCs w:val="22"/>
        </w:rPr>
        <w:t xml:space="preserve"> filed an Opposition to the Petition to Deny</w:t>
      </w:r>
      <w:r w:rsidR="00EF558B">
        <w:rPr>
          <w:szCs w:val="22"/>
        </w:rPr>
        <w:t xml:space="preserve"> on behalf of ITL and Skybridge</w:t>
      </w:r>
      <w:r>
        <w:rPr>
          <w:szCs w:val="22"/>
        </w:rPr>
        <w:t>.</w:t>
      </w:r>
      <w:r>
        <w:rPr>
          <w:rStyle w:val="FootnoteReference"/>
          <w:szCs w:val="22"/>
        </w:rPr>
        <w:footnoteReference w:id="22"/>
      </w:r>
      <w:r>
        <w:rPr>
          <w:szCs w:val="22"/>
        </w:rPr>
        <w:t xml:space="preserve">  </w:t>
      </w:r>
      <w:r w:rsidR="00EF558B">
        <w:rPr>
          <w:szCs w:val="22"/>
        </w:rPr>
        <w:t xml:space="preserve">Ms. </w:t>
      </w:r>
      <w:r w:rsidR="00EF558B">
        <w:rPr>
          <w:szCs w:val="22"/>
        </w:rPr>
        <w:t>Uecker</w:t>
      </w:r>
      <w:r>
        <w:rPr>
          <w:szCs w:val="22"/>
        </w:rPr>
        <w:t xml:space="preserve"> argues that the Commission should dismiss the Petition to Deny because SHC does not have standing and because the Petition is otherwise without merit.</w:t>
      </w:r>
      <w:r>
        <w:rPr>
          <w:rStyle w:val="FootnoteReference"/>
          <w:szCs w:val="22"/>
        </w:rPr>
        <w:footnoteReference w:id="23"/>
      </w:r>
      <w:r>
        <w:rPr>
          <w:szCs w:val="22"/>
        </w:rPr>
        <w:t xml:space="preserve">  </w:t>
      </w:r>
      <w:r w:rsidR="00DB10A1">
        <w:rPr>
          <w:szCs w:val="22"/>
        </w:rPr>
        <w:t>First, s</w:t>
      </w:r>
      <w:r>
        <w:rPr>
          <w:szCs w:val="22"/>
        </w:rPr>
        <w:t>he maintains that SHC is not a “party in interest” because it</w:t>
      </w:r>
      <w:r w:rsidR="005969F7">
        <w:rPr>
          <w:szCs w:val="22"/>
        </w:rPr>
        <w:t>s</w:t>
      </w:r>
      <w:r w:rsidR="0021360B">
        <w:rPr>
          <w:szCs w:val="22"/>
        </w:rPr>
        <w:t xml:space="preserve"> mutually exclusive applications for the 704 MAS licenses</w:t>
      </w:r>
      <w:r w:rsidR="005969F7">
        <w:rPr>
          <w:szCs w:val="22"/>
        </w:rPr>
        <w:t xml:space="preserve"> were not properly filed</w:t>
      </w:r>
      <w:r w:rsidR="0021360B">
        <w:rPr>
          <w:szCs w:val="22"/>
        </w:rPr>
        <w:t>.</w:t>
      </w:r>
      <w:r>
        <w:rPr>
          <w:rStyle w:val="FootnoteReference"/>
          <w:szCs w:val="22"/>
        </w:rPr>
        <w:footnoteReference w:id="24"/>
      </w:r>
      <w:r w:rsidR="0021360B">
        <w:rPr>
          <w:szCs w:val="22"/>
        </w:rPr>
        <w:t xml:space="preserve">  Because these applications are improper, she argues, they offer no basis for SHC to assert an interest in the </w:t>
      </w:r>
      <w:r w:rsidR="00EF558B">
        <w:rPr>
          <w:szCs w:val="22"/>
        </w:rPr>
        <w:t xml:space="preserve">704 MAS </w:t>
      </w:r>
      <w:r w:rsidR="0021360B">
        <w:rPr>
          <w:szCs w:val="22"/>
        </w:rPr>
        <w:t>Renewal Applications.</w:t>
      </w:r>
      <w:r>
        <w:rPr>
          <w:rStyle w:val="FootnoteReference"/>
          <w:szCs w:val="22"/>
        </w:rPr>
        <w:footnoteReference w:id="25"/>
      </w:r>
      <w:r w:rsidR="00783144">
        <w:rPr>
          <w:szCs w:val="22"/>
        </w:rPr>
        <w:t xml:space="preserve">  </w:t>
      </w:r>
      <w:r w:rsidR="00545903">
        <w:rPr>
          <w:szCs w:val="22"/>
        </w:rPr>
        <w:t>In fact, the SHC</w:t>
      </w:r>
      <w:r w:rsidR="00545903">
        <w:t xml:space="preserve"> applications were found to be defective, and have been dismissed.</w:t>
      </w:r>
      <w:r>
        <w:rPr>
          <w:rStyle w:val="FootnoteReference"/>
        </w:rPr>
        <w:footnoteReference w:id="26"/>
      </w:r>
      <w:r w:rsidR="00545903">
        <w:t xml:space="preserve">  </w:t>
      </w:r>
      <w:r w:rsidR="00DB10A1">
        <w:rPr>
          <w:szCs w:val="22"/>
        </w:rPr>
        <w:t xml:space="preserve">Second, </w:t>
      </w:r>
      <w:r w:rsidR="00514A54">
        <w:rPr>
          <w:szCs w:val="22"/>
        </w:rPr>
        <w:t xml:space="preserve">Ms. </w:t>
      </w:r>
      <w:r w:rsidR="00514A54">
        <w:rPr>
          <w:szCs w:val="22"/>
        </w:rPr>
        <w:t>Uecker</w:t>
      </w:r>
      <w:r w:rsidR="00514A54">
        <w:rPr>
          <w:szCs w:val="22"/>
        </w:rPr>
        <w:t xml:space="preserve"> </w:t>
      </w:r>
      <w:r w:rsidR="0072155B">
        <w:rPr>
          <w:szCs w:val="22"/>
        </w:rPr>
        <w:t xml:space="preserve">maintains </w:t>
      </w:r>
      <w:r w:rsidR="00514A54">
        <w:rPr>
          <w:szCs w:val="22"/>
        </w:rPr>
        <w:t xml:space="preserve">that SHC’s arguments concerning Warren Havens are irrelevant because </w:t>
      </w:r>
      <w:r w:rsidR="00EF558B">
        <w:rPr>
          <w:szCs w:val="22"/>
        </w:rPr>
        <w:t xml:space="preserve">she controls the licenses as </w:t>
      </w:r>
      <w:r w:rsidR="00783144">
        <w:rPr>
          <w:szCs w:val="22"/>
        </w:rPr>
        <w:t>the cou</w:t>
      </w:r>
      <w:r>
        <w:rPr>
          <w:szCs w:val="22"/>
        </w:rPr>
        <w:t xml:space="preserve">rt-appointed receiver for </w:t>
      </w:r>
      <w:r w:rsidR="00EF558B">
        <w:rPr>
          <w:szCs w:val="22"/>
        </w:rPr>
        <w:t>both ITL and Skybridge</w:t>
      </w:r>
      <w:r w:rsidR="00783144">
        <w:rPr>
          <w:szCs w:val="22"/>
        </w:rPr>
        <w:t>.</w:t>
      </w:r>
      <w:r>
        <w:rPr>
          <w:rStyle w:val="FootnoteReference"/>
          <w:szCs w:val="22"/>
        </w:rPr>
        <w:footnoteReference w:id="27"/>
      </w:r>
      <w:r w:rsidR="00783144">
        <w:rPr>
          <w:szCs w:val="22"/>
        </w:rPr>
        <w:t xml:space="preserve">  </w:t>
      </w:r>
      <w:r w:rsidR="00DB10A1">
        <w:rPr>
          <w:szCs w:val="22"/>
        </w:rPr>
        <w:t>She notes that as the  receiver , she is obligated to preserve th</w:t>
      </w:r>
      <w:r>
        <w:rPr>
          <w:szCs w:val="22"/>
        </w:rPr>
        <w:t>e value of the licenses.</w:t>
      </w:r>
      <w:r>
        <w:rPr>
          <w:rStyle w:val="FootnoteReference"/>
          <w:szCs w:val="22"/>
        </w:rPr>
        <w:footnoteReference w:id="28"/>
      </w:r>
      <w:r>
        <w:rPr>
          <w:szCs w:val="22"/>
        </w:rPr>
        <w:t xml:space="preserve">  </w:t>
      </w:r>
      <w:r w:rsidR="00DB10A1">
        <w:rPr>
          <w:szCs w:val="22"/>
        </w:rPr>
        <w:t xml:space="preserve">Third, she maintains that </w:t>
      </w:r>
      <w:r>
        <w:rPr>
          <w:szCs w:val="22"/>
        </w:rPr>
        <w:t>because the Commission has previously recognized that ITL has no construction, geographic coverage, or substantial service obligations, SHC is incorrect in its understanding of ITL’s buildout obligations.</w:t>
      </w:r>
      <w:r>
        <w:rPr>
          <w:rStyle w:val="FootnoteReference"/>
          <w:szCs w:val="22"/>
        </w:rPr>
        <w:footnoteReference w:id="29"/>
      </w:r>
      <w:r>
        <w:rPr>
          <w:szCs w:val="22"/>
        </w:rPr>
        <w:t xml:space="preserve">  </w:t>
      </w:r>
    </w:p>
    <w:p w:rsidR="00131A65" w:rsidP="00A13A2C">
      <w:pPr>
        <w:pStyle w:val="ParaNum"/>
        <w:widowControl/>
      </w:pPr>
      <w:r>
        <w:t xml:space="preserve">On May 26, 2016, </w:t>
      </w:r>
      <w:r w:rsidR="00E756B5">
        <w:t>SHC filed a Reply to Opposition to Petition to Deny.</w:t>
      </w:r>
      <w:r>
        <w:rPr>
          <w:rStyle w:val="FootnoteReference"/>
        </w:rPr>
        <w:footnoteReference w:id="30"/>
      </w:r>
      <w:r w:rsidR="00E756B5">
        <w:t xml:space="preserve">  SHC argues that it has standing because</w:t>
      </w:r>
      <w:r>
        <w:t xml:space="preserve"> it</w:t>
      </w:r>
      <w:r w:rsidR="00E756B5">
        <w:t xml:space="preserve"> </w:t>
      </w:r>
      <w:r>
        <w:t xml:space="preserve">filed </w:t>
      </w:r>
      <w:r w:rsidR="00E756B5">
        <w:t xml:space="preserve">mutually exclusive applications </w:t>
      </w:r>
      <w:r>
        <w:t>for the 704 MAS licenses</w:t>
      </w:r>
      <w:r w:rsidR="001D2E12">
        <w:t>, which</w:t>
      </w:r>
      <w:r>
        <w:t xml:space="preserve"> the Commission ha</w:t>
      </w:r>
      <w:r w:rsidR="00CB398F">
        <w:t>d</w:t>
      </w:r>
      <w:r>
        <w:t xml:space="preserve"> not </w:t>
      </w:r>
      <w:r w:rsidR="00CB398F">
        <w:t xml:space="preserve">at </w:t>
      </w:r>
      <w:r w:rsidR="001D2E12">
        <w:t>the time of the Petition</w:t>
      </w:r>
      <w:r w:rsidR="00CB398F">
        <w:t xml:space="preserve"> </w:t>
      </w:r>
      <w:r>
        <w:t xml:space="preserve">determined </w:t>
      </w:r>
      <w:r w:rsidR="001D2E12">
        <w:t xml:space="preserve">to be </w:t>
      </w:r>
      <w:r>
        <w:t xml:space="preserve">either improperly filed or otherwise </w:t>
      </w:r>
      <w:r>
        <w:t>defective.</w:t>
      </w:r>
      <w:r>
        <w:rPr>
          <w:rStyle w:val="FootnoteReference"/>
        </w:rPr>
        <w:footnoteReference w:id="31"/>
      </w:r>
      <w:r>
        <w:t xml:space="preserve">  SHC also argues that</w:t>
      </w:r>
      <w:r w:rsidR="00D10C3E">
        <w:t>,</w:t>
      </w:r>
      <w:r>
        <w:t xml:space="preserve"> even if the competing applications were dismissed, it would still have standing under </w:t>
      </w:r>
      <w:r w:rsidRPr="00A7428A">
        <w:rPr>
          <w:i/>
        </w:rPr>
        <w:t>Jacksonville Broadcasting Corp. v. FCC</w:t>
      </w:r>
      <w:r w:rsidR="00334D5B">
        <w:t>.</w:t>
      </w:r>
      <w:r>
        <w:rPr>
          <w:rStyle w:val="FootnoteReference"/>
        </w:rPr>
        <w:footnoteReference w:id="32"/>
      </w:r>
      <w:r>
        <w:t xml:space="preserve">  </w:t>
      </w:r>
    </w:p>
    <w:p w:rsidR="00A13A2C" w:rsidRPr="004139B1" w:rsidP="00A13A2C">
      <w:pPr>
        <w:pStyle w:val="ParaNum"/>
        <w:widowControl/>
      </w:pPr>
      <w:r>
        <w:t>In the alternative, SHC argues that the Commission should reach the merits of the petition to deny without regard to Petitioner’s standing as a “party in interest.”</w:t>
      </w:r>
      <w:r w:rsidRPr="00334D5B" w:rsidR="00334D5B">
        <w:rPr>
          <w:rStyle w:val="FootnoteReference"/>
        </w:rPr>
        <w:t xml:space="preserve"> </w:t>
      </w:r>
      <w:r>
        <w:rPr>
          <w:rStyle w:val="FootnoteReference"/>
        </w:rPr>
        <w:footnoteReference w:id="33"/>
      </w:r>
      <w:r>
        <w:t xml:space="preserve">  </w:t>
      </w:r>
      <w:r w:rsidR="00702554">
        <w:t xml:space="preserve">SHC cites four cases </w:t>
      </w:r>
      <w:r w:rsidR="00CB398F">
        <w:t>in which</w:t>
      </w:r>
      <w:r w:rsidR="00702554">
        <w:t xml:space="preserve"> the Commission disposed of Petitions to Deny filed by Warren Havens individually or in concert with Havens licensees without addressing </w:t>
      </w:r>
      <w:r w:rsidR="00CB398F">
        <w:t>standing</w:t>
      </w:r>
      <w:r w:rsidR="00DF44E7">
        <w:t xml:space="preserve"> and in two of those proceedings, the Commission decided</w:t>
      </w:r>
      <w:r w:rsidR="00CB398F">
        <w:t xml:space="preserve"> the substantive</w:t>
      </w:r>
      <w:r w:rsidR="00DF44E7">
        <w:t xml:space="preserve"> issues raised by Havens and Haven</w:t>
      </w:r>
      <w:r w:rsidR="00EF558B">
        <w:t>s</w:t>
      </w:r>
      <w:r w:rsidR="00DF44E7">
        <w:t xml:space="preserve"> </w:t>
      </w:r>
      <w:r w:rsidR="00545903">
        <w:t>l</w:t>
      </w:r>
      <w:r w:rsidR="00DF44E7">
        <w:t>icensees</w:t>
      </w:r>
      <w:r w:rsidR="00702554">
        <w:t>.</w:t>
      </w:r>
      <w:bookmarkStart w:id="0" w:name="_Ref462391182"/>
      <w:r>
        <w:rPr>
          <w:rStyle w:val="FootnoteReference"/>
        </w:rPr>
        <w:footnoteReference w:id="34"/>
      </w:r>
      <w:bookmarkEnd w:id="0"/>
      <w:r w:rsidR="00702554">
        <w:t xml:space="preserve">  </w:t>
      </w:r>
    </w:p>
    <w:p w:rsidR="00991930" w:rsidP="00991930">
      <w:pPr>
        <w:pStyle w:val="Heading1"/>
        <w:widowControl/>
      </w:pPr>
      <w:r>
        <w:t>discussion</w:t>
      </w:r>
    </w:p>
    <w:p w:rsidR="00022493" w:rsidP="00575572">
      <w:pPr>
        <w:pStyle w:val="ParaNum"/>
      </w:pPr>
      <w:r>
        <w:t>The Commission’s rules require that a petition to deny must contain specific allegations of fact sufficient to make a prima facie showing that the petitioner is a party in interest.</w:t>
      </w:r>
      <w:r>
        <w:rPr>
          <w:rStyle w:val="FootnoteReference"/>
        </w:rPr>
        <w:footnoteReference w:id="35"/>
      </w:r>
      <w:r>
        <w:t xml:space="preserve">  </w:t>
      </w:r>
      <w:r w:rsidRPr="00022493">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36"/>
      </w:r>
      <w:r w:rsidRPr="00022493">
        <w:rPr>
          <w:szCs w:val="22"/>
        </w:rPr>
        <w:t xml:space="preserve">  In addition, petitioners must demonstrate a causal link between the claimed injury and the challenged action.</w:t>
      </w:r>
      <w:r>
        <w:rPr>
          <w:rStyle w:val="FootnoteReference"/>
          <w:szCs w:val="22"/>
        </w:rPr>
        <w:footnoteReference w:id="37"/>
      </w:r>
      <w:r w:rsidRPr="00022493">
        <w:rPr>
          <w:szCs w:val="22"/>
        </w:rPr>
        <w:t xml:space="preserve">  To demonstrate a causal link, petitioners must establish that the injury can be </w:t>
      </w:r>
      <w:r w:rsidR="009208DC">
        <w:rPr>
          <w:szCs w:val="22"/>
        </w:rPr>
        <w:t xml:space="preserve">traced to the challenged action </w:t>
      </w:r>
      <w:r w:rsidRPr="00022493">
        <w:rPr>
          <w:szCs w:val="22"/>
        </w:rPr>
        <w:t>and that the injury would be prevented or redressed by the relief requested.</w:t>
      </w:r>
      <w:r>
        <w:rPr>
          <w:rStyle w:val="FootnoteReference"/>
          <w:szCs w:val="22"/>
        </w:rPr>
        <w:footnoteReference w:id="38"/>
      </w:r>
      <w:r w:rsidRPr="00022493">
        <w:rPr>
          <w:szCs w:val="22"/>
        </w:rPr>
        <w:t xml:space="preserve">  An organization may meet these standards in its own right or may demonstrate that one or more of its members meets them.</w:t>
      </w:r>
      <w:r>
        <w:rPr>
          <w:rStyle w:val="FootnoteReference"/>
          <w:szCs w:val="22"/>
        </w:rPr>
        <w:footnoteReference w:id="39"/>
      </w:r>
      <w:r w:rsidRPr="00022493">
        <w:rPr>
          <w:szCs w:val="22"/>
        </w:rPr>
        <w:t xml:space="preserve">  As discussed below, </w:t>
      </w:r>
      <w:r>
        <w:rPr>
          <w:szCs w:val="22"/>
        </w:rPr>
        <w:t>SHC</w:t>
      </w:r>
      <w:r w:rsidRPr="00022493">
        <w:rPr>
          <w:szCs w:val="22"/>
        </w:rPr>
        <w:t xml:space="preserve"> fails to establish party-in-interest standing, and a</w:t>
      </w:r>
      <w:r>
        <w:t xml:space="preserve">ccordingly, we dismiss the SHC Petition to Deny.  </w:t>
      </w:r>
    </w:p>
    <w:p w:rsidR="00022493" w:rsidP="008348DF">
      <w:pPr>
        <w:pStyle w:val="ParaNum"/>
        <w:widowControl/>
      </w:pPr>
      <w:r>
        <w:t>SHC has not shown that it is a “</w:t>
      </w:r>
      <w:r w:rsidR="00CB57E0">
        <w:t>party-in-interest</w:t>
      </w:r>
      <w:r>
        <w:t xml:space="preserve">” </w:t>
      </w:r>
      <w:r w:rsidR="00CB57E0">
        <w:t xml:space="preserve">because it has not alleged facts </w:t>
      </w:r>
      <w:r w:rsidR="00CB57E0">
        <w:t>sufficient</w:t>
      </w:r>
      <w:r w:rsidR="00CB57E0">
        <w:t xml:space="preserve"> to demonstrate that a grant of </w:t>
      </w:r>
      <w:r w:rsidR="00E75895">
        <w:t xml:space="preserve">the 704 </w:t>
      </w:r>
      <w:r w:rsidR="00EF558B">
        <w:t>MAS R</w:t>
      </w:r>
      <w:r w:rsidR="00E75895">
        <w:t xml:space="preserve">enewal </w:t>
      </w:r>
      <w:r w:rsidR="00EF558B">
        <w:t>A</w:t>
      </w:r>
      <w:r w:rsidR="00E75895">
        <w:t xml:space="preserve">pplications would cause </w:t>
      </w:r>
      <w:r w:rsidR="00A53C73">
        <w:t>it</w:t>
      </w:r>
      <w:r w:rsidR="00E75895">
        <w:t xml:space="preserve"> to suffer a direct injury. </w:t>
      </w:r>
      <w:r>
        <w:t xml:space="preserve"> </w:t>
      </w:r>
      <w:r w:rsidR="001E19D0">
        <w:t xml:space="preserve">SHC based its assertion of “party-in-interest” status on its filing of </w:t>
      </w:r>
      <w:r w:rsidR="00EF558B">
        <w:t xml:space="preserve">mutually </w:t>
      </w:r>
      <w:r>
        <w:t>exclusive applications for the 704 MAS licenses</w:t>
      </w:r>
      <w:r w:rsidR="00A53C73">
        <w:t>.</w:t>
      </w:r>
      <w:r>
        <w:rPr>
          <w:rStyle w:val="FootnoteReference"/>
        </w:rPr>
        <w:footnoteReference w:id="40"/>
      </w:r>
      <w:r w:rsidR="00A53C73">
        <w:t xml:space="preserve">  </w:t>
      </w:r>
      <w:r w:rsidR="00FB454C">
        <w:t xml:space="preserve">As noted above, </w:t>
      </w:r>
      <w:r w:rsidR="00D97A51">
        <w:t xml:space="preserve">however, </w:t>
      </w:r>
      <w:r w:rsidR="00FB454C">
        <w:t>t</w:t>
      </w:r>
      <w:r w:rsidR="00783BA3">
        <w:t>hose applications, were defective and have been dismissed</w:t>
      </w:r>
      <w:r w:rsidR="00E75895">
        <w:t>.</w:t>
      </w:r>
      <w:r>
        <w:rPr>
          <w:rStyle w:val="FootnoteReference"/>
        </w:rPr>
        <w:footnoteReference w:id="41"/>
      </w:r>
      <w:r w:rsidR="00E75895">
        <w:t xml:space="preserve">  </w:t>
      </w:r>
      <w:r w:rsidR="00783BA3">
        <w:t xml:space="preserve">The fact that the dismissal came after the Petition to Deny was filed is immaterial; SHC’s applications were always defective and thus could not serve to create standing.  </w:t>
      </w:r>
      <w:r w:rsidR="001E19D0">
        <w:t>SHC can</w:t>
      </w:r>
      <w:r w:rsidR="0001119E">
        <w:t>not</w:t>
      </w:r>
      <w:r w:rsidR="001E19D0">
        <w:t xml:space="preserve"> show</w:t>
      </w:r>
      <w:r w:rsidR="00E75895">
        <w:t xml:space="preserve"> that it will suffer a direct injury if</w:t>
      </w:r>
      <w:r w:rsidR="008B0A69">
        <w:t xml:space="preserve"> Ms. </w:t>
      </w:r>
      <w:r w:rsidR="008B0A69">
        <w:t>Uecker’s</w:t>
      </w:r>
      <w:r w:rsidR="008B0A69">
        <w:t xml:space="preserve"> renewal application</w:t>
      </w:r>
      <w:r w:rsidR="001E19D0">
        <w:t>s</w:t>
      </w:r>
      <w:r w:rsidR="008B0A69">
        <w:t xml:space="preserve"> on beha</w:t>
      </w:r>
      <w:bookmarkStart w:id="1" w:name="_GoBack"/>
      <w:bookmarkEnd w:id="1"/>
      <w:r w:rsidR="008B0A69">
        <w:t>lf of ITL and Skybridge</w:t>
      </w:r>
      <w:r w:rsidR="00E75895">
        <w:t xml:space="preserve"> are granted because </w:t>
      </w:r>
      <w:r w:rsidR="008B0A69">
        <w:t>SHC</w:t>
      </w:r>
      <w:r w:rsidR="00783BA3">
        <w:t xml:space="preserve"> never had any valid</w:t>
      </w:r>
      <w:r w:rsidR="00D72430">
        <w:t xml:space="preserve"> mutually exclusive applications.  </w:t>
      </w:r>
    </w:p>
    <w:p w:rsidR="00A53C73" w:rsidP="00991930">
      <w:pPr>
        <w:pStyle w:val="ParaNum"/>
        <w:widowControl/>
      </w:pPr>
      <w:r>
        <w:t>SHC further maintains that</w:t>
      </w:r>
      <w:r w:rsidR="00D97A51">
        <w:t>,</w:t>
      </w:r>
      <w:r>
        <w:t xml:space="preserve"> even if the Commis</w:t>
      </w:r>
      <w:r w:rsidR="008B0A69">
        <w:t xml:space="preserve">sion </w:t>
      </w:r>
      <w:r w:rsidR="001E19D0">
        <w:t xml:space="preserve">were to </w:t>
      </w:r>
      <w:r w:rsidR="008B0A69">
        <w:t>dismiss its</w:t>
      </w:r>
      <w:r>
        <w:t xml:space="preserve"> mutually exclusive applications</w:t>
      </w:r>
      <w:r w:rsidR="001E19D0">
        <w:t xml:space="preserve"> (as</w:t>
      </w:r>
      <w:r w:rsidR="0041017B">
        <w:t xml:space="preserve"> </w:t>
      </w:r>
      <w:r w:rsidR="001E19D0">
        <w:t>it ultimately did)</w:t>
      </w:r>
      <w:r>
        <w:t xml:space="preserve">, </w:t>
      </w:r>
      <w:r w:rsidR="001E19D0">
        <w:t>SHC</w:t>
      </w:r>
      <w:r>
        <w:t xml:space="preserve"> still has standing under </w:t>
      </w:r>
      <w:r w:rsidRPr="0024342F">
        <w:rPr>
          <w:i/>
        </w:rPr>
        <w:t>Jacksonville Broadcasting Corp.</w:t>
      </w:r>
      <w:r w:rsidRPr="001814C1">
        <w:rPr>
          <w:u w:val="single"/>
        </w:rPr>
        <w:t xml:space="preserve"> </w:t>
      </w:r>
      <w:r w:rsidRPr="0024342F">
        <w:rPr>
          <w:i/>
        </w:rPr>
        <w:t>v. FCC</w:t>
      </w:r>
      <w:r w:rsidRPr="0024342F" w:rsidR="000C7135">
        <w:t>,</w:t>
      </w:r>
      <w:r>
        <w:rPr>
          <w:rStyle w:val="FootnoteReference"/>
        </w:rPr>
        <w:footnoteReference w:id="42"/>
      </w:r>
      <w:r w:rsidR="00E43CCF">
        <w:t xml:space="preserve"> </w:t>
      </w:r>
      <w:r w:rsidR="001E19D0">
        <w:t>in which</w:t>
      </w:r>
      <w:r w:rsidRPr="000C7135" w:rsidR="000C7135">
        <w:t xml:space="preserve"> the court held that a disqualified applicant </w:t>
      </w:r>
      <w:r w:rsidR="000C7135">
        <w:t xml:space="preserve">had standing to appeal the grant of a </w:t>
      </w:r>
      <w:r w:rsidR="000C7135">
        <w:t>license</w:t>
      </w:r>
      <w:r>
        <w:t>.</w:t>
      </w:r>
      <w:r>
        <w:rPr>
          <w:rStyle w:val="FootnoteReference"/>
        </w:rPr>
        <w:footnoteReference w:id="43"/>
      </w:r>
      <w:r>
        <w:t xml:space="preserve">  </w:t>
      </w:r>
      <w:r w:rsidR="000C7135">
        <w:t xml:space="preserve">We disagree.  </w:t>
      </w:r>
      <w:r w:rsidR="008D1EC8">
        <w:t xml:space="preserve">The Court of Appeals has limited </w:t>
      </w:r>
      <w:r w:rsidRPr="0024342F" w:rsidR="008D1EC8">
        <w:rPr>
          <w:i/>
        </w:rPr>
        <w:t>Jacksonville Broadcasting Corp. v. FCC</w:t>
      </w:r>
      <w:r w:rsidRPr="008D1EC8" w:rsidR="008D1EC8">
        <w:t xml:space="preserve"> </w:t>
      </w:r>
      <w:r w:rsidR="008D1EC8">
        <w:t xml:space="preserve">by </w:t>
      </w:r>
      <w:r w:rsidR="00DC07B1">
        <w:t>clarifying that “</w:t>
      </w:r>
      <w:r w:rsidRPr="00DC07B1" w:rsidR="00DC07B1">
        <w:t>one who seeks to overturn a Commission licensing decision in the capacity of a disappointed applicant must actually apply, and must do so in timely fashion.</w:t>
      </w:r>
      <w:r w:rsidR="00DC07B1">
        <w:t>”</w:t>
      </w:r>
      <w:r>
        <w:rPr>
          <w:rStyle w:val="FootnoteReference"/>
        </w:rPr>
        <w:footnoteReference w:id="44"/>
      </w:r>
      <w:r w:rsidRPr="00DC07B1" w:rsidR="00DC07B1">
        <w:t xml:space="preserve"> </w:t>
      </w:r>
      <w:r w:rsidR="00783BA3">
        <w:t xml:space="preserve"> </w:t>
      </w:r>
      <w:r w:rsidR="00DC07B1">
        <w:t xml:space="preserve">Indeed, the Court </w:t>
      </w:r>
      <w:r w:rsidR="00400899">
        <w:t xml:space="preserve">in </w:t>
      </w:r>
      <w:r w:rsidRPr="0024342F" w:rsidR="00400899">
        <w:rPr>
          <w:i/>
        </w:rPr>
        <w:t>Coalition for the Preservation of Hispanic Broadcasting</w:t>
      </w:r>
      <w:r w:rsidRPr="00400899" w:rsidR="00400899">
        <w:t xml:space="preserve"> </w:t>
      </w:r>
      <w:r w:rsidR="00DC07B1">
        <w:t xml:space="preserve">overruled </w:t>
      </w:r>
      <w:r w:rsidRPr="0024342F" w:rsidR="00DC07B1">
        <w:rPr>
          <w:i/>
        </w:rPr>
        <w:t>Jacksonville Broadcasting</w:t>
      </w:r>
      <w:r w:rsidR="00DC07B1">
        <w:t xml:space="preserve"> to the extent that case was inconsistent with the requirement to file a timely application.  Since SHC did not file a</w:t>
      </w:r>
      <w:r w:rsidR="00B851FF">
        <w:t xml:space="preserve"> timely</w:t>
      </w:r>
      <w:r w:rsidR="00DC07B1">
        <w:t xml:space="preserve"> application within </w:t>
      </w:r>
      <w:r w:rsidR="00400899">
        <w:t xml:space="preserve">a window in </w:t>
      </w:r>
      <w:r w:rsidR="00DC07B1">
        <w:t xml:space="preserve">which comparative renewal applications could be filed, </w:t>
      </w:r>
      <w:r w:rsidRPr="009641C2" w:rsidR="00B851FF">
        <w:rPr>
          <w:i/>
        </w:rPr>
        <w:t>Coalition for the Preservation of Hispanic Broadcasting</w:t>
      </w:r>
      <w:r w:rsidR="00B851FF">
        <w:t xml:space="preserve"> supports a conclusion that SHC lacks standing.</w:t>
      </w:r>
      <w:r w:rsidR="00547E13">
        <w:t xml:space="preserve">   </w:t>
      </w:r>
    </w:p>
    <w:p w:rsidR="00991930" w:rsidP="00991930">
      <w:pPr>
        <w:pStyle w:val="ParaNum"/>
        <w:widowControl/>
      </w:pPr>
      <w:r>
        <w:t>SHC also argues that we should reach the merits of the case without regard to whether it has standing</w:t>
      </w:r>
      <w:r w:rsidR="0024342F">
        <w:t>.</w:t>
      </w:r>
      <w:r>
        <w:rPr>
          <w:rStyle w:val="FootnoteReference"/>
        </w:rPr>
        <w:footnoteReference w:id="45"/>
      </w:r>
      <w:r>
        <w:t xml:space="preserve">  </w:t>
      </w:r>
      <w:r w:rsidR="00B851FF">
        <w:t>While it is true that we have discretion to consider SHC’s pleading as an informal objection</w:t>
      </w:r>
      <w:r w:rsidR="007B35B6">
        <w:t>,</w:t>
      </w:r>
      <w:r>
        <w:rPr>
          <w:rStyle w:val="FootnoteReference"/>
        </w:rPr>
        <w:footnoteReference w:id="46"/>
      </w:r>
      <w:r w:rsidR="007B35B6">
        <w:t xml:space="preserve"> we </w:t>
      </w:r>
      <w:r w:rsidR="009505DC">
        <w:t xml:space="preserve">find no reason </w:t>
      </w:r>
      <w:r w:rsidR="007B35B6">
        <w:t>to do so in this case because we can address the pertinent issues without considering the petition to deny.  As noted above, we have denied Skyb</w:t>
      </w:r>
      <w:r w:rsidR="00456189">
        <w:t>r</w:t>
      </w:r>
      <w:r w:rsidR="007B35B6">
        <w:t xml:space="preserve">idge’s extension requests.  </w:t>
      </w:r>
      <w:r w:rsidRPr="007B35B6" w:rsidR="007B35B6">
        <w:t>Because Skybridge failed to comply with the performance obligations attached to its licenses, Skybridge’s 352 MAS licenses automatically cancelled on March 29, 2016, its construction deadline.</w:t>
      </w:r>
      <w:r w:rsidR="007B35B6">
        <w:t xml:space="preserve">  </w:t>
      </w:r>
      <w:r w:rsidR="00B9748D">
        <w:t xml:space="preserve">Thus, with respect to the Skybridge licenses, we have essentially granted the relief SHC seeks.  </w:t>
      </w:r>
      <w:r w:rsidR="007B35B6">
        <w:t>A</w:t>
      </w:r>
      <w:r w:rsidRPr="007B35B6" w:rsidR="007B35B6">
        <w:t>s explained above, there are no performance obligations attached to ITL’s 352 disaggregated MAS licenses.  Thus, SHC’s argument for denying the 704 Renewal Applications does not apply to ITL.</w:t>
      </w:r>
      <w:r>
        <w:t xml:space="preserve">  </w:t>
      </w:r>
    </w:p>
    <w:p w:rsidR="00991930" w:rsidP="00991930">
      <w:pPr>
        <w:pStyle w:val="Heading1"/>
        <w:widowControl/>
      </w:pPr>
      <w:r>
        <w:t>CONCLUSION AND ordering clauses</w:t>
      </w:r>
    </w:p>
    <w:p w:rsidR="00991930" w:rsidP="00991930">
      <w:pPr>
        <w:pStyle w:val="ParaNum"/>
        <w:widowControl/>
      </w:pPr>
      <w:r>
        <w:t xml:space="preserve"> </w:t>
      </w:r>
      <w:r>
        <w:t xml:space="preserve">  For the reasons set forth above, we dismiss SHC’s petition to deny the 704 MAS Renewal Applications</w:t>
      </w:r>
      <w:r w:rsidR="00450661">
        <w:t>.</w:t>
      </w:r>
    </w:p>
    <w:p w:rsidR="00991930" w:rsidP="00991930">
      <w:pPr>
        <w:pStyle w:val="ParaNum"/>
        <w:widowControl/>
      </w:pPr>
      <w:r>
        <w:t>Accordingly, IT IS FURTHER ORDERED that, p</w:t>
      </w:r>
      <w:r w:rsidR="00673D1D">
        <w:t>ursuant to Sections 4(</w:t>
      </w:r>
      <w:r w:rsidR="00673D1D">
        <w:t>i</w:t>
      </w:r>
      <w:r w:rsidR="00673D1D">
        <w:t>) and 303(r)</w:t>
      </w:r>
      <w:r>
        <w:rPr>
          <w:b/>
        </w:rPr>
        <w:t xml:space="preserve"> </w:t>
      </w:r>
      <w:r>
        <w:t>of the Communications Act of 1934, as a</w:t>
      </w:r>
      <w:r w:rsidR="00673D1D">
        <w:t>mended, 47 U.S.C. §§ 154(</w:t>
      </w:r>
      <w:r w:rsidR="00673D1D">
        <w:t>i</w:t>
      </w:r>
      <w:r w:rsidR="00673D1D">
        <w:t>), 303(r)</w:t>
      </w:r>
      <w:r w:rsidR="00A76B75">
        <w:t>, and Section 1.939, the petition to deny filed by SNAPS Holding Company on May 16, 2016 IS</w:t>
      </w:r>
      <w:r w:rsidR="007B35B6">
        <w:t xml:space="preserve"> DISMISSED</w:t>
      </w:r>
      <w:r>
        <w:t>.</w:t>
      </w:r>
    </w:p>
    <w:p w:rsidR="00437D1A" w:rsidP="00991930">
      <w:pPr>
        <w:pStyle w:val="ParaNum"/>
        <w:widowControl/>
      </w:pPr>
      <w:r w:rsidRPr="00437D1A">
        <w:t>Th</w:t>
      </w:r>
      <w:r>
        <w:t>is</w:t>
      </w:r>
      <w:r w:rsidRPr="00437D1A">
        <w:t xml:space="preserve"> action </w:t>
      </w:r>
      <w:r>
        <w:t xml:space="preserve">is </w:t>
      </w:r>
      <w:r w:rsidRPr="00437D1A">
        <w:t>taken under delegated authority pursuant to Sections 0.131 and 0.331 of the Commission’s Rules, 47 C.F.R. §§ 0.131, 0.331.</w:t>
      </w:r>
    </w:p>
    <w:p w:rsidR="009C0683">
      <w:pPr>
        <w:tabs>
          <w:tab w:val="left" w:pos="5760"/>
        </w:tabs>
        <w:rPr>
          <w:b/>
        </w:rPr>
      </w:pPr>
    </w:p>
    <w:p w:rsidR="009C0683">
      <w:pPr>
        <w:pStyle w:val="ParaNum"/>
        <w:widowControl/>
        <w:numPr>
          <w:ilvl w:val="0"/>
          <w:numId w:val="0"/>
        </w:numPr>
        <w:spacing w:after="0"/>
      </w:pPr>
      <w:r>
        <w:tab/>
      </w:r>
      <w:r>
        <w:tab/>
      </w:r>
      <w:r>
        <w:tab/>
      </w:r>
      <w:r>
        <w:tab/>
      </w:r>
      <w:r>
        <w:tab/>
        <w:t>FEDERAL COMMUNICATIONS COMMISSION</w:t>
      </w:r>
    </w:p>
    <w:p w:rsidR="009C0683">
      <w:pPr>
        <w:pStyle w:val="ParaNum"/>
        <w:widowControl/>
        <w:numPr>
          <w:ilvl w:val="0"/>
          <w:numId w:val="0"/>
        </w:numPr>
        <w:spacing w:after="0"/>
      </w:pPr>
    </w:p>
    <w:p w:rsidR="009C0683">
      <w:pPr>
        <w:pStyle w:val="ParaNum"/>
        <w:widowControl/>
        <w:numPr>
          <w:ilvl w:val="0"/>
          <w:numId w:val="0"/>
        </w:numPr>
        <w:spacing w:after="0"/>
      </w:pPr>
    </w:p>
    <w:p w:rsidR="009C0683">
      <w:pPr>
        <w:pStyle w:val="ParaNum"/>
        <w:widowControl/>
        <w:numPr>
          <w:ilvl w:val="0"/>
          <w:numId w:val="0"/>
        </w:numPr>
        <w:spacing w:after="0"/>
      </w:pPr>
    </w:p>
    <w:p w:rsidR="009C0683">
      <w:pPr>
        <w:pStyle w:val="ParaNum"/>
        <w:widowControl/>
        <w:numPr>
          <w:ilvl w:val="0"/>
          <w:numId w:val="0"/>
        </w:numPr>
        <w:spacing w:after="0"/>
      </w:pPr>
      <w:r>
        <w:tab/>
      </w:r>
      <w:r>
        <w:tab/>
      </w:r>
      <w:r>
        <w:tab/>
      </w:r>
      <w:r>
        <w:tab/>
      </w:r>
      <w:r>
        <w:tab/>
        <w:t>John J. Schauble</w:t>
      </w:r>
    </w:p>
    <w:p w:rsidR="009C0683">
      <w:pPr>
        <w:pStyle w:val="ParaNum"/>
        <w:widowControl/>
        <w:numPr>
          <w:ilvl w:val="0"/>
          <w:numId w:val="0"/>
        </w:numPr>
        <w:spacing w:after="0"/>
      </w:pPr>
      <w:r>
        <w:tab/>
      </w:r>
      <w:r>
        <w:tab/>
      </w:r>
      <w:r>
        <w:tab/>
      </w:r>
      <w:r>
        <w:tab/>
      </w:r>
      <w:r>
        <w:tab/>
        <w:t>Deputy Chief, Broadband Division</w:t>
      </w:r>
    </w:p>
    <w:p w:rsidR="009C0683" w:rsidP="00456189">
      <w:pPr>
        <w:pStyle w:val="ParaNum"/>
        <w:widowControl/>
        <w:numPr>
          <w:ilvl w:val="0"/>
          <w:numId w:val="0"/>
        </w:numPr>
        <w:spacing w:after="0"/>
        <w:rPr>
          <w:b/>
        </w:rPr>
      </w:pPr>
      <w:r>
        <w:tab/>
      </w:r>
      <w:r>
        <w:tab/>
      </w:r>
      <w:r>
        <w:tab/>
      </w:r>
      <w:r>
        <w:tab/>
      </w:r>
      <w:r>
        <w:tab/>
        <w:t>Wireless Telecommunications Bureau</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3D92">
      <w:pPr>
        <w:rPr>
          <w:sz w:val="20"/>
        </w:rPr>
      </w:pPr>
      <w:r>
        <w:rPr>
          <w:sz w:val="20"/>
        </w:rPr>
        <w:separator/>
      </w:r>
    </w:p>
  </w:footnote>
  <w:footnote w:type="continuationSeparator" w:id="1">
    <w:p w:rsidR="00803D92">
      <w:pPr>
        <w:rPr>
          <w:sz w:val="20"/>
        </w:rPr>
      </w:pPr>
      <w:r>
        <w:rPr>
          <w:sz w:val="20"/>
        </w:rPr>
        <w:separator/>
      </w:r>
    </w:p>
    <w:p w:rsidR="00803D92">
      <w:pPr>
        <w:rPr>
          <w:sz w:val="20"/>
        </w:rPr>
      </w:pPr>
      <w:r>
        <w:rPr>
          <w:sz w:val="20"/>
        </w:rPr>
        <w:t>(...continued from previous page)</w:t>
      </w:r>
    </w:p>
  </w:footnote>
  <w:footnote w:type="continuationNotice" w:id="2">
    <w:p w:rsidR="00803D92">
      <w:pPr>
        <w:jc w:val="right"/>
        <w:rPr>
          <w:sz w:val="20"/>
        </w:rPr>
      </w:pPr>
      <w:r>
        <w:rPr>
          <w:sz w:val="20"/>
        </w:rPr>
        <w:t>(continued....)</w:t>
      </w:r>
    </w:p>
  </w:footnote>
  <w:footnote w:id="3">
    <w:p w:rsidR="00C92C76" w:rsidRPr="00875AF2" w:rsidP="00C92C76">
      <w:pPr>
        <w:pStyle w:val="FootnoteText"/>
      </w:pPr>
      <w:r>
        <w:rPr>
          <w:rStyle w:val="FootnoteReference"/>
        </w:rPr>
        <w:footnoteRef/>
      </w:r>
      <w:r>
        <w:t xml:space="preserve"> </w:t>
      </w:r>
      <w:r w:rsidRPr="00875AF2">
        <w:t>SNAPS Holding Company, Petition to Deny (filed May 6, 2016) (Petition).</w:t>
      </w:r>
    </w:p>
  </w:footnote>
  <w:footnote w:id="4">
    <w:p w:rsidR="00991930" w:rsidP="00991930">
      <w:pPr>
        <w:pStyle w:val="FootnoteText"/>
      </w:pPr>
      <w:r>
        <w:rPr>
          <w:rStyle w:val="FootnoteReference"/>
        </w:rPr>
        <w:footnoteRef/>
      </w:r>
      <w:r>
        <w:t xml:space="preserve"> </w:t>
      </w:r>
      <w:r>
        <w:rPr>
          <w:i/>
        </w:rPr>
        <w:t xml:space="preserve">See </w:t>
      </w:r>
      <w:r>
        <w:t xml:space="preserve">Amendment of the Commission’s Rules Regarding Multiple Address Systems, WT Docket No. 97-81, </w:t>
      </w:r>
      <w:r>
        <w:rPr>
          <w:i/>
        </w:rPr>
        <w:t>Report and Order</w:t>
      </w:r>
      <w:r w:rsidR="004D6181">
        <w:t xml:space="preserve">, 15 FCC </w:t>
      </w:r>
      <w:r w:rsidR="004D6181">
        <w:t>Rcd</w:t>
      </w:r>
      <w:r w:rsidR="004D6181">
        <w:t xml:space="preserve"> 11956 (2000) (</w:t>
      </w:r>
      <w:r>
        <w:rPr>
          <w:i/>
        </w:rPr>
        <w:t>MAS Report and Order</w:t>
      </w:r>
      <w:r>
        <w:t>).</w:t>
      </w:r>
    </w:p>
  </w:footnote>
  <w:footnote w:id="5">
    <w:p w:rsidR="00991930" w:rsidP="00991930">
      <w:pPr>
        <w:pStyle w:val="FootnoteText"/>
        <w:rPr>
          <w:color w:val="000000"/>
        </w:rPr>
      </w:pPr>
      <w:r>
        <w:rPr>
          <w:rStyle w:val="FootnoteReference"/>
        </w:rPr>
        <w:footnoteRef/>
      </w:r>
      <w:r>
        <w:t xml:space="preserve"> </w:t>
      </w:r>
      <w:r>
        <w:rPr>
          <w:i/>
          <w:color w:val="000000"/>
        </w:rPr>
        <w:t>MAS Report and Order</w:t>
      </w:r>
      <w:r>
        <w:rPr>
          <w:color w:val="000000"/>
        </w:rPr>
        <w:t xml:space="preserve">, 15 FCC </w:t>
      </w:r>
      <w:r>
        <w:rPr>
          <w:color w:val="000000"/>
        </w:rPr>
        <w:t>Rcd</w:t>
      </w:r>
      <w:r>
        <w:rPr>
          <w:color w:val="000000"/>
        </w:rPr>
        <w:t xml:space="preserve"> at 11957-58</w:t>
      </w:r>
      <w:r w:rsidR="00727F76">
        <w:rPr>
          <w:color w:val="000000"/>
        </w:rPr>
        <w:t>, para.</w:t>
      </w:r>
      <w:r>
        <w:rPr>
          <w:color w:val="000000"/>
        </w:rPr>
        <w:t xml:space="preserve">  2.</w:t>
      </w:r>
    </w:p>
  </w:footnote>
  <w:footnote w:id="6">
    <w:p w:rsidR="00991930" w:rsidP="00991930">
      <w:pPr>
        <w:pStyle w:val="FootnoteText"/>
      </w:pPr>
      <w:r>
        <w:rPr>
          <w:rStyle w:val="FootnoteReference"/>
        </w:rPr>
        <w:footnoteRef/>
      </w:r>
      <w:r>
        <w:t xml:space="preserve"> </w:t>
      </w:r>
      <w:r>
        <w:rPr>
          <w:i/>
        </w:rPr>
        <w:t>See</w:t>
      </w:r>
      <w:r>
        <w:t xml:space="preserve"> </w:t>
      </w:r>
      <w:r w:rsidRPr="009806EE">
        <w:rPr>
          <w:i/>
        </w:rPr>
        <w:t>Multiple Address Systems Spectrum Auction Closes – Winning Bidders Announced</w:t>
      </w:r>
      <w:r>
        <w:t xml:space="preserve">, </w:t>
      </w:r>
      <w:r w:rsidRPr="009806EE">
        <w:t>Public Notice</w:t>
      </w:r>
      <w:r>
        <w:t xml:space="preserve">, 16 FCC </w:t>
      </w:r>
      <w:r>
        <w:t>Rcd</w:t>
      </w:r>
      <w:r>
        <w:t xml:space="preserve"> 21011 (WTB 2001).</w:t>
      </w:r>
    </w:p>
  </w:footnote>
  <w:footnote w:id="7">
    <w:p w:rsidR="00991930" w:rsidP="00991930">
      <w:pPr>
        <w:pStyle w:val="FootnoteText"/>
      </w:pPr>
      <w:r>
        <w:rPr>
          <w:rStyle w:val="FootnoteReference"/>
        </w:rPr>
        <w:footnoteRef/>
      </w:r>
      <w:r>
        <w:t xml:space="preserve"> </w:t>
      </w:r>
      <w:r>
        <w:rPr>
          <w:i/>
        </w:rPr>
        <w:t>See</w:t>
      </w:r>
      <w:r>
        <w:t xml:space="preserve"> </w:t>
      </w:r>
      <w:r w:rsidRPr="009806EE">
        <w:rPr>
          <w:i/>
        </w:rPr>
        <w:t>Multiple Address Systems Spectrum Auction Closes – Winning Bidders Announced</w:t>
      </w:r>
      <w:r>
        <w:t xml:space="preserve">, </w:t>
      </w:r>
      <w:r w:rsidRPr="009806EE">
        <w:t>Public Notice</w:t>
      </w:r>
      <w:r>
        <w:t xml:space="preserve">, 20 FCC </w:t>
      </w:r>
      <w:r>
        <w:t>Rcd</w:t>
      </w:r>
      <w:r>
        <w:t xml:space="preserve"> 9551 (WTB 2005).</w:t>
      </w:r>
    </w:p>
  </w:footnote>
  <w:footnote w:id="8">
    <w:p w:rsidR="00976031" w:rsidP="00976031">
      <w:pPr>
        <w:pStyle w:val="FootnoteText"/>
      </w:pPr>
      <w:r>
        <w:rPr>
          <w:rStyle w:val="FootnoteReference"/>
        </w:rPr>
        <w:footnoteRef/>
      </w:r>
      <w:r>
        <w:t xml:space="preserve"> </w:t>
      </w:r>
      <w:r>
        <w:rPr>
          <w:i/>
        </w:rPr>
        <w:t>See</w:t>
      </w:r>
      <w:r>
        <w:t xml:space="preserve"> </w:t>
      </w:r>
      <w:r w:rsidRPr="009806EE">
        <w:rPr>
          <w:i/>
        </w:rPr>
        <w:t>Multiple Address Systems Spectrum Auction Closes – Winning Bidders Announced for Auction No. 59</w:t>
      </w:r>
      <w:r>
        <w:t xml:space="preserve">, </w:t>
      </w:r>
      <w:r w:rsidRPr="009806EE">
        <w:t>Public Notice</w:t>
      </w:r>
      <w:r>
        <w:t xml:space="preserve">, 20 FCC </w:t>
      </w:r>
      <w:r>
        <w:t>Rcd</w:t>
      </w:r>
      <w:r>
        <w:t xml:space="preserve"> 9551, 9560 (WTB 2005).</w:t>
      </w:r>
    </w:p>
  </w:footnote>
  <w:footnote w:id="9">
    <w:p w:rsidR="00976031" w:rsidP="00976031">
      <w:pPr>
        <w:pStyle w:val="FootnoteText"/>
      </w:pPr>
      <w:r>
        <w:rPr>
          <w:rStyle w:val="FootnoteReference"/>
        </w:rPr>
        <w:footnoteRef/>
      </w:r>
      <w:r>
        <w:t xml:space="preserve"> </w:t>
      </w:r>
      <w:r w:rsidR="005E61A3">
        <w:t xml:space="preserve">Skybridge Spectrum Foundation, </w:t>
      </w:r>
      <w:r w:rsidR="00C424C8">
        <w:t>Request for Limited Extension of Con</w:t>
      </w:r>
      <w:r w:rsidR="004D6181">
        <w:t>struction Deadlines (filed Mar.</w:t>
      </w:r>
      <w:r w:rsidR="00E43CCF">
        <w:t xml:space="preserve"> 29, 2016) (</w:t>
      </w:r>
      <w:r w:rsidR="005E61A3">
        <w:t xml:space="preserve">Skybridge </w:t>
      </w:r>
      <w:r w:rsidR="00E43CCF">
        <w:t>Request</w:t>
      </w:r>
      <w:r w:rsidR="00C424C8">
        <w:t>) at 2-3</w:t>
      </w:r>
      <w:r>
        <w:t>.</w:t>
      </w:r>
    </w:p>
  </w:footnote>
  <w:footnote w:id="10">
    <w:p w:rsidR="00976031" w:rsidP="00976031">
      <w:pPr>
        <w:pStyle w:val="FootnoteText"/>
      </w:pPr>
      <w:r>
        <w:rPr>
          <w:rStyle w:val="FootnoteReference"/>
        </w:rPr>
        <w:footnoteRef/>
      </w:r>
      <w:r>
        <w:t xml:space="preserve"> </w:t>
      </w:r>
      <w:r>
        <w:rPr>
          <w:i/>
        </w:rPr>
        <w:t>See</w:t>
      </w:r>
      <w:r>
        <w:t xml:space="preserve"> 47 C.F.R. § 101.1325(b).</w:t>
      </w:r>
    </w:p>
  </w:footnote>
  <w:footnote w:id="11">
    <w:p w:rsidR="00976031" w:rsidP="00976031">
      <w:pPr>
        <w:pStyle w:val="FootnoteText"/>
      </w:pPr>
      <w:r>
        <w:rPr>
          <w:rStyle w:val="FootnoteReference"/>
        </w:rPr>
        <w:footnoteRef/>
      </w:r>
      <w:r>
        <w:t xml:space="preserve"> </w:t>
      </w:r>
      <w:r w:rsidR="005E61A3">
        <w:t xml:space="preserve">Skybridge </w:t>
      </w:r>
      <w:r>
        <w:t>Request at 2.</w:t>
      </w:r>
    </w:p>
  </w:footnote>
  <w:footnote w:id="12">
    <w:p w:rsidR="00A7428A" w:rsidRPr="009641C2">
      <w:pPr>
        <w:pStyle w:val="FootnoteText"/>
        <w:rPr>
          <w:i/>
        </w:rPr>
      </w:pPr>
      <w:r>
        <w:rPr>
          <w:rStyle w:val="FootnoteReference"/>
        </w:rPr>
        <w:footnoteRef/>
      </w:r>
      <w:r>
        <w:t xml:space="preserve"> </w:t>
      </w:r>
      <w:r>
        <w:rPr>
          <w:i/>
        </w:rPr>
        <w:t>See</w:t>
      </w:r>
      <w:r>
        <w:t xml:space="preserve"> </w:t>
      </w:r>
      <w:r w:rsidRPr="009641C2">
        <w:rPr>
          <w:i/>
        </w:rPr>
        <w:t>Wireless Telecommunications Bureau Assignment of License Authorizations, Transfer of Control of Licensee Applications, De Facto Transfer Lease Applications and Spectrum Manager Lease Notifications, Designated Entity Eligibility Event Applications, and Designated Entity Annual Reports Action</w:t>
      </w:r>
      <w:r>
        <w:t xml:space="preserve">, Public Notice, Report No. 10431 (Apr. 15, 2015) at 2; </w:t>
      </w:r>
      <w:r w:rsidR="00B23476">
        <w:t xml:space="preserve">File Nos. </w:t>
      </w:r>
      <w:r w:rsidRPr="00B23476" w:rsidR="00B23476">
        <w:t>0004668905</w:t>
      </w:r>
      <w:r w:rsidR="00B23476">
        <w:t>-0004669256 (granted Sep. 8, 2014).</w:t>
      </w:r>
    </w:p>
  </w:footnote>
  <w:footnote w:id="13">
    <w:p w:rsidR="00BB2AA5" w:rsidP="00BB2AA5">
      <w:pPr>
        <w:pStyle w:val="FootnoteText"/>
      </w:pPr>
      <w:r>
        <w:rPr>
          <w:rStyle w:val="FootnoteReference"/>
        </w:rPr>
        <w:footnoteRef/>
      </w:r>
      <w:r>
        <w:t xml:space="preserve"> File Nos. 0007060862 (ITL) and 0007061847 (Skybridge) (filed Dec. 17, 2015, accepted Feb. 6, 2016)</w:t>
      </w:r>
      <w:r w:rsidR="00A31AAD">
        <w:t>.</w:t>
      </w:r>
    </w:p>
  </w:footnote>
  <w:footnote w:id="14">
    <w:p w:rsidR="00BB2AA5" w:rsidP="00BB2AA5">
      <w:pPr>
        <w:pStyle w:val="FootnoteText"/>
      </w:pPr>
      <w:r>
        <w:rPr>
          <w:rStyle w:val="FootnoteReference"/>
        </w:rPr>
        <w:footnoteRef/>
      </w:r>
      <w:r>
        <w:t xml:space="preserve"> </w:t>
      </w:r>
      <w:r w:rsidR="005E61A3">
        <w:t xml:space="preserve">Skybridge </w:t>
      </w:r>
      <w:r>
        <w:t>Request at 2-3.</w:t>
      </w:r>
    </w:p>
  </w:footnote>
  <w:footnote w:id="15">
    <w:p w:rsidR="00600B1C" w:rsidRPr="00A31AAD">
      <w:pPr>
        <w:pStyle w:val="FootnoteText"/>
      </w:pPr>
      <w:r>
        <w:rPr>
          <w:rStyle w:val="FootnoteReference"/>
        </w:rPr>
        <w:footnoteRef/>
      </w:r>
      <w:r>
        <w:t xml:space="preserve"> </w:t>
      </w:r>
      <w:r w:rsidRPr="00600B1C">
        <w:rPr>
          <w:i/>
        </w:rPr>
        <w:t>See e.g.</w:t>
      </w:r>
      <w:r>
        <w:t xml:space="preserve"> File No. 0007204448.</w:t>
      </w:r>
      <w:r w:rsidR="00A31AAD">
        <w:t xml:space="preserve">  The file numbers of the ITL renewal applications are contained in the Appendix to this </w:t>
      </w:r>
      <w:r w:rsidR="00A31AAD">
        <w:rPr>
          <w:i/>
        </w:rPr>
        <w:t>Memorandum Opinion and Order</w:t>
      </w:r>
      <w:r w:rsidR="00A31AAD">
        <w:t>.</w:t>
      </w:r>
    </w:p>
  </w:footnote>
  <w:footnote w:id="16">
    <w:p w:rsidR="00991930" w:rsidRPr="00CE5DD6" w:rsidP="00991930">
      <w:pPr>
        <w:pStyle w:val="FootnoteText"/>
      </w:pPr>
      <w:r>
        <w:rPr>
          <w:rStyle w:val="FootnoteReference"/>
        </w:rPr>
        <w:footnoteRef/>
      </w:r>
      <w:r w:rsidR="00CE5DD6">
        <w:t xml:space="preserve"> </w:t>
      </w:r>
      <w:r w:rsidR="009F6E93">
        <w:t>T</w:t>
      </w:r>
      <w:r w:rsidR="00CE5DD6">
        <w:t xml:space="preserve">he Appendix to </w:t>
      </w:r>
      <w:r w:rsidR="00C424C8">
        <w:t xml:space="preserve">Skybridge Spectrum Foundation, </w:t>
      </w:r>
      <w:r w:rsidR="00CE5DD6">
        <w:rPr>
          <w:i/>
        </w:rPr>
        <w:t>Memorandum Opinion and Order</w:t>
      </w:r>
      <w:r w:rsidR="00C424C8">
        <w:rPr>
          <w:i/>
        </w:rPr>
        <w:t>,</w:t>
      </w:r>
      <w:r w:rsidRPr="00C424C8" w:rsidR="00C424C8">
        <w:t xml:space="preserve"> DA 1</w:t>
      </w:r>
      <w:r w:rsidR="009F6E93">
        <w:t>7</w:t>
      </w:r>
      <w:r w:rsidRPr="00C424C8" w:rsidR="00C424C8">
        <w:t>-XXX</w:t>
      </w:r>
      <w:r w:rsidR="00CE5DD6">
        <w:t xml:space="preserve"> </w:t>
      </w:r>
      <w:r w:rsidR="00E43CCF">
        <w:t>(</w:t>
      </w:r>
      <w:r w:rsidR="00C424C8">
        <w:t>WTB</w:t>
      </w:r>
      <w:r w:rsidR="00400899">
        <w:t xml:space="preserve"> </w:t>
      </w:r>
      <w:r w:rsidR="00C424C8">
        <w:t>BD</w:t>
      </w:r>
      <w:r w:rsidR="00E43CCF">
        <w:t xml:space="preserve"> 201</w:t>
      </w:r>
      <w:r w:rsidR="009F6E93">
        <w:t>7</w:t>
      </w:r>
      <w:r w:rsidR="00C424C8">
        <w:t xml:space="preserve">) </w:t>
      </w:r>
      <w:r w:rsidR="005E61A3">
        <w:t>(</w:t>
      </w:r>
      <w:r w:rsidRPr="005E61A3" w:rsidR="005E61A3">
        <w:rPr>
          <w:i/>
        </w:rPr>
        <w:t>Skybridge Extension MO&amp;O</w:t>
      </w:r>
      <w:r w:rsidR="005E61A3">
        <w:t xml:space="preserve">) </w:t>
      </w:r>
      <w:r w:rsidR="00CE5DD6">
        <w:t>contains the file numbers of the applications for extension of time and applications for renewal of license.</w:t>
      </w:r>
    </w:p>
  </w:footnote>
  <w:footnote w:id="17">
    <w:p w:rsidR="009F6E93" w:rsidRPr="009F6E93">
      <w:pPr>
        <w:pStyle w:val="FootnoteText"/>
      </w:pPr>
      <w:r>
        <w:rPr>
          <w:rStyle w:val="FootnoteReference"/>
        </w:rPr>
        <w:footnoteRef/>
      </w:r>
      <w:r>
        <w:t xml:space="preserve"> </w:t>
      </w:r>
      <w:r>
        <w:rPr>
          <w:i/>
        </w:rPr>
        <w:t>See Skybridge Extension MO&amp;O</w:t>
      </w:r>
      <w:r>
        <w:t>.</w:t>
      </w:r>
    </w:p>
  </w:footnote>
  <w:footnote w:id="18">
    <w:p w:rsidR="00991930" w:rsidRPr="00875AF2" w:rsidP="00991930">
      <w:pPr>
        <w:pStyle w:val="FootnoteText"/>
      </w:pPr>
      <w:r>
        <w:rPr>
          <w:rStyle w:val="FootnoteReference"/>
        </w:rPr>
        <w:footnoteRef/>
      </w:r>
      <w:r>
        <w:t xml:space="preserve"> </w:t>
      </w:r>
      <w:r w:rsidRPr="00875AF2">
        <w:t>Petition.</w:t>
      </w:r>
    </w:p>
  </w:footnote>
  <w:footnote w:id="19">
    <w:p w:rsidR="004D6181">
      <w:pPr>
        <w:pStyle w:val="FootnoteText"/>
      </w:pPr>
      <w:r>
        <w:rPr>
          <w:rStyle w:val="FootnoteReference"/>
        </w:rPr>
        <w:footnoteRef/>
      </w:r>
      <w:r>
        <w:t xml:space="preserve"> </w:t>
      </w:r>
      <w:r w:rsidR="00334D5B">
        <w:t>Petition</w:t>
      </w:r>
      <w:r>
        <w:t xml:space="preserve"> at 3.</w:t>
      </w:r>
    </w:p>
  </w:footnote>
  <w:footnote w:id="20">
    <w:p w:rsidR="00D16913">
      <w:pPr>
        <w:pStyle w:val="FootnoteText"/>
      </w:pPr>
      <w:r>
        <w:rPr>
          <w:rStyle w:val="FootnoteReference"/>
        </w:rPr>
        <w:footnoteRef/>
      </w:r>
      <w:r>
        <w:t xml:space="preserve"> Petition at 4-5.</w:t>
      </w:r>
    </w:p>
  </w:footnote>
  <w:footnote w:id="21">
    <w:p w:rsidR="004D6181" w:rsidP="004D6181">
      <w:pPr>
        <w:pStyle w:val="FootnoteText"/>
      </w:pPr>
      <w:r>
        <w:rPr>
          <w:rStyle w:val="FootnoteReference"/>
        </w:rPr>
        <w:footnoteRef/>
      </w:r>
      <w:r>
        <w:t xml:space="preserve"> </w:t>
      </w:r>
      <w:r w:rsidR="00334D5B">
        <w:t>Petition</w:t>
      </w:r>
      <w:r>
        <w:t xml:space="preserve"> at 5.</w:t>
      </w:r>
    </w:p>
  </w:footnote>
  <w:footnote w:id="22">
    <w:p w:rsidR="004D6181">
      <w:pPr>
        <w:pStyle w:val="FootnoteText"/>
      </w:pPr>
      <w:r>
        <w:rPr>
          <w:rStyle w:val="FootnoteReference"/>
        </w:rPr>
        <w:footnoteRef/>
      </w:r>
      <w:r>
        <w:t xml:space="preserve"> Susan </w:t>
      </w:r>
      <w:r>
        <w:t>Uecker</w:t>
      </w:r>
      <w:r>
        <w:t>, Opposition of Intelligent Transportation &amp; Monitoring Wireless LLC and Skybridge Spectrum Foundation to Petition to Deny (filed May 16, 2016)</w:t>
      </w:r>
      <w:r w:rsidR="00334D5B">
        <w:t xml:space="preserve"> (Opposition</w:t>
      </w:r>
      <w:r>
        <w:t>).</w:t>
      </w:r>
    </w:p>
  </w:footnote>
  <w:footnote w:id="23">
    <w:p w:rsidR="004D6181">
      <w:pPr>
        <w:pStyle w:val="FootnoteText"/>
      </w:pPr>
      <w:r>
        <w:rPr>
          <w:rStyle w:val="FootnoteReference"/>
        </w:rPr>
        <w:footnoteRef/>
      </w:r>
      <w:r>
        <w:t xml:space="preserve"> </w:t>
      </w:r>
      <w:r w:rsidR="00334D5B">
        <w:t>Opposition</w:t>
      </w:r>
      <w:r>
        <w:t xml:space="preserve"> at 1.</w:t>
      </w:r>
    </w:p>
  </w:footnote>
  <w:footnote w:id="24">
    <w:p w:rsidR="00334D5B" w:rsidP="00334D5B">
      <w:pPr>
        <w:pStyle w:val="FootnoteText"/>
      </w:pPr>
      <w:r>
        <w:rPr>
          <w:rStyle w:val="FootnoteReference"/>
        </w:rPr>
        <w:footnoteRef/>
      </w:r>
      <w:r>
        <w:t xml:space="preserve"> Opposition at 2.</w:t>
      </w:r>
    </w:p>
  </w:footnote>
  <w:footnote w:id="25">
    <w:p w:rsidR="00334D5B" w:rsidP="00334D5B">
      <w:pPr>
        <w:pStyle w:val="FootnoteText"/>
      </w:pPr>
      <w:r>
        <w:rPr>
          <w:rStyle w:val="FootnoteReference"/>
        </w:rPr>
        <w:footnoteRef/>
      </w:r>
      <w:r>
        <w:t xml:space="preserve"> Opposition at 2.</w:t>
      </w:r>
    </w:p>
  </w:footnote>
  <w:footnote w:id="26">
    <w:p w:rsidR="00545903" w:rsidP="00545903">
      <w:pPr>
        <w:pStyle w:val="FootnoteText"/>
      </w:pPr>
      <w:r>
        <w:rPr>
          <w:rStyle w:val="FootnoteReference"/>
        </w:rPr>
        <w:footnoteRef/>
      </w:r>
      <w:r>
        <w:t xml:space="preserve"> Letter from Stephen C. Buenzow, Deputy Chief, Broadband Division, FCC Wireless Telecommunications Bureau, to Elizabeth R. Sachs, Esq. and Todd B. </w:t>
      </w:r>
      <w:r>
        <w:t>Lantor</w:t>
      </w:r>
      <w:r>
        <w:t xml:space="preserve">, Esq., Lukas, </w:t>
      </w:r>
      <w:r>
        <w:t>Nace</w:t>
      </w:r>
      <w:r>
        <w:t xml:space="preserve">, </w:t>
      </w:r>
      <w:r>
        <w:t>Guitierrez</w:t>
      </w:r>
      <w:r>
        <w:t xml:space="preserve"> &amp; Sachs, LLP (July 5, 2016).</w:t>
      </w:r>
    </w:p>
  </w:footnote>
  <w:footnote w:id="27">
    <w:p w:rsidR="00334D5B" w:rsidP="00334D5B">
      <w:pPr>
        <w:pStyle w:val="FootnoteText"/>
      </w:pPr>
      <w:r>
        <w:rPr>
          <w:rStyle w:val="FootnoteReference"/>
        </w:rPr>
        <w:footnoteRef/>
      </w:r>
      <w:r>
        <w:t xml:space="preserve"> Opposition at 4-5.</w:t>
      </w:r>
    </w:p>
  </w:footnote>
  <w:footnote w:id="28">
    <w:p w:rsidR="00334D5B" w:rsidP="00334D5B">
      <w:pPr>
        <w:pStyle w:val="FootnoteText"/>
      </w:pPr>
      <w:r>
        <w:rPr>
          <w:rStyle w:val="FootnoteReference"/>
        </w:rPr>
        <w:footnoteRef/>
      </w:r>
      <w:r>
        <w:t xml:space="preserve"> Opposition at 5.</w:t>
      </w:r>
    </w:p>
  </w:footnote>
  <w:footnote w:id="29">
    <w:p w:rsidR="00334D5B" w:rsidP="00334D5B">
      <w:pPr>
        <w:pStyle w:val="FootnoteText"/>
      </w:pPr>
      <w:r>
        <w:rPr>
          <w:rStyle w:val="FootnoteReference"/>
        </w:rPr>
        <w:footnoteRef/>
      </w:r>
      <w:r>
        <w:t xml:space="preserve"> Opposition at 6.</w:t>
      </w:r>
    </w:p>
  </w:footnote>
  <w:footnote w:id="30">
    <w:p w:rsidR="00334D5B">
      <w:pPr>
        <w:pStyle w:val="FootnoteText"/>
      </w:pPr>
      <w:r>
        <w:rPr>
          <w:rStyle w:val="FootnoteReference"/>
        </w:rPr>
        <w:footnoteRef/>
      </w:r>
      <w:r>
        <w:t xml:space="preserve"> </w:t>
      </w:r>
      <w:r>
        <w:t>SNAPS Holding Company,</w:t>
      </w:r>
      <w:r>
        <w:t xml:space="preserve"> Reply to Opposition to Petition to Deny (filed May 26, 2016) (Reply).</w:t>
      </w:r>
    </w:p>
  </w:footnote>
  <w:footnote w:id="31">
    <w:p w:rsidR="00334D5B" w:rsidP="00334D5B">
      <w:pPr>
        <w:pStyle w:val="FootnoteText"/>
      </w:pPr>
      <w:r>
        <w:rPr>
          <w:rStyle w:val="FootnoteReference"/>
        </w:rPr>
        <w:footnoteRef/>
      </w:r>
      <w:r>
        <w:t xml:space="preserve"> Reply at 1-2.</w:t>
      </w:r>
    </w:p>
  </w:footnote>
  <w:footnote w:id="32">
    <w:p w:rsidR="00334D5B" w:rsidP="00334D5B">
      <w:pPr>
        <w:pStyle w:val="FootnoteText"/>
      </w:pPr>
      <w:r>
        <w:rPr>
          <w:rStyle w:val="FootnoteReference"/>
        </w:rPr>
        <w:footnoteRef/>
      </w:r>
      <w:r>
        <w:t xml:space="preserve"> Reply at </w:t>
      </w:r>
      <w:r w:rsidR="001F6776">
        <w:t xml:space="preserve">2, </w:t>
      </w:r>
      <w:r>
        <w:t>n</w:t>
      </w:r>
      <w:r w:rsidR="001F6776">
        <w:t>.</w:t>
      </w:r>
      <w:r>
        <w:t>5.</w:t>
      </w:r>
      <w:r w:rsidR="00E43CCF">
        <w:t xml:space="preserve">  </w:t>
      </w:r>
      <w:r w:rsidRPr="00A7428A" w:rsidR="00E43CCF">
        <w:rPr>
          <w:i/>
        </w:rPr>
        <w:t>Jacksonville Broadcasting Corp. v. Federal Communications Commission</w:t>
      </w:r>
      <w:r w:rsidR="00E43CCF">
        <w:t>, 348 F.2d 75 (1965).</w:t>
      </w:r>
    </w:p>
  </w:footnote>
  <w:footnote w:id="33">
    <w:p w:rsidR="00334D5B" w:rsidP="00334D5B">
      <w:pPr>
        <w:pStyle w:val="FootnoteText"/>
      </w:pPr>
      <w:r>
        <w:rPr>
          <w:rStyle w:val="FootnoteReference"/>
        </w:rPr>
        <w:footnoteRef/>
      </w:r>
      <w:r>
        <w:t xml:space="preserve"> Reply at 2.</w:t>
      </w:r>
    </w:p>
  </w:footnote>
  <w:footnote w:id="34">
    <w:p w:rsidR="00334D5B" w:rsidP="00334D5B">
      <w:pPr>
        <w:pStyle w:val="FootnoteText"/>
      </w:pPr>
      <w:r>
        <w:rPr>
          <w:rStyle w:val="FootnoteReference"/>
        </w:rPr>
        <w:footnoteRef/>
      </w:r>
      <w:r>
        <w:t xml:space="preserve"> Reply at </w:t>
      </w:r>
      <w:r w:rsidR="007214E2">
        <w:t xml:space="preserve">2 </w:t>
      </w:r>
      <w:r w:rsidRPr="007214E2" w:rsidR="007214E2">
        <w:rPr>
          <w:i/>
        </w:rPr>
        <w:t>citing</w:t>
      </w:r>
      <w:r w:rsidR="007214E2">
        <w:rPr>
          <w:i/>
        </w:rPr>
        <w:t xml:space="preserve"> </w:t>
      </w:r>
      <w:r w:rsidRPr="00E913A5" w:rsidR="007214E2">
        <w:rPr>
          <w:i/>
        </w:rPr>
        <w:t>Cornerstone SMR, Inc.,</w:t>
      </w:r>
      <w:r w:rsidR="00E913A5">
        <w:t xml:space="preserve"> Order,</w:t>
      </w:r>
      <w:r w:rsidR="007214E2">
        <w:t xml:space="preserve"> 27 FCC </w:t>
      </w:r>
      <w:r w:rsidR="007214E2">
        <w:t>Rcd</w:t>
      </w:r>
      <w:r w:rsidR="007214E2">
        <w:t xml:space="preserve"> 5900 </w:t>
      </w:r>
      <w:r w:rsidR="00E913A5">
        <w:t xml:space="preserve">(WTB </w:t>
      </w:r>
      <w:r w:rsidR="007214E2">
        <w:t>MD 2012)</w:t>
      </w:r>
      <w:r w:rsidR="00E913A5">
        <w:t xml:space="preserve">; </w:t>
      </w:r>
      <w:r w:rsidRPr="00E913A5" w:rsidR="00E913A5">
        <w:rPr>
          <w:i/>
        </w:rPr>
        <w:t>Paging Systems, Inc.</w:t>
      </w:r>
      <w:r w:rsidR="00E913A5">
        <w:t xml:space="preserve">, Order on Reconsideration and Order, 25 FCC </w:t>
      </w:r>
      <w:r w:rsidR="00E913A5">
        <w:t>Rcd</w:t>
      </w:r>
      <w:r w:rsidR="00E913A5">
        <w:t xml:space="preserve"> 5762 (WTB MD 2010); </w:t>
      </w:r>
      <w:r w:rsidRPr="00E913A5" w:rsidR="00E913A5">
        <w:rPr>
          <w:i/>
        </w:rPr>
        <w:t>Mobex</w:t>
      </w:r>
      <w:r w:rsidRPr="00E913A5" w:rsidR="00E913A5">
        <w:rPr>
          <w:i/>
        </w:rPr>
        <w:t xml:space="preserve"> Network Services, LLC,</w:t>
      </w:r>
      <w:r w:rsidR="00E913A5">
        <w:t xml:space="preserve"> Order, 19 FCC </w:t>
      </w:r>
      <w:r w:rsidR="00E913A5">
        <w:t>Rcd</w:t>
      </w:r>
      <w:r w:rsidR="00E913A5">
        <w:t xml:space="preserve"> (WTB PS&amp;CID 2004); </w:t>
      </w:r>
      <w:r w:rsidRPr="00B5165E" w:rsidR="00E913A5">
        <w:rPr>
          <w:i/>
        </w:rPr>
        <w:t>Paging Systems, Inc.,</w:t>
      </w:r>
      <w:r w:rsidR="00E913A5">
        <w:t xml:space="preserve"> Order, 24 FCC </w:t>
      </w:r>
      <w:r w:rsidR="00E913A5">
        <w:t>Rcd</w:t>
      </w:r>
      <w:r w:rsidR="00E913A5">
        <w:t xml:space="preserve"> </w:t>
      </w:r>
      <w:r w:rsidR="00B5165E">
        <w:t>5309 (WTB MD 2009)</w:t>
      </w:r>
      <w:r>
        <w:t>.</w:t>
      </w:r>
    </w:p>
  </w:footnote>
  <w:footnote w:id="35">
    <w:p w:rsidR="00022493" w:rsidP="00022493">
      <w:pPr>
        <w:pStyle w:val="FootnoteText"/>
      </w:pPr>
      <w:r>
        <w:rPr>
          <w:rStyle w:val="FootnoteReference"/>
        </w:rPr>
        <w:footnoteRef/>
      </w:r>
      <w:r>
        <w:t xml:space="preserve"> 47 C.F.R. § 1.939(d).</w:t>
      </w:r>
    </w:p>
  </w:footnote>
  <w:footnote w:id="36">
    <w:p w:rsidR="00022493" w:rsidP="00022493">
      <w:pPr>
        <w:pStyle w:val="FootnoteText"/>
      </w:pPr>
      <w:r>
        <w:rPr>
          <w:rStyle w:val="FootnoteReference"/>
        </w:rPr>
        <w:footnoteRef/>
      </w:r>
      <w:r>
        <w:t xml:space="preserve"> Wireless Co., L.P., </w:t>
      </w:r>
      <w:r>
        <w:rPr>
          <w:i/>
        </w:rPr>
        <w:t>Order</w:t>
      </w:r>
      <w:r>
        <w:t xml:space="preserve">, 10 FCC </w:t>
      </w:r>
      <w:r>
        <w:t>Rcd</w:t>
      </w:r>
      <w:r>
        <w:t xml:space="preserve"> 13233, 13235</w:t>
      </w:r>
      <w:r w:rsidR="00E360D7">
        <w:t>,</w:t>
      </w:r>
      <w:r w:rsidR="004D6181">
        <w:t xml:space="preserve"> </w:t>
      </w:r>
      <w:r w:rsidR="00E360D7">
        <w:t>para.</w:t>
      </w:r>
      <w:r w:rsidR="004D6181">
        <w:t xml:space="preserve"> 7 (WTB 1995) (</w:t>
      </w:r>
      <w:r>
        <w:rPr>
          <w:i/>
        </w:rPr>
        <w:t>Wireless Co</w:t>
      </w:r>
      <w:r w:rsidR="004D6181">
        <w:t>.</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37">
    <w:p w:rsidR="00022493" w:rsidP="00022493">
      <w:pPr>
        <w:pStyle w:val="FootnoteText"/>
      </w:pPr>
      <w:r>
        <w:rPr>
          <w:rStyle w:val="FootnoteReference"/>
        </w:rPr>
        <w:footnoteRef/>
      </w:r>
      <w:r>
        <w:t xml:space="preserve"> </w:t>
      </w:r>
      <w:r>
        <w:rPr>
          <w:i/>
        </w:rPr>
        <w:t>Wireless Co</w:t>
      </w:r>
      <w:r>
        <w:t xml:space="preserve">., 10 FCC </w:t>
      </w:r>
      <w:r>
        <w:t>Rcd</w:t>
      </w:r>
      <w:r>
        <w:t xml:space="preserve"> at 13235 ¶ 7.</w:t>
      </w:r>
    </w:p>
  </w:footnote>
  <w:footnote w:id="38">
    <w:p w:rsidR="00022493" w:rsidP="0002249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9">
    <w:p w:rsidR="00022493" w:rsidP="00022493">
      <w:pPr>
        <w:pStyle w:val="FootnoteText"/>
      </w:pPr>
      <w:r>
        <w:rPr>
          <w:rStyle w:val="FootnoteReference"/>
        </w:rPr>
        <w:footnoteRef/>
      </w:r>
      <w:r>
        <w:t xml:space="preserve"> </w:t>
      </w:r>
      <w:r>
        <w:rPr>
          <w:i/>
        </w:rPr>
        <w:t>See, e.g., Friends of the Earth, Inc.,</w:t>
      </w:r>
      <w:r>
        <w:t xml:space="preserve"> 18 FCC </w:t>
      </w:r>
      <w:r>
        <w:t>Rcd</w:t>
      </w:r>
      <w:r>
        <w:t xml:space="preserve"> 23622, </w:t>
      </w:r>
      <w:r w:rsidR="00E360D7">
        <w:t>paras.</w:t>
      </w:r>
      <w:r>
        <w:t xml:space="preserve"> 2-3 (2003).</w:t>
      </w:r>
    </w:p>
  </w:footnote>
  <w:footnote w:id="40">
    <w:p w:rsidR="00B5165E">
      <w:pPr>
        <w:pStyle w:val="FootnoteText"/>
      </w:pPr>
      <w:r>
        <w:rPr>
          <w:rStyle w:val="FootnoteReference"/>
        </w:rPr>
        <w:footnoteRef/>
      </w:r>
      <w:r>
        <w:t xml:space="preserve"> </w:t>
      </w:r>
      <w:r w:rsidRPr="00B5165E">
        <w:rPr>
          <w:i/>
        </w:rPr>
        <w:t>See</w:t>
      </w:r>
      <w:r>
        <w:t xml:space="preserve"> Reply at 1-2.</w:t>
      </w:r>
    </w:p>
  </w:footnote>
  <w:footnote w:id="41">
    <w:p w:rsidR="00B5165E">
      <w:pPr>
        <w:pStyle w:val="FootnoteText"/>
      </w:pPr>
      <w:r>
        <w:rPr>
          <w:rStyle w:val="FootnoteReference"/>
        </w:rPr>
        <w:footnoteRef/>
      </w:r>
      <w:r>
        <w:t xml:space="preserve"> Letter from Stephen C. Buenzow, Deputy Chief, Broadband Division, FCC Wireless Telecommunications Bureau, to Elizabeth R. Sachs, Esq. and Todd B. </w:t>
      </w:r>
      <w:r>
        <w:t>Lantor</w:t>
      </w:r>
      <w:r>
        <w:t xml:space="preserve">, Esq., Lukas, </w:t>
      </w:r>
      <w:r>
        <w:t>Nace</w:t>
      </w:r>
      <w:r>
        <w:t xml:space="preserve">, </w:t>
      </w:r>
      <w:r>
        <w:t>Guitierrez</w:t>
      </w:r>
      <w:r>
        <w:t xml:space="preserve"> &amp; Sachs, LLP (</w:t>
      </w:r>
      <w:r w:rsidR="00752246">
        <w:t>July 5</w:t>
      </w:r>
      <w:r>
        <w:t>, 201</w:t>
      </w:r>
      <w:r w:rsidR="00752246">
        <w:t>6</w:t>
      </w:r>
      <w:r>
        <w:t>).</w:t>
      </w:r>
    </w:p>
  </w:footnote>
  <w:footnote w:id="42">
    <w:p w:rsidR="00E43CCF">
      <w:pPr>
        <w:pStyle w:val="FootnoteText"/>
      </w:pPr>
      <w:r>
        <w:rPr>
          <w:rStyle w:val="FootnoteReference"/>
        </w:rPr>
        <w:footnoteRef/>
      </w:r>
      <w:r>
        <w:t xml:space="preserve"> </w:t>
      </w:r>
      <w:r w:rsidRPr="009641C2">
        <w:rPr>
          <w:i/>
        </w:rPr>
        <w:t>Jacksonville Broadcasting Corp. v. Federal Communications Commission</w:t>
      </w:r>
      <w:r>
        <w:t>, 348 F.2d 75 (1965).</w:t>
      </w:r>
    </w:p>
  </w:footnote>
  <w:footnote w:id="43">
    <w:p w:rsidR="00F413C4">
      <w:pPr>
        <w:pStyle w:val="FootnoteText"/>
      </w:pPr>
      <w:r>
        <w:rPr>
          <w:rStyle w:val="FootnoteReference"/>
        </w:rPr>
        <w:footnoteRef/>
      </w:r>
      <w:r>
        <w:t xml:space="preserve"> Reply at 2, n.5.</w:t>
      </w:r>
    </w:p>
  </w:footnote>
  <w:footnote w:id="44">
    <w:p w:rsidR="00DC07B1" w:rsidRPr="00DC07B1">
      <w:pPr>
        <w:pStyle w:val="FootnoteText"/>
      </w:pPr>
      <w:r>
        <w:rPr>
          <w:rStyle w:val="FootnoteReference"/>
        </w:rPr>
        <w:footnoteRef/>
      </w:r>
      <w:r>
        <w:t xml:space="preserve"> </w:t>
      </w:r>
      <w:r w:rsidRPr="009641C2">
        <w:rPr>
          <w:i/>
        </w:rPr>
        <w:t>Coalition for the Preservation of Hispanic Broadcasting v. FCC</w:t>
      </w:r>
      <w:r>
        <w:t>, 931 F.2d 73, 79 (D.C. Cir. 1991).</w:t>
      </w:r>
    </w:p>
  </w:footnote>
  <w:footnote w:id="45">
    <w:p w:rsidR="00F413C4">
      <w:pPr>
        <w:pStyle w:val="FootnoteText"/>
      </w:pPr>
      <w:r>
        <w:rPr>
          <w:rStyle w:val="FootnoteReference"/>
        </w:rPr>
        <w:footnoteRef/>
      </w:r>
      <w:r>
        <w:t xml:space="preserve"> </w:t>
      </w:r>
      <w:r w:rsidRPr="007D05DC">
        <w:rPr>
          <w:i/>
        </w:rPr>
        <w:t>See supra</w:t>
      </w:r>
      <w:r w:rsidR="001F6776">
        <w:t xml:space="preserve"> n</w:t>
      </w:r>
      <w:r w:rsidR="0024342F">
        <w:t>.</w:t>
      </w:r>
      <w:r w:rsidR="007D05DC">
        <w:fldChar w:fldCharType="begin"/>
      </w:r>
      <w:r w:rsidR="007D05DC">
        <w:instrText xml:space="preserve"> NOTEREF _Ref462391182 \h </w:instrText>
      </w:r>
      <w:r w:rsidR="007D05DC">
        <w:fldChar w:fldCharType="separate"/>
      </w:r>
      <w:r w:rsidR="00F056A4">
        <w:t>30</w:t>
      </w:r>
      <w:r w:rsidR="007D05DC">
        <w:fldChar w:fldCharType="end"/>
      </w:r>
      <w:r w:rsidR="007D05DC">
        <w:t>.</w:t>
      </w:r>
    </w:p>
  </w:footnote>
  <w:footnote w:id="46">
    <w:p w:rsidR="007B35B6">
      <w:pPr>
        <w:pStyle w:val="FootnoteText"/>
      </w:pPr>
      <w:r>
        <w:rPr>
          <w:rStyle w:val="FootnoteReference"/>
        </w:rPr>
        <w:footnoteRef/>
      </w:r>
      <w:r>
        <w:t xml:space="preserve"> </w:t>
      </w:r>
      <w:r w:rsidRPr="007B35B6">
        <w:rPr>
          <w:i/>
          <w:iCs/>
        </w:rPr>
        <w:t>See, e.g</w:t>
      </w:r>
      <w:r w:rsidRPr="007B35B6">
        <w:t xml:space="preserve">., </w:t>
      </w:r>
      <w:r w:rsidRPr="007B35B6">
        <w:rPr>
          <w:i/>
        </w:rPr>
        <w:t>Applications of Nextel Communications, Inc. and Sprint Corporation</w:t>
      </w:r>
      <w:r w:rsidRPr="007B35B6">
        <w:t xml:space="preserve">, </w:t>
      </w:r>
      <w:r w:rsidRPr="007B35B6">
        <w:rPr>
          <w:iCs/>
        </w:rPr>
        <w:t>Memorandum Opinion and Order</w:t>
      </w:r>
      <w:r w:rsidRPr="007B35B6">
        <w:t xml:space="preserve">, 20 FCC </w:t>
      </w:r>
      <w:r w:rsidRPr="007B35B6">
        <w:t>Rcd</w:t>
      </w:r>
      <w:r w:rsidRPr="007B35B6">
        <w:t xml:space="preserve"> 13967, 14021 n.335 (2005) (“</w:t>
      </w:r>
      <w:r w:rsidRPr="007B35B6">
        <w:rPr>
          <w:i/>
          <w:iCs/>
        </w:rPr>
        <w:t>Sprint-Nextel</w:t>
      </w:r>
      <w:r w:rsidRPr="007B35B6">
        <w:t>”) (</w:t>
      </w:r>
      <w:r w:rsidRPr="007B35B6">
        <w:rPr>
          <w:i/>
          <w:iCs/>
        </w:rPr>
        <w:t>citing</w:t>
      </w:r>
      <w:r w:rsidRPr="007B35B6">
        <w:t xml:space="preserve"> </w:t>
      </w:r>
      <w:r w:rsidRPr="007B35B6">
        <w:rPr>
          <w:i/>
        </w:rPr>
        <w:t>Applications of AT&amp;T Wireless Services, Inc. and Cingular Wireless Corp</w:t>
      </w:r>
      <w:r w:rsidRPr="007B35B6">
        <w:t xml:space="preserve">., </w:t>
      </w:r>
      <w:r w:rsidRPr="007B35B6">
        <w:rPr>
          <w:iCs/>
        </w:rPr>
        <w:t>Memorandum Opinion and Order</w:t>
      </w:r>
      <w:r w:rsidRPr="007B35B6">
        <w:t xml:space="preserve">, 19 FCC </w:t>
      </w:r>
      <w:r w:rsidRPr="007B35B6">
        <w:t>Rcd</w:t>
      </w:r>
      <w:r w:rsidRPr="007B35B6">
        <w:t xml:space="preserve"> 21522, 21547 n.196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rsidRPr="00750DFC" w:rsidP="00750DFC">
    <w:pPr>
      <w:pStyle w:val="Header"/>
    </w:pPr>
    <w:r>
      <w:tab/>
    </w:r>
    <w:r w:rsidRPr="00750DFC">
      <w:t>Federal Communications Commission</w:t>
    </w:r>
    <w:r w:rsidRPr="00750DFC">
      <w:tab/>
      <w:t>DA 1</w:t>
    </w:r>
    <w:r w:rsidR="00727F76">
      <w:t>8</w:t>
    </w:r>
    <w:r w:rsidRPr="00750DFC">
      <w:t>-</w:t>
    </w:r>
    <w:r w:rsidR="00EB1109">
      <w:t>851</w:t>
    </w:r>
  </w:p>
  <w:p w:rsidR="009C0683" w:rsidP="00750DFC">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9C0683" w:rsidP="00750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683" w:rsidP="00750DFC">
    <w:pPr>
      <w:pStyle w:val="Header"/>
    </w:pPr>
    <w:r>
      <w:tab/>
      <w:t>Federal Communications Commission</w:t>
    </w:r>
    <w:r>
      <w:tab/>
      <w:t>DA 1</w:t>
    </w:r>
    <w:r w:rsidR="00727F76">
      <w:t>8</w:t>
    </w:r>
    <w:r>
      <w:t>-</w:t>
    </w:r>
    <w:r w:rsidR="00EB1109">
      <w:t>851</w:t>
    </w:r>
    <w:r>
      <w:t xml:space="preserve"> </w:t>
    </w:r>
  </w:p>
  <w:p w:rsidR="009C0683" w:rsidP="00750DFC">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40916"/>
    <w:multiLevelType w:val="hybridMultilevel"/>
    <w:tmpl w:val="4A3A1AE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68926C6A"/>
    <w:multiLevelType w:val="hybridMultilevel"/>
    <w:tmpl w:val="D0A6F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8"/>
  </w:num>
  <w:num w:numId="3">
    <w:abstractNumId w:val="5"/>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3"/>
  </w:num>
  <w:num w:numId="16">
    <w:abstractNumId w:val="4"/>
  </w:num>
  <w:num w:numId="17">
    <w:abstractNumId w:val="12"/>
  </w:num>
  <w:num w:numId="18">
    <w:abstractNumId w:val="2"/>
  </w:num>
  <w:num w:numId="19">
    <w:abstractNumId w:val="13"/>
  </w:num>
  <w:num w:numId="20">
    <w:abstractNumId w:val="18"/>
  </w:num>
  <w:num w:numId="21">
    <w:abstractNumId w:val="20"/>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27"/>
  </w:num>
  <w:num w:numId="39">
    <w:abstractNumId w:val="0"/>
  </w:num>
  <w:num w:numId="40">
    <w:abstractNumId w:val="16"/>
  </w:num>
  <w:num w:numId="41">
    <w:abstractNumId w:val="16"/>
  </w:num>
  <w:num w:numId="42">
    <w:abstractNumId w:val="16"/>
  </w:num>
  <w:num w:numId="43">
    <w:abstractNumId w:val="16"/>
  </w:num>
  <w:num w:numId="44">
    <w:abstractNumId w:val="25"/>
  </w:num>
  <w:num w:numId="45">
    <w:abstractNumId w:val="16"/>
    <w:lvlOverride w:ilvl="0">
      <w:startOverride w:val="1"/>
    </w:lvlOverride>
  </w:num>
  <w:num w:numId="46">
    <w:abstractNumId w:val="6"/>
  </w:num>
  <w:num w:numId="47">
    <w:abstractNumId w:val="8"/>
  </w:num>
  <w:num w:numId="48">
    <w:abstractNumId w:val="1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109"/>
    <w:pPr>
      <w:widowControl w:val="0"/>
    </w:pPr>
    <w:rPr>
      <w:snapToGrid w:val="0"/>
      <w:kern w:val="28"/>
      <w:sz w:val="22"/>
    </w:rPr>
  </w:style>
  <w:style w:type="paragraph" w:styleId="Heading1">
    <w:name w:val="heading 1"/>
    <w:basedOn w:val="Normal"/>
    <w:next w:val="ParaNum"/>
    <w:link w:val="Heading1Char"/>
    <w:qFormat/>
    <w:rsid w:val="00EB1109"/>
    <w:pPr>
      <w:keepNext/>
      <w:numPr>
        <w:numId w:val="4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1109"/>
    <w:pPr>
      <w:keepNext/>
      <w:numPr>
        <w:ilvl w:val="1"/>
        <w:numId w:val="47"/>
      </w:numPr>
      <w:spacing w:after="120"/>
      <w:outlineLvl w:val="1"/>
    </w:pPr>
    <w:rPr>
      <w:b/>
    </w:rPr>
  </w:style>
  <w:style w:type="paragraph" w:styleId="Heading3">
    <w:name w:val="heading 3"/>
    <w:basedOn w:val="Normal"/>
    <w:next w:val="ParaNum"/>
    <w:link w:val="Heading3Char"/>
    <w:qFormat/>
    <w:rsid w:val="00EB1109"/>
    <w:pPr>
      <w:keepNext/>
      <w:numPr>
        <w:ilvl w:val="2"/>
        <w:numId w:val="47"/>
      </w:numPr>
      <w:tabs>
        <w:tab w:val="left" w:pos="2160"/>
      </w:tabs>
      <w:spacing w:after="120"/>
      <w:outlineLvl w:val="2"/>
    </w:pPr>
    <w:rPr>
      <w:b/>
    </w:rPr>
  </w:style>
  <w:style w:type="paragraph" w:styleId="Heading4">
    <w:name w:val="heading 4"/>
    <w:basedOn w:val="Normal"/>
    <w:next w:val="ParaNum"/>
    <w:qFormat/>
    <w:rsid w:val="00EB1109"/>
    <w:pPr>
      <w:keepNext/>
      <w:numPr>
        <w:ilvl w:val="3"/>
        <w:numId w:val="47"/>
      </w:numPr>
      <w:tabs>
        <w:tab w:val="left" w:pos="2880"/>
      </w:tabs>
      <w:spacing w:after="120"/>
      <w:outlineLvl w:val="3"/>
    </w:pPr>
    <w:rPr>
      <w:b/>
    </w:rPr>
  </w:style>
  <w:style w:type="paragraph" w:styleId="Heading5">
    <w:name w:val="heading 5"/>
    <w:basedOn w:val="Normal"/>
    <w:next w:val="ParaNum"/>
    <w:qFormat/>
    <w:rsid w:val="00EB1109"/>
    <w:pPr>
      <w:keepNext/>
      <w:numPr>
        <w:ilvl w:val="4"/>
        <w:numId w:val="47"/>
      </w:numPr>
      <w:tabs>
        <w:tab w:val="left" w:pos="3600"/>
      </w:tabs>
      <w:suppressAutoHyphens/>
      <w:spacing w:after="120"/>
      <w:outlineLvl w:val="4"/>
    </w:pPr>
    <w:rPr>
      <w:b/>
    </w:rPr>
  </w:style>
  <w:style w:type="paragraph" w:styleId="Heading6">
    <w:name w:val="heading 6"/>
    <w:basedOn w:val="Normal"/>
    <w:next w:val="ParaNum"/>
    <w:qFormat/>
    <w:rsid w:val="00EB1109"/>
    <w:pPr>
      <w:numPr>
        <w:ilvl w:val="5"/>
        <w:numId w:val="47"/>
      </w:numPr>
      <w:tabs>
        <w:tab w:val="left" w:pos="4320"/>
      </w:tabs>
      <w:spacing w:after="120"/>
      <w:outlineLvl w:val="5"/>
    </w:pPr>
    <w:rPr>
      <w:b/>
    </w:rPr>
  </w:style>
  <w:style w:type="paragraph" w:styleId="Heading7">
    <w:name w:val="heading 7"/>
    <w:basedOn w:val="Normal"/>
    <w:next w:val="ParaNum"/>
    <w:qFormat/>
    <w:rsid w:val="00EB1109"/>
    <w:pPr>
      <w:numPr>
        <w:ilvl w:val="6"/>
        <w:numId w:val="47"/>
      </w:numPr>
      <w:tabs>
        <w:tab w:val="left" w:pos="5040"/>
      </w:tabs>
      <w:spacing w:after="120"/>
      <w:ind w:left="5040" w:hanging="720"/>
      <w:outlineLvl w:val="6"/>
    </w:pPr>
    <w:rPr>
      <w:b/>
    </w:rPr>
  </w:style>
  <w:style w:type="paragraph" w:styleId="Heading8">
    <w:name w:val="heading 8"/>
    <w:basedOn w:val="Normal"/>
    <w:next w:val="ParaNum"/>
    <w:qFormat/>
    <w:rsid w:val="00EB1109"/>
    <w:pPr>
      <w:numPr>
        <w:ilvl w:val="7"/>
        <w:numId w:val="47"/>
      </w:numPr>
      <w:tabs>
        <w:tab w:val="clear" w:pos="5400"/>
        <w:tab w:val="left" w:pos="5760"/>
      </w:tabs>
      <w:spacing w:after="120"/>
      <w:ind w:left="5760" w:hanging="720"/>
      <w:outlineLvl w:val="7"/>
    </w:pPr>
    <w:rPr>
      <w:b/>
    </w:rPr>
  </w:style>
  <w:style w:type="paragraph" w:styleId="Heading9">
    <w:name w:val="heading 9"/>
    <w:basedOn w:val="Normal"/>
    <w:next w:val="ParaNum"/>
    <w:qFormat/>
    <w:rsid w:val="00EB1109"/>
    <w:pPr>
      <w:numPr>
        <w:ilvl w:val="8"/>
        <w:numId w:val="4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11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10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B1109"/>
    <w:pPr>
      <w:numPr>
        <w:numId w:val="44"/>
      </w:numPr>
      <w:tabs>
        <w:tab w:val="clear" w:pos="1080"/>
        <w:tab w:val="num" w:pos="1440"/>
      </w:tabs>
      <w:spacing w:after="120"/>
    </w:p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 Char,fn"/>
    <w:link w:val="FootnoteTextChar"/>
    <w:rsid w:val="00EB1109"/>
    <w:pPr>
      <w:spacing w:after="120"/>
    </w:pPr>
  </w:style>
  <w:style w:type="paragraph" w:customStyle="1" w:styleId="Bullet">
    <w:name w:val="Bullet"/>
    <w:basedOn w:val="Normal"/>
    <w:rsid w:val="00EB1109"/>
    <w:pPr>
      <w:tabs>
        <w:tab w:val="left" w:pos="2160"/>
      </w:tabs>
      <w:spacing w:after="220"/>
      <w:ind w:left="2160" w:hanging="720"/>
    </w:pPr>
  </w:style>
  <w:style w:type="paragraph" w:styleId="BlockText">
    <w:name w:val="Block Text"/>
    <w:basedOn w:val="Normal"/>
    <w:rsid w:val="00EB1109"/>
    <w:pPr>
      <w:spacing w:after="240"/>
      <w:ind w:left="1440" w:right="1440"/>
    </w:pPr>
  </w:style>
  <w:style w:type="paragraph" w:customStyle="1" w:styleId="TableFormat">
    <w:name w:val="TableFormat"/>
    <w:basedOn w:val="Bullet"/>
    <w:rsid w:val="00EB1109"/>
    <w:pPr>
      <w:tabs>
        <w:tab w:val="clear" w:pos="2160"/>
        <w:tab w:val="left" w:pos="5040"/>
      </w:tabs>
      <w:ind w:left="5040" w:hanging="3600"/>
    </w:pPr>
  </w:style>
  <w:style w:type="character" w:styleId="FootnoteReference">
    <w:name w:val="footnote reference"/>
    <w:aliases w:val="(NECG) Footnote Reference,Appel note de bas de p,FR,Footnote Reference/,Style 12,Style 124,Style 13,Style 17,Style 3,Style 6,fr,o"/>
    <w:rsid w:val="00EB1109"/>
    <w:rPr>
      <w:rFonts w:ascii="Times New Roman" w:hAnsi="Times New Roman"/>
      <w:dstrike w:val="0"/>
      <w:color w:val="auto"/>
      <w:sz w:val="20"/>
      <w:vertAlign w:val="superscript"/>
    </w:rPr>
  </w:style>
  <w:style w:type="paragraph" w:styleId="Header">
    <w:name w:val="header"/>
    <w:basedOn w:val="Normal"/>
    <w:autoRedefine/>
    <w:rsid w:val="00EB1109"/>
    <w:pPr>
      <w:tabs>
        <w:tab w:val="center" w:pos="4680"/>
        <w:tab w:val="right" w:pos="9360"/>
      </w:tabs>
    </w:pPr>
    <w:rPr>
      <w:b/>
    </w:rPr>
  </w:style>
  <w:style w:type="paragraph" w:styleId="Footer">
    <w:name w:val="footer"/>
    <w:basedOn w:val="Normal"/>
    <w:link w:val="FooterChar"/>
    <w:uiPriority w:val="99"/>
    <w:rsid w:val="00EB1109"/>
    <w:pPr>
      <w:tabs>
        <w:tab w:val="center" w:pos="4320"/>
        <w:tab w:val="right" w:pos="8640"/>
      </w:tabs>
    </w:pPr>
  </w:style>
  <w:style w:type="paragraph" w:styleId="TOC2">
    <w:name w:val="toc 2"/>
    <w:basedOn w:val="Normal"/>
    <w:next w:val="Normal"/>
    <w:semiHidden/>
    <w:rsid w:val="00EB110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EB110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B11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11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11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11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11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11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1109"/>
    <w:pPr>
      <w:tabs>
        <w:tab w:val="left" w:pos="3240"/>
        <w:tab w:val="right" w:leader="dot" w:pos="9360"/>
      </w:tabs>
      <w:suppressAutoHyphens/>
      <w:ind w:left="3240" w:hanging="360"/>
    </w:pPr>
    <w:rPr>
      <w:noProof/>
    </w:rPr>
  </w:style>
  <w:style w:type="character" w:styleId="PageNumber">
    <w:name w:val="page number"/>
    <w:basedOn w:val="DefaultParagraphFont"/>
    <w:rsid w:val="00EB1109"/>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sid w:val="00EB1109"/>
    <w:rPr>
      <w:color w:val="0000FF"/>
      <w:u w:val="single"/>
    </w:rPr>
  </w:style>
  <w:style w:type="character" w:customStyle="1" w:styleId="bestsection">
    <w:name w:val="bestsection"/>
    <w:basedOn w:val="DefaultParagraphFont"/>
  </w:style>
  <w:style w:type="character" w:customStyle="1" w:styleId="searchterm">
    <w:name w:val="searchterm"/>
    <w:basedOn w:val="DefaultParagraphFont"/>
  </w:style>
  <w:style w:type="character" w:customStyle="1" w:styleId="documentbody">
    <w:name w:val="documentbody"/>
    <w:basedOn w:val="DefaultParagraphFont"/>
  </w:style>
  <w:style w:type="character" w:customStyle="1" w:styleId="documentbody1">
    <w:name w:val="documentbody1"/>
    <w:rPr>
      <w:rFonts w:ascii="Verdana" w:hAnsi="Verdana" w:hint="default"/>
      <w:sz w:val="19"/>
      <w:szCs w:val="19"/>
      <w:shd w:val="clear" w:color="auto" w:fill="FFFFFF"/>
    </w:rPr>
  </w:style>
  <w:style w:type="character" w:styleId="FollowedHyperlink">
    <w:name w:val="FollowedHyperlink"/>
    <w:rPr>
      <w:color w:val="800080"/>
      <w:u w:val="single"/>
    </w:rPr>
  </w:style>
  <w:style w:type="character" w:customStyle="1" w:styleId="Heading3Char">
    <w:name w:val="Heading 3 Char"/>
    <w:link w:val="Heading3"/>
    <w:rPr>
      <w:b/>
      <w:snapToGrid w:val="0"/>
      <w:kern w:val="28"/>
      <w:sz w:val="22"/>
    </w:rPr>
  </w:style>
  <w:style w:type="paragraph" w:styleId="HTMLPreformatted">
    <w:name w:val="HTML Preformatted"/>
    <w:basedOn w:val="Normal"/>
    <w:rPr>
      <w:rFonts w:ascii="Courier New" w:hAnsi="Courier New" w:cs="Courier New"/>
      <w:sz w:val="20"/>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locked/>
  </w:style>
  <w:style w:type="character" w:customStyle="1" w:styleId="Heading1Char">
    <w:name w:val="Heading 1 Char"/>
    <w:link w:val="Heading1"/>
    <w:rsid w:val="00991930"/>
    <w:rPr>
      <w:rFonts w:ascii="Times New Roman Bold" w:hAnsi="Times New Roman Bold"/>
      <w:b/>
      <w:caps/>
      <w:snapToGrid w:val="0"/>
      <w:kern w:val="28"/>
      <w:sz w:val="22"/>
    </w:rPr>
  </w:style>
  <w:style w:type="character" w:customStyle="1" w:styleId="ParaNumChar">
    <w:name w:val="ParaNum Char"/>
    <w:link w:val="ParaNum"/>
    <w:locked/>
    <w:rsid w:val="00991930"/>
    <w:rPr>
      <w:snapToGrid w:val="0"/>
      <w:kern w:val="28"/>
      <w:sz w:val="22"/>
    </w:rPr>
  </w:style>
  <w:style w:type="character" w:customStyle="1" w:styleId="FootnoteTextCharChar1">
    <w:name w:val="Footnote Text Char Char1"/>
    <w:aliases w:val="Footnote Text Char Char Char1 Char Char Char Char1,Footnote Text Char1 Char1 Char Char Char Char1,Footnote Text Char2 Char Char Char Char1,Footnote Text Char2 Char Char1,Footnote Text Char3 Char Char Char1"/>
    <w:rsid w:val="00022493"/>
  </w:style>
  <w:style w:type="paragraph" w:styleId="EndnoteText">
    <w:name w:val="endnote text"/>
    <w:basedOn w:val="Normal"/>
    <w:link w:val="EndnoteTextChar"/>
    <w:rsid w:val="00EB1109"/>
    <w:rPr>
      <w:sz w:val="20"/>
    </w:rPr>
  </w:style>
  <w:style w:type="character" w:customStyle="1" w:styleId="EndnoteTextChar">
    <w:name w:val="Endnote Text Char"/>
    <w:link w:val="EndnoteText"/>
    <w:rsid w:val="00575572"/>
    <w:rPr>
      <w:snapToGrid w:val="0"/>
      <w:kern w:val="28"/>
    </w:rPr>
  </w:style>
  <w:style w:type="character" w:styleId="EndnoteReference">
    <w:name w:val="endnote reference"/>
    <w:rsid w:val="00EB1109"/>
    <w:rPr>
      <w:vertAlign w:val="superscript"/>
    </w:rPr>
  </w:style>
  <w:style w:type="paragraph" w:styleId="TOAHeading">
    <w:name w:val="toa heading"/>
    <w:basedOn w:val="Normal"/>
    <w:next w:val="Normal"/>
    <w:rsid w:val="00EB1109"/>
    <w:pPr>
      <w:tabs>
        <w:tab w:val="right" w:pos="9360"/>
      </w:tabs>
      <w:suppressAutoHyphens/>
    </w:pPr>
  </w:style>
  <w:style w:type="character" w:customStyle="1" w:styleId="EquationCaption">
    <w:name w:val="_Equation Caption"/>
    <w:rsid w:val="00EB1109"/>
  </w:style>
  <w:style w:type="paragraph" w:customStyle="1" w:styleId="Paratitle">
    <w:name w:val="Para title"/>
    <w:basedOn w:val="Normal"/>
    <w:rsid w:val="00EB1109"/>
    <w:pPr>
      <w:tabs>
        <w:tab w:val="center" w:pos="9270"/>
      </w:tabs>
      <w:spacing w:after="240"/>
    </w:pPr>
    <w:rPr>
      <w:spacing w:val="-2"/>
    </w:rPr>
  </w:style>
  <w:style w:type="paragraph" w:customStyle="1" w:styleId="TOCTitle">
    <w:name w:val="TOC Title"/>
    <w:basedOn w:val="Normal"/>
    <w:rsid w:val="00EB11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1109"/>
    <w:pPr>
      <w:jc w:val="center"/>
    </w:pPr>
    <w:rPr>
      <w:rFonts w:ascii="Times New Roman Bold" w:hAnsi="Times New Roman Bold"/>
      <w:b/>
      <w:bCs/>
      <w:caps/>
      <w:szCs w:val="22"/>
    </w:rPr>
  </w:style>
  <w:style w:type="character" w:styleId="CommentReference">
    <w:name w:val="annotation reference"/>
    <w:rsid w:val="00752BD4"/>
    <w:rPr>
      <w:sz w:val="16"/>
      <w:szCs w:val="16"/>
    </w:rPr>
  </w:style>
  <w:style w:type="paragraph" w:styleId="CommentText">
    <w:name w:val="annotation text"/>
    <w:basedOn w:val="Normal"/>
    <w:link w:val="CommentTextChar"/>
    <w:rsid w:val="00752BD4"/>
    <w:rPr>
      <w:sz w:val="20"/>
    </w:rPr>
  </w:style>
  <w:style w:type="character" w:customStyle="1" w:styleId="CommentTextChar">
    <w:name w:val="Comment Text Char"/>
    <w:link w:val="CommentText"/>
    <w:rsid w:val="00752BD4"/>
    <w:rPr>
      <w:snapToGrid w:val="0"/>
      <w:kern w:val="28"/>
    </w:rPr>
  </w:style>
  <w:style w:type="paragraph" w:styleId="CommentSubject">
    <w:name w:val="annotation subject"/>
    <w:basedOn w:val="CommentText"/>
    <w:next w:val="CommentText"/>
    <w:link w:val="CommentSubjectChar"/>
    <w:rsid w:val="00752BD4"/>
    <w:rPr>
      <w:b/>
      <w:bCs/>
    </w:rPr>
  </w:style>
  <w:style w:type="character" w:customStyle="1" w:styleId="CommentSubjectChar">
    <w:name w:val="Comment Subject Char"/>
    <w:link w:val="CommentSubject"/>
    <w:rsid w:val="00752BD4"/>
    <w:rPr>
      <w:b/>
      <w:bCs/>
      <w:snapToGrid w:val="0"/>
      <w:kern w:val="28"/>
    </w:rPr>
  </w:style>
  <w:style w:type="paragraph" w:styleId="Revision">
    <w:name w:val="Revision"/>
    <w:hidden/>
    <w:uiPriority w:val="99"/>
    <w:semiHidden/>
    <w:rsid w:val="0042205F"/>
    <w:rPr>
      <w:snapToGrid w:val="0"/>
      <w:kern w:val="28"/>
      <w:sz w:val="22"/>
    </w:rPr>
  </w:style>
  <w:style w:type="character" w:customStyle="1" w:styleId="FooterChar">
    <w:name w:val="Footer Char"/>
    <w:link w:val="Footer"/>
    <w:uiPriority w:val="99"/>
    <w:rsid w:val="00EB11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