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P="0031463D">
      <w:pPr>
        <w:widowControl/>
        <w:jc w:val="center"/>
        <w:rPr>
          <w:b/>
        </w:rPr>
      </w:pPr>
      <w:r w:rsidRPr="0070224F">
        <w:rPr>
          <w:rFonts w:ascii="Times New Roman Bold" w:hAnsi="Times New Roman Bold"/>
          <w:b/>
          <w:kern w:val="0"/>
          <w:szCs w:val="22"/>
        </w:rPr>
        <w:t>Before</w:t>
      </w:r>
      <w:r>
        <w:rPr>
          <w:b/>
        </w:rPr>
        <w:t xml:space="preserve"> the</w:t>
      </w:r>
    </w:p>
    <w:p w:rsidR="00921803" w:rsidP="0031463D">
      <w:pPr>
        <w:pStyle w:val="StyleBoldCentered"/>
        <w:widowControl/>
      </w:pPr>
      <w:r>
        <w:t>F</w:t>
      </w:r>
      <w:r>
        <w:rPr>
          <w:caps w:val="0"/>
        </w:rPr>
        <w:t>ederal Communications Commission</w:t>
      </w:r>
    </w:p>
    <w:p w:rsidR="004C2EE3" w:rsidP="0031463D">
      <w:pPr>
        <w:pStyle w:val="StyleBoldCentered"/>
        <w:widowControl/>
      </w:pPr>
      <w:r>
        <w:rPr>
          <w:caps w:val="0"/>
        </w:rPr>
        <w:t>Washington, D.C. 20554</w:t>
      </w:r>
    </w:p>
    <w:p w:rsidR="004C2EE3" w:rsidP="0031463D">
      <w:pPr>
        <w:widowControl/>
      </w:pPr>
    </w:p>
    <w:tbl>
      <w:tblPr>
        <w:tblW w:w="9576" w:type="dxa"/>
        <w:tblLayout w:type="fixed"/>
        <w:tblLook w:val="0000"/>
      </w:tblPr>
      <w:tblGrid>
        <w:gridCol w:w="4698"/>
        <w:gridCol w:w="630"/>
        <w:gridCol w:w="4248"/>
      </w:tblGrid>
      <w:tr w:rsidTr="00E804D0">
        <w:tblPrEx>
          <w:tblW w:w="9576" w:type="dxa"/>
          <w:tblLayout w:type="fixed"/>
          <w:tblLook w:val="0000"/>
        </w:tblPrEx>
        <w:trPr>
          <w:trHeight w:val="1602"/>
        </w:trPr>
        <w:tc>
          <w:tcPr>
            <w:tcW w:w="4698" w:type="dxa"/>
          </w:tcPr>
          <w:p w:rsidR="004E50A6" w:rsidRPr="001D1D02" w:rsidP="0031463D">
            <w:pPr>
              <w:widowControl/>
              <w:tabs>
                <w:tab w:val="center" w:pos="4680"/>
              </w:tabs>
              <w:suppressAutoHyphens/>
              <w:rPr>
                <w:spacing w:val="-2"/>
                <w:szCs w:val="22"/>
              </w:rPr>
            </w:pPr>
            <w:r w:rsidRPr="001D1D02">
              <w:rPr>
                <w:spacing w:val="-2"/>
                <w:szCs w:val="22"/>
              </w:rPr>
              <w:t>In the Matter of</w:t>
            </w:r>
          </w:p>
          <w:p w:rsidR="004E50A6" w:rsidRPr="001D1D02" w:rsidP="0031463D">
            <w:pPr>
              <w:widowControl/>
              <w:tabs>
                <w:tab w:val="center" w:pos="4680"/>
              </w:tabs>
              <w:suppressAutoHyphens/>
              <w:rPr>
                <w:spacing w:val="-2"/>
                <w:szCs w:val="22"/>
              </w:rPr>
            </w:pPr>
          </w:p>
          <w:p w:rsidR="00BD2D09" w:rsidP="0031463D">
            <w:pPr>
              <w:widowControl/>
              <w:tabs>
                <w:tab w:val="center" w:pos="4680"/>
              </w:tabs>
              <w:suppressAutoHyphens/>
              <w:rPr>
                <w:spacing w:val="-2"/>
                <w:szCs w:val="22"/>
              </w:rPr>
            </w:pPr>
            <w:r>
              <w:rPr>
                <w:spacing w:val="-2"/>
                <w:szCs w:val="22"/>
              </w:rPr>
              <w:t>Communications Marketplace Report</w:t>
            </w:r>
            <w:r>
              <w:rPr>
                <w:spacing w:val="-2"/>
                <w:szCs w:val="22"/>
              </w:rPr>
              <w:br/>
            </w:r>
          </w:p>
          <w:p w:rsidR="004E50A6" w:rsidRPr="001D1D02" w:rsidP="0031463D">
            <w:pPr>
              <w:widowControl/>
              <w:tabs>
                <w:tab w:val="center" w:pos="4680"/>
              </w:tabs>
              <w:suppressAutoHyphens/>
              <w:rPr>
                <w:spacing w:val="-2"/>
                <w:szCs w:val="22"/>
              </w:rPr>
            </w:pPr>
            <w:r>
              <w:rPr>
                <w:spacing w:val="-2"/>
                <w:szCs w:val="22"/>
              </w:rPr>
              <w:t>Inquiry Concerning Deployment of Advanced Telecommunications Capability to All Americans in a Reasonable and Timely Fashion</w:t>
            </w:r>
          </w:p>
        </w:tc>
        <w:tc>
          <w:tcPr>
            <w:tcW w:w="630" w:type="dxa"/>
          </w:tcPr>
          <w:p w:rsidR="004E50A6" w:rsidRPr="001D1D02" w:rsidP="0031463D">
            <w:pPr>
              <w:widowControl/>
              <w:tabs>
                <w:tab w:val="center" w:pos="4680"/>
              </w:tabs>
              <w:suppressAutoHyphens/>
              <w:rPr>
                <w:spacing w:val="-2"/>
                <w:szCs w:val="22"/>
              </w:rPr>
            </w:pPr>
            <w:r w:rsidRPr="001D1D02">
              <w:rPr>
                <w:spacing w:val="-2"/>
                <w:szCs w:val="22"/>
              </w:rPr>
              <w:t>)</w:t>
            </w:r>
          </w:p>
          <w:p w:rsidR="004E50A6" w:rsidRPr="001D1D02" w:rsidP="0031463D">
            <w:pPr>
              <w:widowControl/>
              <w:tabs>
                <w:tab w:val="center" w:pos="4680"/>
              </w:tabs>
              <w:suppressAutoHyphens/>
              <w:rPr>
                <w:spacing w:val="-2"/>
                <w:szCs w:val="22"/>
              </w:rPr>
            </w:pPr>
            <w:r w:rsidRPr="001D1D02">
              <w:rPr>
                <w:spacing w:val="-2"/>
                <w:szCs w:val="22"/>
              </w:rPr>
              <w:t>)</w:t>
            </w:r>
          </w:p>
          <w:p w:rsidR="004E50A6" w:rsidRPr="001D1D02" w:rsidP="0031463D">
            <w:pPr>
              <w:widowControl/>
              <w:tabs>
                <w:tab w:val="center" w:pos="4680"/>
              </w:tabs>
              <w:suppressAutoHyphens/>
              <w:rPr>
                <w:spacing w:val="-2"/>
                <w:szCs w:val="22"/>
              </w:rPr>
            </w:pPr>
            <w:r w:rsidRPr="001D1D02">
              <w:rPr>
                <w:spacing w:val="-2"/>
                <w:szCs w:val="22"/>
              </w:rPr>
              <w:t>)</w:t>
            </w:r>
          </w:p>
          <w:p w:rsidR="004E50A6" w:rsidRPr="001D1D02" w:rsidP="0031463D">
            <w:pPr>
              <w:widowControl/>
              <w:tabs>
                <w:tab w:val="center" w:pos="4680"/>
              </w:tabs>
              <w:suppressAutoHyphens/>
              <w:rPr>
                <w:spacing w:val="-2"/>
                <w:szCs w:val="22"/>
              </w:rPr>
            </w:pPr>
            <w:r w:rsidRPr="001D1D02">
              <w:rPr>
                <w:spacing w:val="-2"/>
                <w:szCs w:val="22"/>
              </w:rPr>
              <w:t>)</w:t>
            </w:r>
          </w:p>
          <w:p w:rsidR="004E50A6" w:rsidRPr="001D1D02" w:rsidP="0031463D">
            <w:pPr>
              <w:widowControl/>
              <w:tabs>
                <w:tab w:val="center" w:pos="4680"/>
              </w:tabs>
              <w:suppressAutoHyphens/>
              <w:rPr>
                <w:spacing w:val="-2"/>
                <w:szCs w:val="22"/>
              </w:rPr>
            </w:pPr>
            <w:r w:rsidRPr="001D1D02">
              <w:rPr>
                <w:spacing w:val="-2"/>
                <w:szCs w:val="22"/>
              </w:rPr>
              <w:t>)</w:t>
            </w:r>
          </w:p>
          <w:p w:rsidR="004E50A6" w:rsidRPr="001D1D02" w:rsidP="0031463D">
            <w:pPr>
              <w:widowControl/>
              <w:tabs>
                <w:tab w:val="center" w:pos="4680"/>
              </w:tabs>
              <w:suppressAutoHyphens/>
              <w:rPr>
                <w:spacing w:val="-2"/>
                <w:szCs w:val="22"/>
              </w:rPr>
            </w:pPr>
            <w:r>
              <w:rPr>
                <w:spacing w:val="-2"/>
                <w:szCs w:val="22"/>
              </w:rPr>
              <w:t>)</w:t>
            </w:r>
          </w:p>
          <w:p w:rsidR="00A672F7" w:rsidRPr="001D1D02" w:rsidP="0031463D">
            <w:pPr>
              <w:widowControl/>
              <w:tabs>
                <w:tab w:val="center" w:pos="4680"/>
              </w:tabs>
              <w:suppressAutoHyphens/>
              <w:rPr>
                <w:spacing w:val="-2"/>
                <w:szCs w:val="22"/>
              </w:rPr>
            </w:pPr>
            <w:r>
              <w:rPr>
                <w:spacing w:val="-2"/>
                <w:szCs w:val="22"/>
              </w:rPr>
              <w:t>)</w:t>
            </w:r>
          </w:p>
          <w:p w:rsidR="004E50A6" w:rsidRPr="001D1D02" w:rsidP="0031463D">
            <w:pPr>
              <w:widowControl/>
              <w:tabs>
                <w:tab w:val="center" w:pos="4680"/>
              </w:tabs>
              <w:suppressAutoHyphens/>
              <w:rPr>
                <w:spacing w:val="-2"/>
                <w:szCs w:val="22"/>
              </w:rPr>
            </w:pPr>
          </w:p>
        </w:tc>
        <w:tc>
          <w:tcPr>
            <w:tcW w:w="4248" w:type="dxa"/>
          </w:tcPr>
          <w:p w:rsidR="004E50A6" w:rsidRPr="001D1D02" w:rsidP="0031463D">
            <w:pPr>
              <w:widowControl/>
              <w:tabs>
                <w:tab w:val="center" w:pos="4680"/>
              </w:tabs>
              <w:suppressAutoHyphens/>
              <w:rPr>
                <w:spacing w:val="-2"/>
                <w:szCs w:val="22"/>
              </w:rPr>
            </w:pPr>
          </w:p>
          <w:p w:rsidR="004E50A6" w:rsidRPr="001D1D02" w:rsidP="0031463D">
            <w:pPr>
              <w:widowControl/>
              <w:rPr>
                <w:spacing w:val="-2"/>
                <w:szCs w:val="22"/>
              </w:rPr>
            </w:pPr>
          </w:p>
          <w:p w:rsidR="00BD2D09" w:rsidP="0031463D">
            <w:pPr>
              <w:widowControl/>
              <w:tabs>
                <w:tab w:val="center" w:pos="4680"/>
              </w:tabs>
              <w:suppressAutoHyphens/>
              <w:rPr>
                <w:spacing w:val="-2"/>
                <w:szCs w:val="22"/>
              </w:rPr>
            </w:pPr>
            <w:r>
              <w:rPr>
                <w:spacing w:val="-2"/>
                <w:szCs w:val="22"/>
              </w:rPr>
              <w:t>GN Docket No. 18-231</w:t>
            </w:r>
          </w:p>
          <w:p w:rsidR="00BD2D09" w:rsidP="0031463D">
            <w:pPr>
              <w:widowControl/>
              <w:tabs>
                <w:tab w:val="center" w:pos="4680"/>
              </w:tabs>
              <w:suppressAutoHyphens/>
              <w:rPr>
                <w:spacing w:val="-2"/>
                <w:szCs w:val="22"/>
              </w:rPr>
            </w:pPr>
          </w:p>
          <w:p w:rsidR="00A672F7" w:rsidRPr="001D1D02" w:rsidP="0031463D">
            <w:pPr>
              <w:widowControl/>
              <w:tabs>
                <w:tab w:val="center" w:pos="4680"/>
              </w:tabs>
              <w:suppressAutoHyphens/>
              <w:rPr>
                <w:spacing w:val="-2"/>
                <w:szCs w:val="22"/>
              </w:rPr>
            </w:pPr>
            <w:r>
              <w:rPr>
                <w:spacing w:val="-2"/>
                <w:szCs w:val="22"/>
              </w:rPr>
              <w:t>GN Docket No. 18-238</w:t>
            </w:r>
          </w:p>
          <w:p w:rsidR="004E50A6" w:rsidRPr="001D1D02" w:rsidP="0031463D">
            <w:pPr>
              <w:widowControl/>
              <w:tabs>
                <w:tab w:val="center" w:pos="4680"/>
              </w:tabs>
              <w:suppressAutoHyphens/>
              <w:rPr>
                <w:spacing w:val="-2"/>
                <w:szCs w:val="22"/>
              </w:rPr>
            </w:pPr>
          </w:p>
          <w:p w:rsidR="004E50A6" w:rsidRPr="001D1D02" w:rsidP="0031463D">
            <w:pPr>
              <w:widowControl/>
              <w:tabs>
                <w:tab w:val="center" w:pos="4680"/>
              </w:tabs>
              <w:suppressAutoHyphens/>
              <w:rPr>
                <w:spacing w:val="-2"/>
                <w:szCs w:val="22"/>
              </w:rPr>
            </w:pPr>
          </w:p>
          <w:p w:rsidR="004E50A6" w:rsidRPr="001D1D02" w:rsidP="0031463D">
            <w:pPr>
              <w:widowControl/>
              <w:tabs>
                <w:tab w:val="center" w:pos="4680"/>
              </w:tabs>
              <w:suppressAutoHyphens/>
              <w:rPr>
                <w:spacing w:val="-2"/>
                <w:szCs w:val="22"/>
              </w:rPr>
            </w:pPr>
          </w:p>
          <w:p w:rsidR="004E50A6" w:rsidRPr="001D1D02" w:rsidP="0031463D">
            <w:pPr>
              <w:widowControl/>
              <w:tabs>
                <w:tab w:val="center" w:pos="4680"/>
              </w:tabs>
              <w:suppressAutoHyphens/>
              <w:rPr>
                <w:spacing w:val="-2"/>
                <w:szCs w:val="22"/>
              </w:rPr>
            </w:pPr>
          </w:p>
        </w:tc>
      </w:tr>
    </w:tbl>
    <w:p w:rsidR="004E50A6" w:rsidP="00053196">
      <w:pPr>
        <w:pStyle w:val="StyleBoldCentered"/>
        <w:widowControl/>
      </w:pPr>
      <w:r w:rsidRPr="00FE2E8C">
        <w:t>Order</w:t>
      </w:r>
    </w:p>
    <w:p w:rsidR="004E50A6" w:rsidRPr="00FE2E8C" w:rsidP="0031463D">
      <w:pPr>
        <w:pStyle w:val="StyleBoldCentered"/>
        <w:widowControl/>
        <w:rPr>
          <w:spacing w:val="-2"/>
        </w:rPr>
      </w:pPr>
    </w:p>
    <w:p w:rsidR="00F867C6" w:rsidP="0031463D">
      <w:pPr>
        <w:widowControl/>
        <w:tabs>
          <w:tab w:val="left" w:pos="720"/>
          <w:tab w:val="left" w:pos="5760"/>
        </w:tabs>
        <w:suppressAutoHyphens/>
        <w:spacing w:line="227" w:lineRule="auto"/>
        <w:jc w:val="both"/>
        <w:rPr>
          <w:b/>
          <w:spacing w:val="-2"/>
          <w:szCs w:val="22"/>
        </w:rPr>
      </w:pPr>
      <w:r w:rsidRPr="00FE2E8C">
        <w:rPr>
          <w:b/>
          <w:spacing w:val="-2"/>
          <w:szCs w:val="22"/>
        </w:rPr>
        <w:t xml:space="preserve">Adopted:  </w:t>
      </w:r>
      <w:r>
        <w:rPr>
          <w:b/>
          <w:spacing w:val="-2"/>
          <w:szCs w:val="22"/>
        </w:rPr>
        <w:t>August 17, 2018</w:t>
      </w:r>
      <w:r w:rsidRPr="00FE2E8C">
        <w:rPr>
          <w:b/>
          <w:spacing w:val="-2"/>
          <w:szCs w:val="22"/>
        </w:rPr>
        <w:tab/>
      </w:r>
      <w:r>
        <w:rPr>
          <w:b/>
          <w:spacing w:val="-2"/>
          <w:szCs w:val="22"/>
        </w:rPr>
        <w:tab/>
      </w:r>
      <w:r w:rsidRPr="00FE2E8C">
        <w:rPr>
          <w:b/>
          <w:spacing w:val="-2"/>
          <w:szCs w:val="22"/>
        </w:rPr>
        <w:t xml:space="preserve">Released:  </w:t>
      </w:r>
      <w:r>
        <w:rPr>
          <w:b/>
          <w:spacing w:val="-2"/>
          <w:szCs w:val="22"/>
        </w:rPr>
        <w:t>August 17, 2018</w:t>
      </w:r>
    </w:p>
    <w:p w:rsidR="00D953FB" w:rsidP="0031463D">
      <w:pPr>
        <w:widowControl/>
        <w:tabs>
          <w:tab w:val="left" w:pos="720"/>
          <w:tab w:val="left" w:pos="5760"/>
        </w:tabs>
        <w:suppressAutoHyphens/>
        <w:spacing w:line="227" w:lineRule="auto"/>
        <w:jc w:val="both"/>
        <w:rPr>
          <w:b/>
          <w:spacing w:val="-2"/>
          <w:szCs w:val="22"/>
        </w:rPr>
      </w:pPr>
    </w:p>
    <w:p w:rsidR="00D953FB" w:rsidP="0031463D">
      <w:pPr>
        <w:widowControl/>
        <w:tabs>
          <w:tab w:val="left" w:pos="720"/>
          <w:tab w:val="left" w:pos="5760"/>
        </w:tabs>
        <w:suppressAutoHyphens/>
        <w:spacing w:line="227" w:lineRule="auto"/>
        <w:jc w:val="both"/>
        <w:rPr>
          <w:b/>
          <w:spacing w:val="-2"/>
          <w:szCs w:val="22"/>
        </w:rPr>
      </w:pPr>
      <w:r>
        <w:rPr>
          <w:b/>
          <w:spacing w:val="-2"/>
          <w:szCs w:val="22"/>
        </w:rPr>
        <w:t>Revised Comment Date</w:t>
      </w:r>
      <w:r w:rsidR="00BD2D09">
        <w:rPr>
          <w:b/>
          <w:spacing w:val="-2"/>
          <w:szCs w:val="22"/>
        </w:rPr>
        <w:t xml:space="preserve"> in GN Docket 18-238</w:t>
      </w:r>
      <w:r>
        <w:rPr>
          <w:b/>
          <w:spacing w:val="-2"/>
          <w:szCs w:val="22"/>
        </w:rPr>
        <w:t xml:space="preserve">: </w:t>
      </w:r>
      <w:r w:rsidR="003F5A91">
        <w:rPr>
          <w:b/>
          <w:spacing w:val="-2"/>
          <w:szCs w:val="22"/>
        </w:rPr>
        <w:t>September 17</w:t>
      </w:r>
      <w:r w:rsidR="00811896">
        <w:rPr>
          <w:b/>
          <w:spacing w:val="-2"/>
          <w:szCs w:val="22"/>
        </w:rPr>
        <w:t>, 2018</w:t>
      </w:r>
    </w:p>
    <w:p w:rsidR="00D953FB" w:rsidRPr="00D953FB" w:rsidP="0031463D">
      <w:pPr>
        <w:widowControl/>
        <w:tabs>
          <w:tab w:val="left" w:pos="720"/>
          <w:tab w:val="left" w:pos="5760"/>
        </w:tabs>
        <w:suppressAutoHyphens/>
        <w:spacing w:line="227" w:lineRule="auto"/>
        <w:jc w:val="both"/>
        <w:rPr>
          <w:b/>
          <w:spacing w:val="-2"/>
          <w:szCs w:val="22"/>
        </w:rPr>
      </w:pPr>
      <w:r>
        <w:rPr>
          <w:b/>
          <w:spacing w:val="-2"/>
          <w:szCs w:val="22"/>
        </w:rPr>
        <w:t>Revised Reply Comment Date</w:t>
      </w:r>
      <w:r w:rsidR="00BD2D09">
        <w:rPr>
          <w:b/>
          <w:spacing w:val="-2"/>
          <w:szCs w:val="22"/>
        </w:rPr>
        <w:t xml:space="preserve"> in GN Docket 18-238</w:t>
      </w:r>
      <w:r>
        <w:rPr>
          <w:b/>
          <w:spacing w:val="-2"/>
          <w:szCs w:val="22"/>
        </w:rPr>
        <w:t>:</w:t>
      </w:r>
      <w:r w:rsidR="006624B7">
        <w:rPr>
          <w:b/>
          <w:spacing w:val="-2"/>
          <w:szCs w:val="22"/>
        </w:rPr>
        <w:t xml:space="preserve"> </w:t>
      </w:r>
      <w:r w:rsidR="00DC5F3C">
        <w:rPr>
          <w:b/>
          <w:spacing w:val="-2"/>
          <w:szCs w:val="22"/>
        </w:rPr>
        <w:t>October 1</w:t>
      </w:r>
      <w:r w:rsidR="00811896">
        <w:rPr>
          <w:b/>
          <w:spacing w:val="-2"/>
          <w:szCs w:val="22"/>
        </w:rPr>
        <w:t>, 2018</w:t>
      </w:r>
    </w:p>
    <w:p w:rsidR="004E50A6" w:rsidP="0031463D">
      <w:pPr>
        <w:widowControl/>
        <w:rPr>
          <w:szCs w:val="22"/>
        </w:rPr>
      </w:pPr>
    </w:p>
    <w:p w:rsidR="004E50A6" w:rsidRPr="00FE2E8C" w:rsidP="00302BAD">
      <w:pPr>
        <w:widowControl/>
        <w:ind w:left="720" w:hanging="720"/>
        <w:rPr>
          <w:spacing w:val="-2"/>
          <w:szCs w:val="22"/>
        </w:rPr>
      </w:pPr>
      <w:r w:rsidRPr="00FE2E8C">
        <w:rPr>
          <w:szCs w:val="22"/>
        </w:rPr>
        <w:t>By the</w:t>
      </w:r>
      <w:r w:rsidRPr="00FE2E8C">
        <w:rPr>
          <w:spacing w:val="-2"/>
          <w:szCs w:val="22"/>
        </w:rPr>
        <w:t xml:space="preserve"> </w:t>
      </w:r>
      <w:r w:rsidR="006624B7">
        <w:rPr>
          <w:spacing w:val="-2"/>
          <w:szCs w:val="22"/>
        </w:rPr>
        <w:t>Chief, Competition Policy Division, Wireline Competition Bureau</w:t>
      </w:r>
      <w:r>
        <w:rPr>
          <w:spacing w:val="-2"/>
          <w:szCs w:val="22"/>
        </w:rPr>
        <w:t>:</w:t>
      </w:r>
      <w:r w:rsidR="00C60F0B">
        <w:rPr>
          <w:spacing w:val="-2"/>
          <w:szCs w:val="22"/>
        </w:rPr>
        <w:t xml:space="preserve"> </w:t>
      </w:r>
      <w:bookmarkStart w:id="0" w:name="_GoBack"/>
      <w:bookmarkEnd w:id="0"/>
    </w:p>
    <w:p w:rsidR="004E50A6" w:rsidP="0031463D">
      <w:pPr>
        <w:widowControl/>
        <w:rPr>
          <w:b/>
          <w:spacing w:val="-2"/>
          <w:szCs w:val="22"/>
        </w:rPr>
      </w:pPr>
    </w:p>
    <w:p w:rsidR="00D953FB" w:rsidRPr="00D953FB" w:rsidP="0031463D">
      <w:pPr>
        <w:pStyle w:val="ParaNum"/>
        <w:widowControl/>
      </w:pPr>
      <w:bookmarkStart w:id="1" w:name="_Toc361330014"/>
      <w:r w:rsidRPr="00CB7AFD">
        <w:rPr>
          <w:snapToGrid/>
        </w:rPr>
        <w:t xml:space="preserve">By this </w:t>
      </w:r>
      <w:r>
        <w:rPr>
          <w:snapToGrid/>
        </w:rPr>
        <w:t>Order</w:t>
      </w:r>
      <w:r w:rsidRPr="00CB7AFD">
        <w:rPr>
          <w:snapToGrid/>
        </w:rPr>
        <w:t>, the Wireline Competition Bureau</w:t>
      </w:r>
      <w:r w:rsidR="00485AE0">
        <w:rPr>
          <w:snapToGrid/>
        </w:rPr>
        <w:t xml:space="preserve"> (Bureau)</w:t>
      </w:r>
      <w:r>
        <w:rPr>
          <w:snapToGrid/>
        </w:rPr>
        <w:t xml:space="preserve"> </w:t>
      </w:r>
      <w:r w:rsidR="009C3998">
        <w:rPr>
          <w:snapToGrid/>
        </w:rPr>
        <w:t>extend</w:t>
      </w:r>
      <w:r w:rsidR="00485AE0">
        <w:rPr>
          <w:snapToGrid/>
        </w:rPr>
        <w:t>s</w:t>
      </w:r>
      <w:r w:rsidRPr="00CB7AFD">
        <w:rPr>
          <w:snapToGrid/>
        </w:rPr>
        <w:t xml:space="preserve"> the deadline for filing </w:t>
      </w:r>
      <w:r>
        <w:rPr>
          <w:snapToGrid/>
        </w:rPr>
        <w:t xml:space="preserve">initial and </w:t>
      </w:r>
      <w:r w:rsidRPr="00CB7AFD">
        <w:rPr>
          <w:snapToGrid/>
        </w:rPr>
        <w:t>reply comments in response to the</w:t>
      </w:r>
      <w:r>
        <w:rPr>
          <w:snapToGrid/>
        </w:rPr>
        <w:t xml:space="preserve"> </w:t>
      </w:r>
      <w:r w:rsidR="00BD2D09">
        <w:rPr>
          <w:snapToGrid/>
        </w:rPr>
        <w:t>Fourteenth</w:t>
      </w:r>
      <w:r>
        <w:rPr>
          <w:snapToGrid/>
        </w:rPr>
        <w:t xml:space="preserve"> </w:t>
      </w:r>
      <w:r w:rsidR="00BD2D09">
        <w:rPr>
          <w:snapToGrid/>
        </w:rPr>
        <w:t>Broadband Deployment</w:t>
      </w:r>
      <w:r>
        <w:rPr>
          <w:snapToGrid/>
        </w:rPr>
        <w:t xml:space="preserve"> Report Notice of Inquiry</w:t>
      </w:r>
      <w:r w:rsidRPr="00CB7AFD">
        <w:rPr>
          <w:snapToGrid/>
        </w:rPr>
        <w:t xml:space="preserve"> until </w:t>
      </w:r>
      <w:r>
        <w:rPr>
          <w:snapToGrid/>
        </w:rPr>
        <w:t xml:space="preserve">September </w:t>
      </w:r>
      <w:r w:rsidR="00811896">
        <w:rPr>
          <w:snapToGrid/>
        </w:rPr>
        <w:t>1</w:t>
      </w:r>
      <w:r w:rsidR="00BF111E">
        <w:rPr>
          <w:snapToGrid/>
        </w:rPr>
        <w:t>7</w:t>
      </w:r>
      <w:r w:rsidR="00811896">
        <w:rPr>
          <w:snapToGrid/>
        </w:rPr>
        <w:t>, 2018</w:t>
      </w:r>
      <w:r>
        <w:rPr>
          <w:snapToGrid/>
        </w:rPr>
        <w:t xml:space="preserve"> and </w:t>
      </w:r>
      <w:r w:rsidR="00811896">
        <w:rPr>
          <w:snapToGrid/>
        </w:rPr>
        <w:t>October 1, 2018</w:t>
      </w:r>
      <w:r>
        <w:rPr>
          <w:snapToGrid/>
        </w:rPr>
        <w:t>, respectively</w:t>
      </w:r>
      <w:r w:rsidRPr="00CB7AFD">
        <w:rPr>
          <w:snapToGrid/>
        </w:rPr>
        <w:t>.</w:t>
      </w:r>
      <w:r>
        <w:rPr>
          <w:snapToGrid/>
          <w:vertAlign w:val="superscript"/>
        </w:rPr>
        <w:footnoteReference w:id="3"/>
      </w:r>
      <w:r w:rsidR="00811896">
        <w:rPr>
          <w:snapToGrid/>
        </w:rPr>
        <w:t xml:space="preserve">  We deny a request to </w:t>
      </w:r>
      <w:r w:rsidR="00EB470F">
        <w:t>extend the deadline for filing comment</w:t>
      </w:r>
      <w:r w:rsidR="00ED4FE3">
        <w:t>s</w:t>
      </w:r>
      <w:r w:rsidR="00EB470F">
        <w:t xml:space="preserve"> in response to </w:t>
      </w:r>
      <w:r w:rsidR="00485AE0">
        <w:t>the Bureau’s request for comment on the state of fixed broadband competition.</w:t>
      </w:r>
      <w:r>
        <w:rPr>
          <w:rStyle w:val="FootnoteReference"/>
        </w:rPr>
        <w:footnoteReference w:id="4"/>
      </w:r>
    </w:p>
    <w:p w:rsidR="004E50A6" w:rsidRPr="000A088E" w:rsidP="0031463D">
      <w:pPr>
        <w:pStyle w:val="ParaNum"/>
        <w:widowControl/>
      </w:pPr>
      <w:r>
        <w:rPr>
          <w:snapToGrid/>
        </w:rPr>
        <w:t xml:space="preserve">The Bureau set a deadline of August 17, 2018 for filing comments on the state of fixed broadband competition.  </w:t>
      </w:r>
      <w:r w:rsidR="006624B7">
        <w:rPr>
          <w:snapToGrid/>
        </w:rPr>
        <w:t>T</w:t>
      </w:r>
      <w:r w:rsidRPr="00CB7AFD" w:rsidR="006624B7">
        <w:rPr>
          <w:snapToGrid/>
        </w:rPr>
        <w:t>he</w:t>
      </w:r>
      <w:r w:rsidR="006624B7">
        <w:rPr>
          <w:snapToGrid/>
        </w:rPr>
        <w:t xml:space="preserve"> </w:t>
      </w:r>
      <w:r w:rsidR="00ED4FE3">
        <w:rPr>
          <w:snapToGrid/>
        </w:rPr>
        <w:t xml:space="preserve">Fourteenth Broadband Deployment Report </w:t>
      </w:r>
      <w:r w:rsidR="006624B7">
        <w:rPr>
          <w:snapToGrid/>
        </w:rPr>
        <w:t>Notice of Inquiry set dates for filing comments and reply comments</w:t>
      </w:r>
      <w:r w:rsidR="00C25A58">
        <w:rPr>
          <w:snapToGrid/>
        </w:rPr>
        <w:t xml:space="preserve"> on September 10, 2018</w:t>
      </w:r>
      <w:r w:rsidR="000F3AA4">
        <w:rPr>
          <w:snapToGrid/>
        </w:rPr>
        <w:t xml:space="preserve"> and September </w:t>
      </w:r>
      <w:r>
        <w:rPr>
          <w:snapToGrid/>
        </w:rPr>
        <w:t>24, 2018</w:t>
      </w:r>
      <w:r w:rsidR="006624B7">
        <w:rPr>
          <w:snapToGrid/>
        </w:rPr>
        <w:t>, respectively.</w:t>
      </w:r>
      <w:r>
        <w:rPr>
          <w:snapToGrid/>
        </w:rPr>
        <w:t xml:space="preserve">  </w:t>
      </w:r>
      <w:r w:rsidR="00F76439">
        <w:rPr>
          <w:snapToGrid/>
        </w:rPr>
        <w:t xml:space="preserve">On </w:t>
      </w:r>
      <w:r w:rsidR="00053196">
        <w:rPr>
          <w:snapToGrid/>
        </w:rPr>
        <w:t xml:space="preserve">August </w:t>
      </w:r>
      <w:r>
        <w:rPr>
          <w:snapToGrid/>
        </w:rPr>
        <w:t>15</w:t>
      </w:r>
      <w:r w:rsidR="00F76439">
        <w:rPr>
          <w:snapToGrid/>
        </w:rPr>
        <w:t>, 201</w:t>
      </w:r>
      <w:r>
        <w:rPr>
          <w:snapToGrid/>
        </w:rPr>
        <w:t>8</w:t>
      </w:r>
      <w:r w:rsidR="00F76439">
        <w:rPr>
          <w:snapToGrid/>
        </w:rPr>
        <w:t>,</w:t>
      </w:r>
      <w:r>
        <w:rPr>
          <w:snapToGrid/>
        </w:rPr>
        <w:t xml:space="preserve"> Public Knowledge, INCOMPAS, Common Cause, The Greenlining Institute, Communications Workers of America, Benton Foundation, Electronic Frontier Foundation, TEXALTEL, Federation of Internet Service Providers of America, and Northwest Telecommunications Association</w:t>
      </w:r>
      <w:r w:rsidR="00E804D0">
        <w:rPr>
          <w:snapToGrid/>
        </w:rPr>
        <w:t xml:space="preserve"> </w:t>
      </w:r>
      <w:r w:rsidR="00053196">
        <w:rPr>
          <w:snapToGrid/>
        </w:rPr>
        <w:t>(</w:t>
      </w:r>
      <w:r w:rsidR="0036483D">
        <w:rPr>
          <w:snapToGrid/>
        </w:rPr>
        <w:t xml:space="preserve">collectively, </w:t>
      </w:r>
      <w:r w:rsidR="00737994">
        <w:rPr>
          <w:snapToGrid/>
        </w:rPr>
        <w:t>Movants</w:t>
      </w:r>
      <w:r w:rsidR="00053196">
        <w:rPr>
          <w:snapToGrid/>
        </w:rPr>
        <w:t xml:space="preserve">) jointly </w:t>
      </w:r>
      <w:r w:rsidR="00F76439">
        <w:rPr>
          <w:snapToGrid/>
        </w:rPr>
        <w:t xml:space="preserve">filed a </w:t>
      </w:r>
      <w:r>
        <w:rPr>
          <w:snapToGrid/>
        </w:rPr>
        <w:t>Motion</w:t>
      </w:r>
      <w:r w:rsidR="003942FB">
        <w:rPr>
          <w:snapToGrid/>
        </w:rPr>
        <w:t xml:space="preserve"> </w:t>
      </w:r>
      <w:r w:rsidR="00F76439">
        <w:rPr>
          <w:snapToGrid/>
        </w:rPr>
        <w:t>for Extension of Time</w:t>
      </w:r>
      <w:r w:rsidR="0031080D">
        <w:rPr>
          <w:snapToGrid/>
        </w:rPr>
        <w:t xml:space="preserve"> (Motion)</w:t>
      </w:r>
      <w:r>
        <w:rPr>
          <w:snapToGrid/>
        </w:rPr>
        <w:t>, requesting a comment deadline of September 27, 2018 for both proceedings</w:t>
      </w:r>
      <w:r w:rsidR="00E25924">
        <w:rPr>
          <w:snapToGrid/>
        </w:rPr>
        <w:t xml:space="preserve"> and a reply comment deadline of October 27, 2018 for the </w:t>
      </w:r>
      <w:r w:rsidR="00E8404A">
        <w:rPr>
          <w:snapToGrid/>
        </w:rPr>
        <w:t xml:space="preserve">Fourteenth </w:t>
      </w:r>
      <w:r w:rsidR="00E25924">
        <w:rPr>
          <w:snapToGrid/>
        </w:rPr>
        <w:t>Broadband Deployment Report Notice of Inquiry</w:t>
      </w:r>
      <w:r>
        <w:rPr>
          <w:snapToGrid/>
        </w:rPr>
        <w:t>.</w:t>
      </w:r>
      <w:r>
        <w:rPr>
          <w:rStyle w:val="FootnoteReference"/>
          <w:snapToGrid/>
        </w:rPr>
        <w:footnoteReference w:id="5"/>
      </w:r>
      <w:r w:rsidR="00F76439">
        <w:rPr>
          <w:snapToGrid/>
        </w:rPr>
        <w:t xml:space="preserve">  </w:t>
      </w:r>
      <w:r w:rsidR="00CC2048">
        <w:rPr>
          <w:snapToGrid/>
        </w:rPr>
        <w:t xml:space="preserve">  </w:t>
      </w:r>
    </w:p>
    <w:p w:rsidR="00C667C5" w:rsidP="00D72ED2">
      <w:pPr>
        <w:pStyle w:val="ParaNum"/>
        <w:widowControl/>
      </w:pPr>
      <w:r>
        <w:t xml:space="preserve">Movants </w:t>
      </w:r>
      <w:r w:rsidR="005B3332">
        <w:t>contend</w:t>
      </w:r>
      <w:r w:rsidR="005024E9">
        <w:t xml:space="preserve"> that an extension is warranted</w:t>
      </w:r>
      <w:r w:rsidR="00CC2048">
        <w:t xml:space="preserve"> </w:t>
      </w:r>
      <w:r w:rsidR="0021657D">
        <w:t>to enable interested stakeholders to “notify the public, gather data, and submit meaningful comments.”</w:t>
      </w:r>
      <w:r>
        <w:rPr>
          <w:rStyle w:val="FootnoteReference"/>
        </w:rPr>
        <w:footnoteReference w:id="6"/>
      </w:r>
      <w:r w:rsidR="00312C1C">
        <w:t xml:space="preserve">  In the case of the</w:t>
      </w:r>
      <w:r w:rsidR="0021657D">
        <w:t xml:space="preserve"> deadlines for the </w:t>
      </w:r>
      <w:r w:rsidR="0021657D">
        <w:rPr>
          <w:snapToGrid/>
        </w:rPr>
        <w:t>Fourteenth Broadband Deployment Report Notice of Inquiry</w:t>
      </w:r>
      <w:r w:rsidR="00312C1C">
        <w:rPr>
          <w:snapToGrid/>
        </w:rPr>
        <w:t>, Movants also request an extension because the comment</w:t>
      </w:r>
      <w:r w:rsidR="006A6BFE">
        <w:rPr>
          <w:snapToGrid/>
        </w:rPr>
        <w:t xml:space="preserve"> and reply</w:t>
      </w:r>
      <w:r w:rsidR="00312C1C">
        <w:rPr>
          <w:snapToGrid/>
        </w:rPr>
        <w:t xml:space="preserve"> deadline</w:t>
      </w:r>
      <w:r w:rsidR="006A6BFE">
        <w:rPr>
          <w:snapToGrid/>
        </w:rPr>
        <w:t>s</w:t>
      </w:r>
      <w:r w:rsidR="00312C1C">
        <w:rPr>
          <w:snapToGrid/>
        </w:rPr>
        <w:t xml:space="preserve"> fall on </w:t>
      </w:r>
      <w:r w:rsidR="006A6BFE">
        <w:rPr>
          <w:snapToGrid/>
        </w:rPr>
        <w:t>certain religious holidays</w:t>
      </w:r>
      <w:r w:rsidR="00312C1C">
        <w:rPr>
          <w:snapToGrid/>
        </w:rPr>
        <w:t>.</w:t>
      </w:r>
      <w:r>
        <w:rPr>
          <w:rStyle w:val="FootnoteReference"/>
          <w:snapToGrid/>
        </w:rPr>
        <w:footnoteReference w:id="7"/>
      </w:r>
      <w:r w:rsidR="0021657D">
        <w:t xml:space="preserve">  </w:t>
      </w:r>
      <w:r w:rsidR="005636A1">
        <w:t xml:space="preserve">  </w:t>
      </w:r>
      <w:r w:rsidR="00CD000D">
        <w:t xml:space="preserve">  </w:t>
      </w:r>
    </w:p>
    <w:p w:rsidR="00935E16" w:rsidP="00025B0E">
      <w:pPr>
        <w:pStyle w:val="ParaNum"/>
      </w:pPr>
      <w:r w:rsidRPr="00E54574">
        <w:rPr>
          <w:snapToGrid/>
        </w:rPr>
        <w:t xml:space="preserve">While it is the policy of the Commission that </w:t>
      </w:r>
      <w:r>
        <w:rPr>
          <w:snapToGrid/>
        </w:rPr>
        <w:t>“</w:t>
      </w:r>
      <w:r w:rsidRPr="00E54574">
        <w:rPr>
          <w:snapToGrid/>
        </w:rPr>
        <w:t>extensions shall not be routinely granted,”</w:t>
      </w:r>
      <w:r>
        <w:rPr>
          <w:snapToGrid/>
          <w:vertAlign w:val="superscript"/>
        </w:rPr>
        <w:footnoteReference w:id="8"/>
      </w:r>
      <w:r w:rsidRPr="00E54574">
        <w:rPr>
          <w:snapToGrid/>
        </w:rPr>
        <w:t xml:space="preserve">  we find that</w:t>
      </w:r>
      <w:r w:rsidR="00312C1C">
        <w:rPr>
          <w:snapToGrid/>
        </w:rPr>
        <w:t xml:space="preserve"> </w:t>
      </w:r>
      <w:r w:rsidR="003F5A91">
        <w:rPr>
          <w:snapToGrid/>
        </w:rPr>
        <w:t>a short, five business day</w:t>
      </w:r>
      <w:r w:rsidR="00D77D6A">
        <w:rPr>
          <w:snapToGrid/>
        </w:rPr>
        <w:t xml:space="preserve"> </w:t>
      </w:r>
      <w:r w:rsidRPr="00E54574">
        <w:rPr>
          <w:snapToGrid/>
        </w:rPr>
        <w:t xml:space="preserve">extension </w:t>
      </w:r>
      <w:r w:rsidR="00D77D6A">
        <w:rPr>
          <w:snapToGrid/>
        </w:rPr>
        <w:t>for</w:t>
      </w:r>
      <w:r w:rsidRPr="00E54574">
        <w:rPr>
          <w:snapToGrid/>
        </w:rPr>
        <w:t xml:space="preserve"> the </w:t>
      </w:r>
      <w:r w:rsidR="00FC17B6">
        <w:rPr>
          <w:snapToGrid/>
        </w:rPr>
        <w:t xml:space="preserve">comment and </w:t>
      </w:r>
      <w:r w:rsidRPr="00E54574">
        <w:rPr>
          <w:snapToGrid/>
        </w:rPr>
        <w:t>reply comment deadline</w:t>
      </w:r>
      <w:r w:rsidR="00312C1C">
        <w:rPr>
          <w:snapToGrid/>
        </w:rPr>
        <w:t xml:space="preserve">s for the Fourteenth Broadband Deployment Report Notice of Inquiry </w:t>
      </w:r>
      <w:r w:rsidRPr="00E54574">
        <w:rPr>
          <w:snapToGrid/>
        </w:rPr>
        <w:t>is appropriate in this case</w:t>
      </w:r>
      <w:r w:rsidR="00312C1C">
        <w:rPr>
          <w:snapToGrid/>
        </w:rPr>
        <w:t xml:space="preserve"> to avoid conflict with the holidays noted by the Movants.</w:t>
      </w:r>
      <w:r w:rsidR="00DE3865">
        <w:rPr>
          <w:snapToGrid/>
        </w:rPr>
        <w:t xml:space="preserve">  We otherwise deny movants</w:t>
      </w:r>
      <w:r w:rsidR="00D72ED2">
        <w:rPr>
          <w:snapToGrid/>
        </w:rPr>
        <w:t>’</w:t>
      </w:r>
      <w:r w:rsidR="00DE3865">
        <w:rPr>
          <w:snapToGrid/>
        </w:rPr>
        <w:t xml:space="preserve"> requests to extend the comment deadlines in both proceedings.</w:t>
      </w:r>
      <w:r>
        <w:rPr>
          <w:rStyle w:val="FootnoteReference"/>
          <w:snapToGrid/>
        </w:rPr>
        <w:footnoteReference w:id="9"/>
      </w:r>
      <w:r w:rsidR="00312C1C">
        <w:rPr>
          <w:snapToGrid/>
        </w:rPr>
        <w:t xml:space="preserve">  G</w:t>
      </w:r>
      <w:r w:rsidR="00025B0E">
        <w:rPr>
          <w:snapToGrid/>
        </w:rPr>
        <w:t>iven</w:t>
      </w:r>
      <w:r w:rsidR="00312C1C">
        <w:rPr>
          <w:snapToGrid/>
        </w:rPr>
        <w:t xml:space="preserve"> that</w:t>
      </w:r>
      <w:r w:rsidR="0062798A">
        <w:rPr>
          <w:snapToGrid/>
        </w:rPr>
        <w:t xml:space="preserve"> the</w:t>
      </w:r>
      <w:r w:rsidR="00312C1C">
        <w:rPr>
          <w:snapToGrid/>
        </w:rPr>
        <w:t xml:space="preserve"> record in both proceedings will be used to assist the Commission in completing its statutorily mandated</w:t>
      </w:r>
      <w:r w:rsidR="0062798A">
        <w:rPr>
          <w:snapToGrid/>
        </w:rPr>
        <w:t xml:space="preserve"> responsibility under the RAY BAUM’S Act of 2018 to prepare a Communications Marketplace Report no later than December 31, 2018,</w:t>
      </w:r>
      <w:r>
        <w:rPr>
          <w:rStyle w:val="FootnoteReference"/>
          <w:snapToGrid/>
        </w:rPr>
        <w:footnoteReference w:id="10"/>
      </w:r>
      <w:r w:rsidR="00DE3865">
        <w:t xml:space="preserve"> </w:t>
      </w:r>
      <w:r w:rsidR="003F5A91">
        <w:t>the</w:t>
      </w:r>
      <w:r w:rsidR="00DE3865">
        <w:t xml:space="preserve"> </w:t>
      </w:r>
      <w:r w:rsidR="00025B0E">
        <w:t xml:space="preserve">extension </w:t>
      </w:r>
      <w:r w:rsidR="003F5A91">
        <w:t xml:space="preserve">requested by the Movants </w:t>
      </w:r>
      <w:r w:rsidR="00025B0E">
        <w:t>could inhibit the Commission’s ability to fully consider the record and meet its statutory obligations.</w:t>
      </w:r>
      <w:r w:rsidRPr="00E54574">
        <w:rPr>
          <w:snapToGrid/>
        </w:rPr>
        <w:t xml:space="preserve">  </w:t>
      </w:r>
    </w:p>
    <w:p w:rsidR="004E50A6" w:rsidP="0031463D">
      <w:pPr>
        <w:pStyle w:val="ParaNum"/>
        <w:widowControl/>
      </w:pPr>
      <w:bookmarkEnd w:id="1"/>
      <w:r>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rsidR="00126C57">
        <w:t xml:space="preserve">0.91, 0.131, 0.291, </w:t>
      </w:r>
      <w:r>
        <w:t>0.</w:t>
      </w:r>
      <w:r w:rsidR="002F3997">
        <w:t>33</w:t>
      </w:r>
      <w:r>
        <w:t>1, 1.46, and 1.415</w:t>
      </w:r>
      <w:r w:rsidRPr="004769E4">
        <w:t xml:space="preserve"> of the Commission’s rules, 47 CFR §§ </w:t>
      </w:r>
      <w:r w:rsidR="00F960DC">
        <w:t>0</w:t>
      </w:r>
      <w:r w:rsidR="00126C57">
        <w:t xml:space="preserve">.91, </w:t>
      </w:r>
      <w:r>
        <w:t>0.</w:t>
      </w:r>
      <w:r w:rsidR="002F3997">
        <w:t>13</w:t>
      </w:r>
      <w:r>
        <w:t xml:space="preserve">1, </w:t>
      </w:r>
      <w:r w:rsidR="00126C57">
        <w:t xml:space="preserve">0.291, </w:t>
      </w:r>
      <w:r>
        <w:t>0.</w:t>
      </w:r>
      <w:r w:rsidR="002F3997">
        <w:t>33</w:t>
      </w:r>
      <w:r>
        <w:t>1, 1.46</w:t>
      </w:r>
      <w:r w:rsidRPr="004769E4">
        <w:t>,</w:t>
      </w:r>
      <w:r w:rsidR="00C22681">
        <w:t xml:space="preserve"> and 1.415, that</w:t>
      </w:r>
      <w:r w:rsidR="00C22681">
        <w:rPr>
          <w:snapToGrid/>
        </w:rPr>
        <w:t xml:space="preserve"> the</w:t>
      </w:r>
      <w:r w:rsidR="003F77DB">
        <w:rPr>
          <w:snapToGrid/>
        </w:rPr>
        <w:t xml:space="preserve"> </w:t>
      </w:r>
      <w:r w:rsidR="00E677EA">
        <w:rPr>
          <w:snapToGrid/>
        </w:rPr>
        <w:t>Motion</w:t>
      </w:r>
      <w:r w:rsidR="00126C57">
        <w:rPr>
          <w:snapToGrid/>
        </w:rPr>
        <w:t xml:space="preserve"> for Extension of Time filed by </w:t>
      </w:r>
      <w:r w:rsidR="005E1206">
        <w:rPr>
          <w:snapToGrid/>
        </w:rPr>
        <w:t xml:space="preserve">Public Knowledge, INCOMPAS, Common Cause, The Greenlining Institute, Communications Workers of America, Benton Foundation, Electronic Frontier Foundation, TEXALTEL, Federation of Internet Service Providers of America, and Northwest Telecommunications Association </w:t>
      </w:r>
      <w:r w:rsidR="00BA3A86">
        <w:t xml:space="preserve">on </w:t>
      </w:r>
      <w:r w:rsidR="00E677EA">
        <w:t xml:space="preserve">August </w:t>
      </w:r>
      <w:r w:rsidR="005E1206">
        <w:t>15</w:t>
      </w:r>
      <w:r w:rsidR="00BC18B3">
        <w:t xml:space="preserve">, </w:t>
      </w:r>
      <w:r w:rsidR="005E1206">
        <w:t>2018</w:t>
      </w:r>
      <w:r>
        <w:t xml:space="preserve">, </w:t>
      </w:r>
      <w:r w:rsidR="00896D5D">
        <w:t xml:space="preserve">is </w:t>
      </w:r>
      <w:r w:rsidR="005E1206">
        <w:t>GRANTED</w:t>
      </w:r>
      <w:r w:rsidR="00737994">
        <w:t xml:space="preserve"> IN PART</w:t>
      </w:r>
      <w:r w:rsidR="00E07826">
        <w:t xml:space="preserve"> and DENIED IN PART</w:t>
      </w:r>
      <w:r w:rsidR="00737994">
        <w:t xml:space="preserve">, </w:t>
      </w:r>
      <w:r w:rsidR="003F5A91">
        <w:t xml:space="preserve">as discussed herein, </w:t>
      </w:r>
      <w:r w:rsidR="00737994">
        <w:t>and the deadline for filing comments</w:t>
      </w:r>
      <w:r w:rsidR="005E1206">
        <w:t xml:space="preserve"> in response to the </w:t>
      </w:r>
      <w:r w:rsidR="005E1206">
        <w:rPr>
          <w:snapToGrid/>
        </w:rPr>
        <w:t>Fourteenth Broadband Deployment Report Notice of Inquiry</w:t>
      </w:r>
      <w:r w:rsidR="00737994">
        <w:t xml:space="preserve"> is extended to September </w:t>
      </w:r>
      <w:r w:rsidR="00DC5F3C">
        <w:t>17</w:t>
      </w:r>
      <w:r w:rsidR="00737994">
        <w:t>, 201</w:t>
      </w:r>
      <w:r w:rsidR="005E1206">
        <w:t>8</w:t>
      </w:r>
      <w:r w:rsidR="00737994">
        <w:t xml:space="preserve"> and the deadline for filing reply comments is extended to </w:t>
      </w:r>
      <w:r w:rsidR="00DC5F3C">
        <w:t>October 1</w:t>
      </w:r>
      <w:r w:rsidR="005E1206">
        <w:t>, 2018</w:t>
      </w:r>
      <w:r w:rsidR="00BC18B3">
        <w:t>.</w:t>
      </w:r>
    </w:p>
    <w:p w:rsidR="004E50A6" w:rsidP="0031463D">
      <w:pPr>
        <w:pStyle w:val="ParaNum"/>
        <w:widowControl/>
        <w:numPr>
          <w:ilvl w:val="0"/>
          <w:numId w:val="0"/>
        </w:numPr>
      </w:pPr>
    </w:p>
    <w:p w:rsidR="00025B0E" w:rsidP="0031463D">
      <w:pPr>
        <w:pStyle w:val="ParaNum"/>
        <w:widowControl/>
        <w:numPr>
          <w:ilvl w:val="0"/>
          <w:numId w:val="0"/>
        </w:numPr>
      </w:pPr>
    </w:p>
    <w:p w:rsidR="004E50A6" w:rsidP="0031463D">
      <w:pPr>
        <w:pStyle w:val="ParaNum"/>
        <w:widowControl/>
        <w:numPr>
          <w:ilvl w:val="0"/>
          <w:numId w:val="0"/>
        </w:numPr>
        <w:spacing w:after="0"/>
        <w:ind w:left="3600"/>
      </w:pPr>
      <w:r>
        <w:t>FEDERAL COMMUNICATIONS COMMISSION</w:t>
      </w:r>
    </w:p>
    <w:p w:rsidR="004E50A6" w:rsidP="0031463D">
      <w:pPr>
        <w:pStyle w:val="ParaNum"/>
        <w:widowControl/>
        <w:numPr>
          <w:ilvl w:val="0"/>
          <w:numId w:val="0"/>
        </w:numPr>
        <w:spacing w:after="0"/>
        <w:ind w:left="3600"/>
      </w:pPr>
    </w:p>
    <w:p w:rsidR="004E50A6" w:rsidP="0031463D">
      <w:pPr>
        <w:pStyle w:val="ParaNum"/>
        <w:widowControl/>
        <w:numPr>
          <w:ilvl w:val="0"/>
          <w:numId w:val="0"/>
        </w:numPr>
        <w:spacing w:after="0"/>
        <w:ind w:left="3600"/>
      </w:pPr>
    </w:p>
    <w:p w:rsidR="004E50A6" w:rsidP="0031463D">
      <w:pPr>
        <w:pStyle w:val="ParaNum"/>
        <w:widowControl/>
        <w:numPr>
          <w:ilvl w:val="0"/>
          <w:numId w:val="0"/>
        </w:numPr>
        <w:spacing w:after="0"/>
        <w:ind w:left="3600"/>
      </w:pPr>
    </w:p>
    <w:p w:rsidR="00F867C6" w:rsidP="0031463D">
      <w:pPr>
        <w:pStyle w:val="ParaNum"/>
        <w:widowControl/>
        <w:numPr>
          <w:ilvl w:val="0"/>
          <w:numId w:val="0"/>
        </w:numPr>
        <w:spacing w:after="0"/>
        <w:ind w:left="3600"/>
      </w:pPr>
    </w:p>
    <w:p w:rsidR="00BC458A" w:rsidP="00BC458A">
      <w:pPr>
        <w:widowControl/>
        <w:ind w:left="2880" w:firstLine="720"/>
      </w:pPr>
      <w:r>
        <w:t xml:space="preserve">Daniel Kahn </w:t>
      </w:r>
    </w:p>
    <w:p w:rsidR="00BC458A" w:rsidP="00BC458A">
      <w:pPr>
        <w:widowControl/>
        <w:ind w:left="2880" w:firstLine="720"/>
      </w:pPr>
      <w:r>
        <w:t>Chief</w:t>
      </w:r>
    </w:p>
    <w:p w:rsidR="00BC458A" w:rsidP="00BC458A">
      <w:pPr>
        <w:widowControl/>
        <w:ind w:left="2880" w:firstLine="720"/>
      </w:pPr>
      <w:r>
        <w:t>Competition Policy Division</w:t>
      </w:r>
    </w:p>
    <w:p w:rsidR="00BC458A" w:rsidP="00F867C6">
      <w:pPr>
        <w:widowControl/>
        <w:ind w:left="2880" w:firstLine="720"/>
        <w:rPr>
          <w:szCs w:val="22"/>
        </w:rPr>
      </w:pPr>
      <w:r>
        <w:t>Wireline Competition Bureau</w:t>
      </w:r>
    </w:p>
    <w:sectPr w:rsidSect="003B46D0">
      <w:headerReference w:type="default" r:id="rId5"/>
      <w:footerReference w:type="even" r:id="rId6"/>
      <w:footerReference w:type="default" r:id="rId7"/>
      <w:headerReference w:type="first" r:id="rId8"/>
      <w:footerReference w:type="first" r:id="rId9"/>
      <w:pgSz w:w="12240" w:h="15840" w:code="1"/>
      <w:pgMar w:top="1440" w:right="1440" w:bottom="1008"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200">
      <w:r>
        <w:separator/>
      </w:r>
    </w:p>
  </w:footnote>
  <w:footnote w:type="continuationSeparator" w:id="1">
    <w:p w:rsidR="000E5200" w:rsidP="00C721AC">
      <w:pPr>
        <w:spacing w:before="120"/>
        <w:rPr>
          <w:sz w:val="20"/>
        </w:rPr>
      </w:pPr>
      <w:r>
        <w:continuationSeparator/>
      </w:r>
    </w:p>
  </w:footnote>
  <w:footnote w:type="continuationNotice" w:id="2">
    <w:p w:rsidR="000E5200" w:rsidRPr="009868E4" w:rsidP="009868E4">
      <w:pPr>
        <w:pStyle w:val="Footer"/>
      </w:pPr>
    </w:p>
  </w:footnote>
  <w:footnote w:id="3">
    <w:p w:rsidR="006624B7" w:rsidRPr="00DE2301" w:rsidP="006624B7">
      <w:pPr>
        <w:pStyle w:val="FootnoteText"/>
        <w:tabs>
          <w:tab w:val="left" w:pos="4770"/>
        </w:tabs>
      </w:pPr>
      <w:r w:rsidRPr="00DE2301">
        <w:rPr>
          <w:rStyle w:val="FootnoteReference"/>
        </w:rPr>
        <w:footnoteRef/>
      </w:r>
      <w:r w:rsidRPr="00DE2301">
        <w:t xml:space="preserve"> </w:t>
      </w:r>
      <w:r>
        <w:rPr>
          <w:i/>
        </w:rPr>
        <w:t>Inquiry Concerning Deployment of Advanced Telecommunications Capability to All Americans in a Reasonable and Timely Fashion</w:t>
      </w:r>
      <w:r>
        <w:t>, GN Docket No. 1</w:t>
      </w:r>
      <w:r w:rsidR="00811896">
        <w:t>8</w:t>
      </w:r>
      <w:r>
        <w:t>-</w:t>
      </w:r>
      <w:r w:rsidR="00811896">
        <w:t>238</w:t>
      </w:r>
      <w:r>
        <w:t xml:space="preserve">, </w:t>
      </w:r>
      <w:r w:rsidR="00811896">
        <w:t>Fourteenth</w:t>
      </w:r>
      <w:r>
        <w:t xml:space="preserve"> </w:t>
      </w:r>
      <w:r w:rsidR="00811896">
        <w:t>Broadband Deployment Report Notice of Inquiry, FCC 18-119 (Aug. 9, 2018</w:t>
      </w:r>
      <w:r>
        <w:t>).</w:t>
      </w:r>
    </w:p>
  </w:footnote>
  <w:footnote w:id="4">
    <w:p w:rsidR="00485AE0" w:rsidRPr="007C4D46">
      <w:pPr>
        <w:pStyle w:val="FootnoteText"/>
      </w:pPr>
      <w:r>
        <w:rPr>
          <w:rStyle w:val="FootnoteReference"/>
        </w:rPr>
        <w:footnoteRef/>
      </w:r>
      <w:r>
        <w:t xml:space="preserve"> </w:t>
      </w:r>
      <w:r>
        <w:rPr>
          <w:i/>
        </w:rPr>
        <w:t xml:space="preserve">Wireline </w:t>
      </w:r>
      <w:r w:rsidR="007C4D46">
        <w:rPr>
          <w:i/>
        </w:rPr>
        <w:t>Competition Bureau Seeks Comment on the State of Fixed Broadband Competition</w:t>
      </w:r>
      <w:r w:rsidR="007C4D46">
        <w:t>, GN 18-231, Public Notice, DA 18-784 (WCB July 27, 2018).</w:t>
      </w:r>
    </w:p>
  </w:footnote>
  <w:footnote w:id="5">
    <w:p w:rsidR="00E360C7">
      <w:pPr>
        <w:pStyle w:val="FootnoteText"/>
      </w:pPr>
      <w:r>
        <w:rPr>
          <w:rStyle w:val="FootnoteReference"/>
        </w:rPr>
        <w:footnoteRef/>
      </w:r>
      <w:r>
        <w:t xml:space="preserve"> </w:t>
      </w:r>
      <w:r w:rsidR="00053196">
        <w:t xml:space="preserve">Motion </w:t>
      </w:r>
      <w:r w:rsidR="00465625">
        <w:t>for Extension of Time to File</w:t>
      </w:r>
      <w:r w:rsidR="00053196">
        <w:t xml:space="preserve"> Initial</w:t>
      </w:r>
      <w:r w:rsidR="00465625">
        <w:t xml:space="preserve"> Reply Comments, </w:t>
      </w:r>
      <w:r w:rsidR="005E1206">
        <w:t>GN Docket Nos. 18-231, 18-238</w:t>
      </w:r>
      <w:r w:rsidR="003C1D84">
        <w:t>, at 5-6</w:t>
      </w:r>
      <w:r w:rsidR="003942FB">
        <w:t xml:space="preserve"> (</w:t>
      </w:r>
      <w:r w:rsidR="00465625">
        <w:t xml:space="preserve">filed </w:t>
      </w:r>
      <w:r w:rsidR="005E1206">
        <w:t>August 15, 2018)</w:t>
      </w:r>
      <w:r w:rsidR="00465625">
        <w:t xml:space="preserve"> (Motion).</w:t>
      </w:r>
      <w:r w:rsidR="00E25924">
        <w:t xml:space="preserve">  </w:t>
      </w:r>
    </w:p>
  </w:footnote>
  <w:footnote w:id="6">
    <w:p w:rsidR="0021657D">
      <w:pPr>
        <w:pStyle w:val="FootnoteText"/>
      </w:pPr>
      <w:r>
        <w:rPr>
          <w:rStyle w:val="FootnoteReference"/>
        </w:rPr>
        <w:footnoteRef/>
      </w:r>
      <w:r>
        <w:t xml:space="preserve"> </w:t>
      </w:r>
      <w:r w:rsidR="000E5200">
        <w:rPr>
          <w:i/>
        </w:rPr>
        <w:t>See i</w:t>
      </w:r>
      <w:r w:rsidR="001F2B93">
        <w:rPr>
          <w:i/>
        </w:rPr>
        <w:t>d.</w:t>
      </w:r>
      <w:r>
        <w:t xml:space="preserve"> at 5.</w:t>
      </w:r>
    </w:p>
  </w:footnote>
  <w:footnote w:id="7">
    <w:p w:rsidR="00312C1C">
      <w:pPr>
        <w:pStyle w:val="FootnoteText"/>
      </w:pPr>
      <w:r>
        <w:rPr>
          <w:rStyle w:val="FootnoteReference"/>
        </w:rPr>
        <w:footnoteRef/>
      </w:r>
      <w:r>
        <w:t xml:space="preserve"> </w:t>
      </w:r>
      <w:r w:rsidR="000E5200">
        <w:rPr>
          <w:i/>
        </w:rPr>
        <w:t>Id.</w:t>
      </w:r>
      <w:r>
        <w:t xml:space="preserve"> at 4.</w:t>
      </w:r>
    </w:p>
  </w:footnote>
  <w:footnote w:id="8">
    <w:p w:rsidR="00737994" w:rsidRPr="00DE2301" w:rsidP="00737994">
      <w:pPr>
        <w:pStyle w:val="FootnoteText"/>
      </w:pPr>
      <w:r w:rsidRPr="00DE2301">
        <w:rPr>
          <w:rStyle w:val="FootnoteReference"/>
        </w:rPr>
        <w:footnoteRef/>
      </w:r>
      <w:r>
        <w:t xml:space="preserve"> 47 CFR § 1.46</w:t>
      </w:r>
      <w:r w:rsidRPr="00DE2301">
        <w:t>(a).</w:t>
      </w:r>
    </w:p>
  </w:footnote>
  <w:footnote w:id="9">
    <w:p w:rsidR="00DE3865" w:rsidRPr="00DE3865">
      <w:pPr>
        <w:pStyle w:val="FootnoteText"/>
      </w:pPr>
      <w:r>
        <w:rPr>
          <w:rStyle w:val="FootnoteReference"/>
        </w:rPr>
        <w:footnoteRef/>
      </w:r>
      <w:r>
        <w:t xml:space="preserve"> </w:t>
      </w:r>
      <w:r w:rsidR="0031080D">
        <w:t>The Motion’s</w:t>
      </w:r>
      <w:r>
        <w:t xml:space="preserve"> request to extend the comment deadline in response to the Bureau’s public notice regarding broadband competition is untimely as our rules require extension requests to be filed “at least 7 days before the filing deadline,” and the Motion was filed two days before the filing deadline.  47 CFR § 1.46(b</w:t>
      </w:r>
      <w:r w:rsidRPr="00DE2301">
        <w:t>).</w:t>
      </w:r>
      <w:r>
        <w:t xml:space="preserve">  Because the Motion was untimely with respect to the Bureau’s broadband competition public notice, our denial of that extension request does not trigger the </w:t>
      </w:r>
      <w:r w:rsidR="00337107">
        <w:t>two-business</w:t>
      </w:r>
      <w:r>
        <w:t xml:space="preserve"> day extension under section 1.46(b) of our rules.  </w:t>
      </w:r>
      <w:r>
        <w:rPr>
          <w:i/>
        </w:rPr>
        <w:t>See id.</w:t>
      </w:r>
    </w:p>
  </w:footnote>
  <w:footnote w:id="10">
    <w:p w:rsidR="00F72D6E">
      <w:pPr>
        <w:pStyle w:val="FootnoteText"/>
      </w:pPr>
      <w:r>
        <w:rPr>
          <w:rStyle w:val="FootnoteReference"/>
        </w:rPr>
        <w:footnoteRef/>
      </w:r>
      <w:r>
        <w:t xml:space="preserve"> </w:t>
      </w:r>
      <w:r>
        <w:rPr>
          <w:i/>
        </w:rPr>
        <w:t xml:space="preserve">See </w:t>
      </w:r>
      <w:r>
        <w:rPr>
          <w:snapToGrid w:val="0"/>
        </w:rPr>
        <w:t xml:space="preserve">Consolidated Appropriations Act, 2018, Pub. L. No. 115-141, Div. P-Repack Airwaves Yielding Better Access for Users of Modern Services Act of 2018, §§ 401-404, 132 Stat. 348, 1087-90 (2018) (RAY BAUM’S Act of 2018); </w:t>
      </w:r>
      <w:r>
        <w:t xml:space="preserve">47 U.S.C. </w:t>
      </w:r>
      <w:r w:rsidRPr="00A36B0C">
        <w:t>§</w:t>
      </w:r>
      <w:r>
        <w:t xml:space="preserve"> 163(a).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E50A6">
      <w:t>DA 1</w:t>
    </w:r>
    <w:r w:rsidR="00811896">
      <w:t>8-</w:t>
    </w:r>
    <w:r w:rsidR="00F867C6">
      <w:t>859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11896">
      <w:rPr>
        <w:spacing w:val="-2"/>
      </w:rPr>
      <w:t>DA 18</w:t>
    </w:r>
    <w:r w:rsidR="004E50A6">
      <w:rPr>
        <w:spacing w:val="-2"/>
      </w:rPr>
      <w:t>-</w:t>
    </w:r>
    <w:r w:rsidR="00F867C6">
      <w:rPr>
        <w:spacing w:val="-2"/>
      </w:rPr>
      <w:t>859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7C6"/>
    <w:pPr>
      <w:widowControl w:val="0"/>
    </w:pPr>
    <w:rPr>
      <w:snapToGrid w:val="0"/>
      <w:kern w:val="28"/>
      <w:sz w:val="22"/>
    </w:rPr>
  </w:style>
  <w:style w:type="paragraph" w:styleId="Heading1">
    <w:name w:val="heading 1"/>
    <w:basedOn w:val="Normal"/>
    <w:next w:val="ParaNum"/>
    <w:qFormat/>
    <w:rsid w:val="00F867C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867C6"/>
    <w:pPr>
      <w:keepNext/>
      <w:numPr>
        <w:ilvl w:val="1"/>
        <w:numId w:val="3"/>
      </w:numPr>
      <w:spacing w:after="120"/>
      <w:outlineLvl w:val="1"/>
    </w:pPr>
    <w:rPr>
      <w:b/>
    </w:rPr>
  </w:style>
  <w:style w:type="paragraph" w:styleId="Heading3">
    <w:name w:val="heading 3"/>
    <w:basedOn w:val="Normal"/>
    <w:next w:val="ParaNum"/>
    <w:qFormat/>
    <w:rsid w:val="00F867C6"/>
    <w:pPr>
      <w:keepNext/>
      <w:numPr>
        <w:ilvl w:val="2"/>
        <w:numId w:val="3"/>
      </w:numPr>
      <w:tabs>
        <w:tab w:val="left" w:pos="2160"/>
      </w:tabs>
      <w:spacing w:after="120"/>
      <w:outlineLvl w:val="2"/>
    </w:pPr>
    <w:rPr>
      <w:b/>
    </w:rPr>
  </w:style>
  <w:style w:type="paragraph" w:styleId="Heading4">
    <w:name w:val="heading 4"/>
    <w:basedOn w:val="Normal"/>
    <w:next w:val="ParaNum"/>
    <w:qFormat/>
    <w:rsid w:val="00F867C6"/>
    <w:pPr>
      <w:keepNext/>
      <w:numPr>
        <w:ilvl w:val="3"/>
        <w:numId w:val="3"/>
      </w:numPr>
      <w:tabs>
        <w:tab w:val="left" w:pos="2880"/>
      </w:tabs>
      <w:spacing w:after="120"/>
      <w:outlineLvl w:val="3"/>
    </w:pPr>
    <w:rPr>
      <w:b/>
    </w:rPr>
  </w:style>
  <w:style w:type="paragraph" w:styleId="Heading5">
    <w:name w:val="heading 5"/>
    <w:basedOn w:val="Normal"/>
    <w:next w:val="ParaNum"/>
    <w:qFormat/>
    <w:rsid w:val="00F867C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867C6"/>
    <w:pPr>
      <w:numPr>
        <w:ilvl w:val="5"/>
        <w:numId w:val="3"/>
      </w:numPr>
      <w:tabs>
        <w:tab w:val="left" w:pos="4320"/>
      </w:tabs>
      <w:spacing w:after="120"/>
      <w:outlineLvl w:val="5"/>
    </w:pPr>
    <w:rPr>
      <w:b/>
    </w:rPr>
  </w:style>
  <w:style w:type="paragraph" w:styleId="Heading7">
    <w:name w:val="heading 7"/>
    <w:basedOn w:val="Normal"/>
    <w:next w:val="ParaNum"/>
    <w:qFormat/>
    <w:rsid w:val="00F867C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867C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867C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867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67C6"/>
  </w:style>
  <w:style w:type="paragraph" w:customStyle="1" w:styleId="ParaNum">
    <w:name w:val="ParaNum"/>
    <w:basedOn w:val="Normal"/>
    <w:link w:val="ParaNumCharChar1"/>
    <w:rsid w:val="00F867C6"/>
    <w:pPr>
      <w:numPr>
        <w:numId w:val="2"/>
      </w:numPr>
      <w:tabs>
        <w:tab w:val="clear" w:pos="1080"/>
        <w:tab w:val="num" w:pos="1440"/>
      </w:tabs>
      <w:spacing w:after="120"/>
    </w:pPr>
  </w:style>
  <w:style w:type="paragraph" w:styleId="EndnoteText">
    <w:name w:val="endnote text"/>
    <w:basedOn w:val="Normal"/>
    <w:semiHidden/>
    <w:rsid w:val="00F867C6"/>
    <w:rPr>
      <w:sz w:val="20"/>
    </w:rPr>
  </w:style>
  <w:style w:type="character" w:styleId="EndnoteReference">
    <w:name w:val="endnote reference"/>
    <w:semiHidden/>
    <w:rsid w:val="00F867C6"/>
    <w:rPr>
      <w:vertAlign w:val="superscript"/>
    </w:rPr>
  </w:style>
  <w:style w:type="paragraph" w:styleId="FootnoteText">
    <w:name w:val="footnote text"/>
    <w:aliases w:val="ALTS FOOTNOTE,Footnote Text Cha,Footnote Text Char2 Char,Footnote Text Char2 Char1 Char1 Char,Footnote Text Char2 Char1 Char1 Char Char Char,Footnote Text Char3 Char1 Char,Footnote Text Char3 Char1 Char Char Char,f,fn,fn ,fn Ch,fn Char1"/>
    <w:link w:val="FootnoteTextChar"/>
    <w:rsid w:val="00F867C6"/>
    <w:pPr>
      <w:spacing w:after="120"/>
    </w:pPr>
  </w:style>
  <w:style w:type="character" w:styleId="FootnoteReference">
    <w:name w:val="footnote reference"/>
    <w:aliases w:val="(NECG) Footnote Reference,Appel note de bas de p,FR,Footnote Reference/,Style 12,Style 124,Style 13,Style 17,Style 3,Style 6,Style 7,fr,o"/>
    <w:rsid w:val="00F867C6"/>
    <w:rPr>
      <w:rFonts w:ascii="Times New Roman" w:hAnsi="Times New Roman"/>
      <w:dstrike w:val="0"/>
      <w:color w:val="auto"/>
      <w:sz w:val="20"/>
      <w:vertAlign w:val="superscript"/>
    </w:rPr>
  </w:style>
  <w:style w:type="paragraph" w:styleId="TOC1">
    <w:name w:val="toc 1"/>
    <w:basedOn w:val="Normal"/>
    <w:next w:val="Normal"/>
    <w:semiHidden/>
    <w:rsid w:val="00F867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67C6"/>
    <w:pPr>
      <w:tabs>
        <w:tab w:val="left" w:pos="720"/>
        <w:tab w:val="right" w:leader="dot" w:pos="9360"/>
      </w:tabs>
      <w:suppressAutoHyphens/>
      <w:ind w:left="720" w:right="720" w:hanging="360"/>
    </w:pPr>
    <w:rPr>
      <w:noProof/>
    </w:rPr>
  </w:style>
  <w:style w:type="paragraph" w:styleId="TOC3">
    <w:name w:val="toc 3"/>
    <w:basedOn w:val="Normal"/>
    <w:next w:val="Normal"/>
    <w:semiHidden/>
    <w:rsid w:val="00F867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67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67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67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67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67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67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67C6"/>
    <w:pPr>
      <w:tabs>
        <w:tab w:val="right" w:pos="9360"/>
      </w:tabs>
      <w:suppressAutoHyphens/>
    </w:pPr>
  </w:style>
  <w:style w:type="character" w:customStyle="1" w:styleId="EquationCaption">
    <w:name w:val="_Equation Caption"/>
    <w:rsid w:val="00F867C6"/>
  </w:style>
  <w:style w:type="paragraph" w:styleId="Header">
    <w:name w:val="header"/>
    <w:basedOn w:val="Normal"/>
    <w:autoRedefine/>
    <w:rsid w:val="00F867C6"/>
    <w:pPr>
      <w:tabs>
        <w:tab w:val="center" w:pos="4680"/>
        <w:tab w:val="right" w:pos="9360"/>
      </w:tabs>
    </w:pPr>
    <w:rPr>
      <w:b/>
    </w:rPr>
  </w:style>
  <w:style w:type="paragraph" w:styleId="Footer">
    <w:name w:val="footer"/>
    <w:basedOn w:val="Normal"/>
    <w:link w:val="FooterChar"/>
    <w:uiPriority w:val="99"/>
    <w:rsid w:val="00F867C6"/>
    <w:pPr>
      <w:tabs>
        <w:tab w:val="center" w:pos="4320"/>
        <w:tab w:val="right" w:pos="8640"/>
      </w:tabs>
    </w:pPr>
  </w:style>
  <w:style w:type="character" w:styleId="PageNumber">
    <w:name w:val="page number"/>
    <w:basedOn w:val="DefaultParagraphFont"/>
    <w:rsid w:val="00F867C6"/>
  </w:style>
  <w:style w:type="paragraph" w:styleId="BlockText">
    <w:name w:val="Block Text"/>
    <w:basedOn w:val="Normal"/>
    <w:rsid w:val="00F867C6"/>
    <w:pPr>
      <w:spacing w:after="240"/>
      <w:ind w:left="1440" w:right="1440"/>
    </w:pPr>
  </w:style>
  <w:style w:type="paragraph" w:customStyle="1" w:styleId="Paratitle">
    <w:name w:val="Para title"/>
    <w:basedOn w:val="Normal"/>
    <w:rsid w:val="00F867C6"/>
    <w:pPr>
      <w:tabs>
        <w:tab w:val="center" w:pos="9270"/>
      </w:tabs>
      <w:spacing w:after="240"/>
    </w:pPr>
    <w:rPr>
      <w:spacing w:val="-2"/>
    </w:rPr>
  </w:style>
  <w:style w:type="paragraph" w:customStyle="1" w:styleId="Bullet">
    <w:name w:val="Bullet"/>
    <w:basedOn w:val="Normal"/>
    <w:rsid w:val="00F867C6"/>
    <w:pPr>
      <w:tabs>
        <w:tab w:val="left" w:pos="2160"/>
      </w:tabs>
      <w:spacing w:after="220"/>
      <w:ind w:left="2160" w:hanging="720"/>
    </w:pPr>
  </w:style>
  <w:style w:type="paragraph" w:customStyle="1" w:styleId="TableFormat">
    <w:name w:val="TableFormat"/>
    <w:basedOn w:val="Bullet"/>
    <w:rsid w:val="00F867C6"/>
    <w:pPr>
      <w:tabs>
        <w:tab w:val="clear" w:pos="2160"/>
        <w:tab w:val="left" w:pos="5040"/>
      </w:tabs>
      <w:ind w:left="5040" w:hanging="3600"/>
    </w:pPr>
  </w:style>
  <w:style w:type="paragraph" w:customStyle="1" w:styleId="TOCTitle">
    <w:name w:val="TOC Title"/>
    <w:basedOn w:val="Normal"/>
    <w:rsid w:val="00F867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67C6"/>
    <w:pPr>
      <w:jc w:val="center"/>
    </w:pPr>
    <w:rPr>
      <w:rFonts w:ascii="Times New Roman Bold" w:hAnsi="Times New Roman Bold"/>
      <w:b/>
      <w:bCs/>
      <w:caps/>
      <w:szCs w:val="22"/>
    </w:rPr>
  </w:style>
  <w:style w:type="character" w:styleId="Hyperlink">
    <w:name w:val="Hyperlink"/>
    <w:rsid w:val="00F867C6"/>
    <w:rPr>
      <w:color w:val="0000FF"/>
      <w:u w:val="single"/>
    </w:rPr>
  </w:style>
  <w:style w:type="character" w:customStyle="1" w:styleId="FootnoteTextChar">
    <w:name w:val="Footnote Text Char"/>
    <w:aliases w:val="ALTS FOOTNOTE Char,Footnote Text Char2 Char Char,Footnote Text Char2 Char1 Char1 Char Char,Footnote Text Char2 Char1 Char1 Char Char Char Char,Footnote Text Char3 Char1 Char Char,Footnote Text Char3 Char1 Char Char Char Char,fn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 w:type="character" w:styleId="CommentReference">
    <w:name w:val="annotation reference"/>
    <w:basedOn w:val="DefaultParagraphFont"/>
    <w:semiHidden/>
    <w:unhideWhenUsed/>
    <w:rsid w:val="000E6333"/>
    <w:rPr>
      <w:sz w:val="16"/>
      <w:szCs w:val="16"/>
    </w:rPr>
  </w:style>
  <w:style w:type="paragraph" w:styleId="CommentText">
    <w:name w:val="annotation text"/>
    <w:basedOn w:val="Normal"/>
    <w:link w:val="CommentTextChar"/>
    <w:semiHidden/>
    <w:unhideWhenUsed/>
    <w:rsid w:val="000E6333"/>
    <w:rPr>
      <w:sz w:val="20"/>
    </w:rPr>
  </w:style>
  <w:style w:type="character" w:customStyle="1" w:styleId="CommentTextChar">
    <w:name w:val="Comment Text Char"/>
    <w:basedOn w:val="DefaultParagraphFont"/>
    <w:link w:val="CommentText"/>
    <w:semiHidden/>
    <w:rsid w:val="000E6333"/>
    <w:rPr>
      <w:snapToGrid w:val="0"/>
      <w:kern w:val="28"/>
    </w:rPr>
  </w:style>
  <w:style w:type="paragraph" w:styleId="CommentSubject">
    <w:name w:val="annotation subject"/>
    <w:basedOn w:val="CommentText"/>
    <w:next w:val="CommentText"/>
    <w:link w:val="CommentSubjectChar"/>
    <w:semiHidden/>
    <w:unhideWhenUsed/>
    <w:rsid w:val="000E6333"/>
    <w:rPr>
      <w:b/>
      <w:bCs/>
    </w:rPr>
  </w:style>
  <w:style w:type="character" w:customStyle="1" w:styleId="CommentSubjectChar">
    <w:name w:val="Comment Subject Char"/>
    <w:basedOn w:val="CommentTextChar"/>
    <w:link w:val="CommentSubject"/>
    <w:semiHidden/>
    <w:rsid w:val="000E6333"/>
    <w:rPr>
      <w:b/>
      <w:bCs/>
      <w:snapToGrid w:val="0"/>
      <w:kern w:val="28"/>
    </w:rPr>
  </w:style>
  <w:style w:type="paragraph" w:styleId="Revision">
    <w:name w:val="Revision"/>
    <w:hidden/>
    <w:uiPriority w:val="99"/>
    <w:semiHidden/>
    <w:rsid w:val="00AE141A"/>
    <w:rPr>
      <w:snapToGrid w:val="0"/>
      <w:kern w:val="28"/>
      <w:sz w:val="22"/>
    </w:rPr>
  </w:style>
  <w:style w:type="character" w:customStyle="1" w:styleId="Mention1">
    <w:name w:val="Mention1"/>
    <w:basedOn w:val="DefaultParagraphFont"/>
    <w:uiPriority w:val="99"/>
    <w:semiHidden/>
    <w:unhideWhenUsed/>
    <w:rsid w:val="00782F20"/>
    <w:rPr>
      <w:color w:val="2B579A"/>
      <w:shd w:val="clear" w:color="auto" w:fill="E6E6E6"/>
    </w:rPr>
  </w:style>
  <w:style w:type="character" w:customStyle="1" w:styleId="FooterChar">
    <w:name w:val="Footer Char"/>
    <w:link w:val="Footer"/>
    <w:uiPriority w:val="99"/>
    <w:rsid w:val="00F867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