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47505" w:rsidRPr="00B20363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0727B8">
        <w:rPr>
          <w:b/>
          <w:sz w:val="24"/>
        </w:rPr>
        <w:t>8</w:t>
      </w:r>
      <w:r w:rsidR="001D1EBD">
        <w:rPr>
          <w:b/>
          <w:sz w:val="24"/>
        </w:rPr>
        <w:t>-860</w:t>
      </w:r>
    </w:p>
    <w:p w:rsidR="00D47505" w:rsidRPr="00B20363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727B8">
        <w:rPr>
          <w:b/>
          <w:sz w:val="24"/>
        </w:rPr>
        <w:t>August</w:t>
      </w:r>
      <w:r w:rsidR="00001075">
        <w:rPr>
          <w:b/>
          <w:sz w:val="24"/>
        </w:rPr>
        <w:t xml:space="preserve"> </w:t>
      </w:r>
      <w:r w:rsidR="001D1EBD">
        <w:rPr>
          <w:b/>
          <w:sz w:val="24"/>
        </w:rPr>
        <w:t>17</w:t>
      </w:r>
      <w:r w:rsidR="00BE0C6E">
        <w:rPr>
          <w:b/>
          <w:sz w:val="24"/>
        </w:rPr>
        <w:t>, 201</w:t>
      </w:r>
      <w:r w:rsidR="000727B8">
        <w:rPr>
          <w:b/>
          <w:sz w:val="24"/>
        </w:rPr>
        <w:t>8</w:t>
      </w:r>
    </w:p>
    <w:p w:rsidR="00D47505" w:rsidP="00D47505">
      <w:pPr>
        <w:jc w:val="right"/>
        <w:rPr>
          <w:sz w:val="24"/>
        </w:rPr>
      </w:pPr>
    </w:p>
    <w:p w:rsidR="005B4C09" w:rsidRPr="00427DA9" w:rsidP="005B4C09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Pr="00427DA9" w:rsidR="00314041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 </w:t>
      </w:r>
      <w:r w:rsidR="00A95FA2">
        <w:rPr>
          <w:b/>
          <w:sz w:val="24"/>
          <w:szCs w:val="24"/>
        </w:rPr>
        <w:t>ACCELERATING WIRELINE BROADBAND DEPLOYMENT BY REMOVING BARRIERS TO INFRASTRUCTURE INVESTMENT (WC DOCKET NO. 17-84) AND ACCELERATING WIRELESS BROADBAND DEPLOYMENT BY REMOVING BARRIERS TO INFRASTRUCTURE INVESTMENT (WT DOCKET NO. 17-79)</w:t>
      </w:r>
    </w:p>
    <w:p w:rsidR="005B4C09" w:rsidRPr="00427DA9" w:rsidP="005B4C09">
      <w:pPr>
        <w:widowControl/>
        <w:suppressAutoHyphens/>
        <w:spacing w:before="90" w:after="54"/>
        <w:rPr>
          <w:sz w:val="24"/>
          <w:szCs w:val="24"/>
        </w:rPr>
      </w:pPr>
    </w:p>
    <w:p w:rsidR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Notice is hereby given </w:t>
      </w:r>
      <w:r>
        <w:rPr>
          <w:sz w:val="24"/>
          <w:szCs w:val="24"/>
        </w:rPr>
        <w:t xml:space="preserve">that </w:t>
      </w:r>
      <w:r w:rsidR="00C458CD">
        <w:rPr>
          <w:sz w:val="24"/>
          <w:szCs w:val="24"/>
        </w:rPr>
        <w:t xml:space="preserve">the Commission received </w:t>
      </w:r>
      <w:r w:rsidR="001D12E7">
        <w:rPr>
          <w:sz w:val="24"/>
          <w:szCs w:val="24"/>
        </w:rPr>
        <w:t>p</w:t>
      </w:r>
      <w:r w:rsidRPr="00272A90" w:rsidR="00C458CD">
        <w:rPr>
          <w:sz w:val="24"/>
          <w:szCs w:val="24"/>
        </w:rPr>
        <w:t>rohibited written presentation</w:t>
      </w:r>
      <w:r w:rsidR="001D12E7">
        <w:rPr>
          <w:sz w:val="24"/>
          <w:szCs w:val="24"/>
        </w:rPr>
        <w:t>s</w:t>
      </w:r>
      <w:r w:rsidR="00C458CD">
        <w:rPr>
          <w:sz w:val="24"/>
          <w:szCs w:val="24"/>
        </w:rPr>
        <w:t xml:space="preserve"> </w:t>
      </w:r>
      <w:r w:rsidR="00991362">
        <w:rPr>
          <w:sz w:val="24"/>
          <w:szCs w:val="24"/>
        </w:rPr>
        <w:t xml:space="preserve">in the above-referenced proceedings between </w:t>
      </w:r>
      <w:r w:rsidR="00983104">
        <w:rPr>
          <w:sz w:val="24"/>
          <w:szCs w:val="24"/>
        </w:rPr>
        <w:t>July 27, 2018</w:t>
      </w:r>
      <w:r w:rsidR="001D502C">
        <w:rPr>
          <w:sz w:val="24"/>
          <w:szCs w:val="24"/>
        </w:rPr>
        <w:t>,</w:t>
      </w:r>
      <w:r w:rsidR="0087238C">
        <w:rPr>
          <w:sz w:val="24"/>
          <w:szCs w:val="24"/>
        </w:rPr>
        <w:t xml:space="preserve"> </w:t>
      </w:r>
      <w:r w:rsidR="00991362">
        <w:rPr>
          <w:sz w:val="24"/>
          <w:szCs w:val="24"/>
        </w:rPr>
        <w:t xml:space="preserve">and </w:t>
      </w:r>
      <w:r w:rsidR="00983104">
        <w:rPr>
          <w:sz w:val="24"/>
          <w:szCs w:val="24"/>
        </w:rPr>
        <w:t>August 2, 2018</w:t>
      </w:r>
      <w:r w:rsidR="00991362">
        <w:rPr>
          <w:sz w:val="24"/>
          <w:szCs w:val="24"/>
        </w:rPr>
        <w:t xml:space="preserve"> (the “Sunshine Agenda Period”).  The presentations are listed in the Appendix.</w:t>
      </w:r>
      <w:r w:rsidR="00000B6A">
        <w:rPr>
          <w:sz w:val="24"/>
          <w:szCs w:val="24"/>
        </w:rPr>
        <w:t xml:space="preserve">  </w:t>
      </w:r>
    </w:p>
    <w:p w:rsidR="00145C8B" w:rsidP="00145C8B">
      <w:pPr>
        <w:rPr>
          <w:sz w:val="24"/>
          <w:szCs w:val="24"/>
        </w:rPr>
      </w:pPr>
    </w:p>
    <w:p w:rsidR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With specified exceptions not applicable here, Section 1.1203 of the Commission’s Rules, 47 CFR § 1.1203, prohibits the making of any presentation, wheth</w:t>
      </w:r>
      <w:r w:rsidR="00234C03">
        <w:rPr>
          <w:sz w:val="24"/>
          <w:szCs w:val="24"/>
        </w:rPr>
        <w:t xml:space="preserve">er ex </w:t>
      </w:r>
      <w:r w:rsidR="00234C03">
        <w:rPr>
          <w:sz w:val="24"/>
          <w:szCs w:val="24"/>
        </w:rPr>
        <w:t>parte</w:t>
      </w:r>
      <w:r w:rsidR="00234C03">
        <w:rPr>
          <w:sz w:val="24"/>
          <w:szCs w:val="24"/>
        </w:rPr>
        <w:t xml:space="preserve"> or not, to decision- </w:t>
      </w:r>
      <w:r w:rsidRPr="00272A90">
        <w:rPr>
          <w:sz w:val="24"/>
          <w:szCs w:val="24"/>
        </w:rPr>
        <w:t xml:space="preserve">making personnel concerning any matter listed on the Commission's Sunshine Agenda </w:t>
      </w:r>
      <w:r>
        <w:rPr>
          <w:sz w:val="24"/>
          <w:szCs w:val="24"/>
        </w:rPr>
        <w:t xml:space="preserve">from the day after the Sunshine Agenda is released </w:t>
      </w:r>
      <w:r w:rsidRPr="00272A90">
        <w:rPr>
          <w:sz w:val="24"/>
          <w:szCs w:val="24"/>
        </w:rPr>
        <w:t xml:space="preserve">until the Commission releases the text of a decision or order relating to that matter or removes the item from the </w:t>
      </w:r>
      <w:r w:rsidR="005E639C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unshine </w:t>
      </w:r>
      <w:r w:rsidR="005E639C">
        <w:rPr>
          <w:sz w:val="24"/>
          <w:szCs w:val="24"/>
        </w:rPr>
        <w:t>A</w:t>
      </w:r>
      <w:r w:rsidRPr="00272A90">
        <w:rPr>
          <w:sz w:val="24"/>
          <w:szCs w:val="24"/>
        </w:rPr>
        <w:t>genda.  The instant presentation</w:t>
      </w:r>
      <w:r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addressed the merits of </w:t>
      </w:r>
      <w:r>
        <w:rPr>
          <w:sz w:val="24"/>
          <w:szCs w:val="24"/>
        </w:rPr>
        <w:t>the above-referenced proceeding</w:t>
      </w:r>
      <w:r w:rsidR="007331E4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272A90">
        <w:rPr>
          <w:sz w:val="24"/>
          <w:szCs w:val="24"/>
        </w:rPr>
        <w:t xml:space="preserve"> which </w:t>
      </w:r>
      <w:r w:rsidR="00432B5E">
        <w:rPr>
          <w:sz w:val="24"/>
          <w:szCs w:val="24"/>
        </w:rPr>
        <w:t>w</w:t>
      </w:r>
      <w:r w:rsidR="007331E4">
        <w:rPr>
          <w:sz w:val="24"/>
          <w:szCs w:val="24"/>
        </w:rPr>
        <w:t>ere</w:t>
      </w:r>
      <w:r w:rsidR="00432B5E"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included in the Commission's Sunshine Agenda by Public Notice released </w:t>
      </w:r>
      <w:r w:rsidR="00000B6A">
        <w:rPr>
          <w:sz w:val="24"/>
          <w:szCs w:val="24"/>
        </w:rPr>
        <w:t>July 26, 2018</w:t>
      </w:r>
      <w:r w:rsidR="005E639C">
        <w:rPr>
          <w:sz w:val="24"/>
          <w:szCs w:val="24"/>
        </w:rPr>
        <w:t>,</w:t>
      </w:r>
      <w:r w:rsidR="004E3A01">
        <w:rPr>
          <w:sz w:val="24"/>
          <w:szCs w:val="24"/>
        </w:rPr>
        <w:t xml:space="preserve"> f</w:t>
      </w:r>
      <w:r w:rsidRPr="00272A90">
        <w:rPr>
          <w:sz w:val="24"/>
          <w:szCs w:val="24"/>
        </w:rPr>
        <w:t xml:space="preserve">or consideration at the </w:t>
      </w:r>
      <w:r w:rsidR="00000B6A">
        <w:rPr>
          <w:sz w:val="24"/>
          <w:szCs w:val="24"/>
        </w:rPr>
        <w:t>August 2, 2018</w:t>
      </w:r>
      <w:r w:rsidR="005E639C">
        <w:rPr>
          <w:sz w:val="24"/>
          <w:szCs w:val="24"/>
        </w:rPr>
        <w:t>,</w:t>
      </w:r>
      <w:r w:rsidR="00000B6A"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open Commission meeting.  </w:t>
      </w:r>
      <w:r>
        <w:rPr>
          <w:sz w:val="24"/>
          <w:szCs w:val="24"/>
        </w:rPr>
        <w:t>The Commission released a</w:t>
      </w:r>
      <w:r w:rsidR="004E3A01">
        <w:rPr>
          <w:sz w:val="24"/>
          <w:szCs w:val="24"/>
        </w:rPr>
        <w:t xml:space="preserve"> </w:t>
      </w:r>
      <w:r w:rsidR="00000B6A">
        <w:rPr>
          <w:sz w:val="24"/>
          <w:szCs w:val="24"/>
        </w:rPr>
        <w:t xml:space="preserve">Third Report and Order and Declaratory Ruling </w:t>
      </w:r>
      <w:r w:rsidR="005E639C">
        <w:rPr>
          <w:sz w:val="24"/>
          <w:szCs w:val="24"/>
        </w:rPr>
        <w:t xml:space="preserve">in the captioned proceedings </w:t>
      </w:r>
      <w:r w:rsidR="00000B6A">
        <w:rPr>
          <w:sz w:val="24"/>
          <w:szCs w:val="24"/>
        </w:rPr>
        <w:t xml:space="preserve">on August 3, 2018.  </w:t>
      </w:r>
      <w:r w:rsidR="00000B6A">
        <w:rPr>
          <w:i/>
          <w:sz w:val="24"/>
          <w:szCs w:val="24"/>
        </w:rPr>
        <w:t>Accelerating Wireline Broadband Deployment by Removing Barriers to Infrastructure Investment and Accelerating Wireless Broadband Deployment by Removing Barriers to Infrastructure Investment</w:t>
      </w:r>
      <w:r w:rsidR="00000B6A">
        <w:rPr>
          <w:sz w:val="24"/>
          <w:szCs w:val="24"/>
        </w:rPr>
        <w:t xml:space="preserve">, FCC 18-111 (August 3, 2018).  </w:t>
      </w:r>
    </w:p>
    <w:p w:rsidR="00145C8B" w:rsidP="00145C8B">
      <w:pPr>
        <w:rPr>
          <w:sz w:val="24"/>
          <w:szCs w:val="24"/>
        </w:rPr>
      </w:pPr>
    </w:p>
    <w:p w:rsidR="00145C8B" w:rsidRPr="00272A90" w:rsidP="00145C8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272A90">
        <w:rPr>
          <w:sz w:val="24"/>
          <w:szCs w:val="24"/>
        </w:rPr>
        <w:t xml:space="preserve">nder Section 1.1212(d) of the Commission's Rules, 47 CFR § 1.1212(d), presentations that are received during the Sunshine </w:t>
      </w:r>
      <w:r w:rsidR="005E639C">
        <w:rPr>
          <w:sz w:val="24"/>
          <w:szCs w:val="24"/>
        </w:rPr>
        <w:t xml:space="preserve">Agenda </w:t>
      </w:r>
      <w:r w:rsidRPr="00272A90">
        <w:rPr>
          <w:sz w:val="24"/>
          <w:szCs w:val="24"/>
        </w:rPr>
        <w:t>Period and do not meet an exception provided by 47 CFR § 1.1204(a) shall be associated with, but not made a part of, the record in the relevant proceedings.  In accordance with the rule, the presentation</w:t>
      </w:r>
      <w:r w:rsidR="00201CC7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</w:t>
      </w:r>
      <w:r w:rsidR="00F03C04">
        <w:rPr>
          <w:sz w:val="24"/>
          <w:szCs w:val="24"/>
        </w:rPr>
        <w:t xml:space="preserve">made during the Sunshine Agenda Period </w:t>
      </w:r>
      <w:r w:rsidRPr="00272A90">
        <w:rPr>
          <w:sz w:val="24"/>
          <w:szCs w:val="24"/>
        </w:rPr>
        <w:t>here will be associated with, but not made part of</w:t>
      </w:r>
      <w:r w:rsidR="005D7C79">
        <w:rPr>
          <w:sz w:val="24"/>
          <w:szCs w:val="24"/>
        </w:rPr>
        <w:t>,</w:t>
      </w:r>
      <w:r w:rsidRPr="00272A90">
        <w:rPr>
          <w:sz w:val="24"/>
          <w:szCs w:val="24"/>
        </w:rPr>
        <w:t xml:space="preserve"> the record in </w:t>
      </w:r>
      <w:r>
        <w:rPr>
          <w:sz w:val="24"/>
          <w:szCs w:val="24"/>
        </w:rPr>
        <w:t>the above-referenced proceeding</w:t>
      </w:r>
      <w:r w:rsidR="00201CC7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Pr="00272A90">
        <w:rPr>
          <w:sz w:val="24"/>
          <w:szCs w:val="24"/>
        </w:rPr>
        <w:t xml:space="preserve"> </w:t>
      </w:r>
    </w:p>
    <w:p w:rsidR="00145C8B" w:rsidRPr="00272A90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  </w:t>
      </w:r>
    </w:p>
    <w:p w:rsidR="00C31C2F" w:rsidP="00145C8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72A90">
        <w:rPr>
          <w:sz w:val="24"/>
          <w:szCs w:val="24"/>
        </w:rPr>
        <w:t>he full text</w:t>
      </w:r>
      <w:r w:rsidR="00C81C2F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of th</w:t>
      </w:r>
      <w:r w:rsidR="00C81C2F">
        <w:rPr>
          <w:sz w:val="24"/>
          <w:szCs w:val="24"/>
        </w:rPr>
        <w:t>ese</w:t>
      </w:r>
      <w:r w:rsidRPr="00272A90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s </w:t>
      </w:r>
      <w:r w:rsidR="00C81C2F">
        <w:rPr>
          <w:sz w:val="24"/>
          <w:szCs w:val="24"/>
        </w:rPr>
        <w:t>are</w:t>
      </w:r>
      <w:r w:rsidRPr="00272A90">
        <w:rPr>
          <w:sz w:val="24"/>
          <w:szCs w:val="24"/>
        </w:rPr>
        <w:t xml:space="preserve"> available for public inspection and copying during regular business hours at the FCC Reference Information Center, Portals II, 445 12</w:t>
      </w:r>
      <w:r w:rsidR="00F30E39">
        <w:rPr>
          <w:sz w:val="24"/>
          <w:szCs w:val="24"/>
        </w:rPr>
        <w:t>th</w:t>
      </w:r>
      <w:r w:rsidRPr="00272A90">
        <w:rPr>
          <w:sz w:val="24"/>
          <w:szCs w:val="24"/>
        </w:rPr>
        <w:t xml:space="preserve"> Street, SW, Room CY</w:t>
      </w:r>
      <w:r w:rsidRPr="00272A90">
        <w:rPr>
          <w:sz w:val="24"/>
          <w:szCs w:val="24"/>
        </w:rPr>
        <w:noBreakHyphen/>
        <w:t xml:space="preserve">A257, Washington, DC, 20554.  </w:t>
      </w:r>
      <w:r>
        <w:rPr>
          <w:sz w:val="24"/>
          <w:szCs w:val="24"/>
        </w:rPr>
        <w:t>Th</w:t>
      </w:r>
      <w:r w:rsidR="007B1F65">
        <w:rPr>
          <w:sz w:val="24"/>
          <w:szCs w:val="24"/>
        </w:rPr>
        <w:t>ese</w:t>
      </w:r>
      <w:r>
        <w:rPr>
          <w:sz w:val="24"/>
          <w:szCs w:val="24"/>
        </w:rPr>
        <w:t xml:space="preserve"> filing</w:t>
      </w:r>
      <w:r w:rsidR="007B1F65">
        <w:rPr>
          <w:sz w:val="24"/>
          <w:szCs w:val="24"/>
        </w:rPr>
        <w:t>s</w:t>
      </w:r>
      <w:r>
        <w:rPr>
          <w:sz w:val="24"/>
          <w:szCs w:val="24"/>
        </w:rPr>
        <w:t xml:space="preserve"> may also be viewed in the Commission’s Electronic Comment Filing System (ECFS)</w:t>
      </w:r>
      <w:r w:rsidR="00000B6A">
        <w:rPr>
          <w:sz w:val="24"/>
          <w:szCs w:val="24"/>
        </w:rPr>
        <w:t xml:space="preserve"> at </w:t>
      </w:r>
      <w:r w:rsidR="00AB608D">
        <w:rPr>
          <w:sz w:val="24"/>
          <w:szCs w:val="24"/>
        </w:rPr>
        <w:t>https://www.fcc.gov/ecfs</w:t>
      </w:r>
      <w:r>
        <w:rPr>
          <w:sz w:val="24"/>
          <w:szCs w:val="24"/>
        </w:rPr>
        <w:t>.</w:t>
      </w:r>
      <w:r w:rsidR="00000B6A">
        <w:rPr>
          <w:sz w:val="24"/>
          <w:szCs w:val="24"/>
        </w:rPr>
        <w:t xml:space="preserve">  </w:t>
      </w:r>
    </w:p>
    <w:p w:rsidR="00C31C2F" w:rsidP="00145C8B">
      <w:pPr>
        <w:rPr>
          <w:sz w:val="24"/>
          <w:szCs w:val="24"/>
        </w:rPr>
      </w:pPr>
    </w:p>
    <w:p w:rsidR="00C31C2F" w:rsidP="00C31C2F">
      <w:pPr>
        <w:rPr>
          <w:sz w:val="24"/>
          <w:szCs w:val="24"/>
        </w:rPr>
      </w:pPr>
      <w:r>
        <w:rPr>
          <w:sz w:val="24"/>
          <w:szCs w:val="24"/>
        </w:rPr>
        <w:t>In addition to the presentations</w:t>
      </w:r>
      <w:r w:rsidR="00A34ADA">
        <w:rPr>
          <w:sz w:val="24"/>
          <w:szCs w:val="24"/>
        </w:rPr>
        <w:t xml:space="preserve"> listed in the Appendix</w:t>
      </w:r>
      <w:r>
        <w:rPr>
          <w:sz w:val="24"/>
          <w:szCs w:val="24"/>
        </w:rPr>
        <w:t xml:space="preserve">, the Commission received numerous communications from individual members of the public </w:t>
      </w:r>
      <w:r w:rsidR="00F03C04">
        <w:rPr>
          <w:sz w:val="24"/>
          <w:szCs w:val="24"/>
        </w:rPr>
        <w:t xml:space="preserve">and others </w:t>
      </w:r>
      <w:r>
        <w:rPr>
          <w:sz w:val="24"/>
          <w:szCs w:val="24"/>
        </w:rPr>
        <w:t xml:space="preserve">regarding this proceeding during the Sunshine Agenda </w:t>
      </w:r>
      <w:r w:rsidR="005D7C79">
        <w:rPr>
          <w:sz w:val="24"/>
          <w:szCs w:val="24"/>
        </w:rPr>
        <w:t>P</w:t>
      </w:r>
      <w:r>
        <w:rPr>
          <w:sz w:val="24"/>
          <w:szCs w:val="24"/>
        </w:rPr>
        <w:t>eriod</w:t>
      </w:r>
      <w:r w:rsidR="00A34ADA">
        <w:rPr>
          <w:sz w:val="24"/>
          <w:szCs w:val="24"/>
        </w:rPr>
        <w:t xml:space="preserve"> through the </w:t>
      </w:r>
      <w:r w:rsidR="009C60E9">
        <w:rPr>
          <w:sz w:val="24"/>
          <w:szCs w:val="24"/>
        </w:rPr>
        <w:t>E</w:t>
      </w:r>
      <w:r w:rsidR="00BA24B0">
        <w:rPr>
          <w:sz w:val="24"/>
          <w:szCs w:val="24"/>
        </w:rPr>
        <w:t xml:space="preserve">xpress </w:t>
      </w:r>
      <w:r w:rsidR="009C60E9">
        <w:rPr>
          <w:sz w:val="24"/>
          <w:szCs w:val="24"/>
        </w:rPr>
        <w:t>C</w:t>
      </w:r>
      <w:r w:rsidR="00A34ADA">
        <w:rPr>
          <w:sz w:val="24"/>
          <w:szCs w:val="24"/>
        </w:rPr>
        <w:t xml:space="preserve">omment feature of ECFS. </w:t>
      </w:r>
      <w:r w:rsidR="00F03C04">
        <w:rPr>
          <w:sz w:val="24"/>
          <w:szCs w:val="24"/>
        </w:rPr>
        <w:t xml:space="preserve"> </w:t>
      </w:r>
      <w:r w:rsidR="00A34ADA">
        <w:rPr>
          <w:sz w:val="24"/>
          <w:szCs w:val="24"/>
        </w:rPr>
        <w:t xml:space="preserve">Because of </w:t>
      </w:r>
      <w:r w:rsidR="00A34ADA">
        <w:rPr>
          <w:sz w:val="24"/>
          <w:szCs w:val="24"/>
        </w:rPr>
        <w:t xml:space="preserve">the large number and </w:t>
      </w:r>
      <w:r w:rsidR="00BA24B0">
        <w:rPr>
          <w:sz w:val="24"/>
          <w:szCs w:val="24"/>
        </w:rPr>
        <w:t>brief</w:t>
      </w:r>
      <w:r w:rsidR="00A34ADA">
        <w:rPr>
          <w:sz w:val="24"/>
          <w:szCs w:val="24"/>
        </w:rPr>
        <w:t xml:space="preserve"> nature of these comments, we have not listed them </w:t>
      </w:r>
      <w:r w:rsidR="00BA24B0">
        <w:rPr>
          <w:sz w:val="24"/>
          <w:szCs w:val="24"/>
        </w:rPr>
        <w:t xml:space="preserve">individually </w:t>
      </w:r>
      <w:r w:rsidR="00A34ADA">
        <w:rPr>
          <w:sz w:val="24"/>
          <w:szCs w:val="24"/>
        </w:rPr>
        <w:t xml:space="preserve">in the Appendix.  These comments, like the listed comments, will be associated </w:t>
      </w:r>
      <w:r w:rsidRPr="00191EFE" w:rsidR="00A34ADA">
        <w:rPr>
          <w:sz w:val="24"/>
          <w:szCs w:val="24"/>
        </w:rPr>
        <w:t>with</w:t>
      </w:r>
      <w:r w:rsidRPr="00191EFE" w:rsidR="005D7C79">
        <w:rPr>
          <w:sz w:val="24"/>
          <w:szCs w:val="24"/>
        </w:rPr>
        <w:t>, but not made part of,</w:t>
      </w:r>
      <w:r w:rsidRPr="00191EFE" w:rsidR="00A34ADA">
        <w:rPr>
          <w:sz w:val="24"/>
          <w:szCs w:val="24"/>
        </w:rPr>
        <w:t xml:space="preserve"> the record</w:t>
      </w:r>
      <w:r w:rsidRPr="00191EFE" w:rsidR="001D502C">
        <w:rPr>
          <w:sz w:val="24"/>
          <w:szCs w:val="24"/>
        </w:rPr>
        <w:t xml:space="preserve"> </w:t>
      </w:r>
      <w:r w:rsidRPr="00191EFE" w:rsidR="00A34ADA">
        <w:rPr>
          <w:sz w:val="24"/>
          <w:szCs w:val="24"/>
        </w:rPr>
        <w:t xml:space="preserve">and may be viewed </w:t>
      </w:r>
      <w:r w:rsidRPr="00191EFE" w:rsidR="005E639C">
        <w:rPr>
          <w:sz w:val="24"/>
          <w:szCs w:val="24"/>
        </w:rPr>
        <w:t>i</w:t>
      </w:r>
      <w:r w:rsidRPr="00191EFE" w:rsidR="00A34ADA">
        <w:rPr>
          <w:sz w:val="24"/>
          <w:szCs w:val="24"/>
        </w:rPr>
        <w:t>n ECFS.</w:t>
      </w:r>
      <w:r w:rsidR="00A34ADA">
        <w:rPr>
          <w:sz w:val="24"/>
          <w:szCs w:val="24"/>
        </w:rPr>
        <w:t xml:space="preserve">  </w:t>
      </w:r>
      <w:r w:rsidR="00234C03">
        <w:rPr>
          <w:sz w:val="24"/>
          <w:szCs w:val="24"/>
        </w:rPr>
        <w:t xml:space="preserve">  </w:t>
      </w:r>
    </w:p>
    <w:p w:rsidR="00C31C2F" w:rsidP="00C31C2F">
      <w:pPr>
        <w:rPr>
          <w:sz w:val="24"/>
          <w:szCs w:val="24"/>
        </w:rPr>
      </w:pPr>
    </w:p>
    <w:p w:rsidR="00C31C2F" w:rsidP="00C31C2F">
      <w:pPr>
        <w:rPr>
          <w:sz w:val="24"/>
          <w:szCs w:val="24"/>
        </w:rPr>
      </w:pPr>
      <w:r>
        <w:rPr>
          <w:sz w:val="24"/>
          <w:szCs w:val="24"/>
        </w:rPr>
        <w:t>Action by Office of General Counsel, Administrative Law Division</w:t>
      </w:r>
    </w:p>
    <w:p w:rsidR="00145C8B" w:rsidRPr="00272A90" w:rsidP="00145C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45C8B" w:rsidRPr="00272A90" w:rsidP="00145C8B">
      <w:pPr>
        <w:rPr>
          <w:sz w:val="24"/>
          <w:szCs w:val="24"/>
        </w:rPr>
      </w:pPr>
    </w:p>
    <w:p w:rsidR="0095013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1F49" w:rsidP="00C6385E">
      <w:pPr>
        <w:spacing w:before="120" w:after="240"/>
        <w:jc w:val="center"/>
        <w:rPr>
          <w:b/>
          <w:sz w:val="24"/>
        </w:rPr>
      </w:pPr>
      <w:r w:rsidRPr="00C458CD">
        <w:rPr>
          <w:b/>
          <w:sz w:val="24"/>
        </w:rPr>
        <w:t>APPENDIX</w:t>
      </w:r>
    </w:p>
    <w:p w:rsidR="0095013C" w:rsidP="0095013C">
      <w:pPr>
        <w:rPr>
          <w:b/>
          <w:sz w:val="24"/>
        </w:rPr>
      </w:pPr>
      <w:r>
        <w:rPr>
          <w:b/>
          <w:sz w:val="24"/>
        </w:rPr>
        <w:t>Name of Filer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B0BC4">
        <w:rPr>
          <w:b/>
          <w:sz w:val="24"/>
        </w:rPr>
        <w:tab/>
      </w:r>
      <w:r>
        <w:rPr>
          <w:b/>
          <w:sz w:val="24"/>
        </w:rPr>
        <w:t>Date Received</w:t>
      </w:r>
    </w:p>
    <w:p w:rsidR="0095013C" w:rsidP="0095013C">
      <w:pPr>
        <w:rPr>
          <w:b/>
          <w:sz w:val="24"/>
        </w:rPr>
      </w:pPr>
    </w:p>
    <w:p w:rsidR="0095013C" w:rsidP="0095013C">
      <w:pPr>
        <w:rPr>
          <w:sz w:val="24"/>
        </w:rPr>
      </w:pPr>
      <w:r>
        <w:rPr>
          <w:sz w:val="24"/>
        </w:rPr>
        <w:t>City of Portland</w:t>
      </w:r>
      <w:r w:rsidR="00EB0BC4">
        <w:rPr>
          <w:sz w:val="24"/>
        </w:rPr>
        <w:t>, Oregon</w:t>
      </w:r>
      <w:r w:rsidR="00EB0BC4">
        <w:rPr>
          <w:sz w:val="24"/>
        </w:rPr>
        <w:tab/>
      </w:r>
      <w:r w:rsidR="00EB0BC4">
        <w:rPr>
          <w:sz w:val="24"/>
        </w:rPr>
        <w:tab/>
      </w:r>
      <w:r w:rsidR="00EB0BC4">
        <w:rPr>
          <w:sz w:val="24"/>
        </w:rPr>
        <w:tab/>
      </w:r>
      <w:r w:rsidR="00EB0BC4">
        <w:rPr>
          <w:sz w:val="24"/>
        </w:rPr>
        <w:tab/>
      </w:r>
      <w:r w:rsidR="00EB0BC4">
        <w:rPr>
          <w:sz w:val="24"/>
        </w:rPr>
        <w:tab/>
      </w:r>
      <w:r w:rsidR="00EB0BC4">
        <w:rPr>
          <w:sz w:val="24"/>
        </w:rPr>
        <w:tab/>
      </w:r>
      <w:r>
        <w:rPr>
          <w:sz w:val="24"/>
        </w:rPr>
        <w:t>July 27, 2018</w:t>
      </w:r>
    </w:p>
    <w:p w:rsidR="0095013C" w:rsidP="0095013C">
      <w:pPr>
        <w:rPr>
          <w:sz w:val="24"/>
        </w:rPr>
      </w:pPr>
      <w:r>
        <w:rPr>
          <w:sz w:val="24"/>
        </w:rPr>
        <w:t>National Association of Telecommunications</w:t>
      </w:r>
      <w:r w:rsidR="00EB0BC4">
        <w:rPr>
          <w:sz w:val="24"/>
        </w:rPr>
        <w:t xml:space="preserve"> Officers</w:t>
      </w:r>
      <w:r>
        <w:rPr>
          <w:sz w:val="24"/>
        </w:rPr>
        <w:tab/>
      </w:r>
      <w:r w:rsidR="00EB0BC4">
        <w:rPr>
          <w:sz w:val="24"/>
        </w:rPr>
        <w:tab/>
      </w:r>
      <w:r>
        <w:rPr>
          <w:sz w:val="24"/>
        </w:rPr>
        <w:t>July 27, 2018</w:t>
      </w:r>
    </w:p>
    <w:p w:rsidR="0095013C" w:rsidP="0095013C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and Advisors (NATOA)</w:t>
      </w:r>
    </w:p>
    <w:p w:rsidR="009C60E9" w:rsidP="009C60E9">
      <w:pPr>
        <w:rPr>
          <w:sz w:val="24"/>
        </w:rPr>
      </w:pPr>
      <w:r>
        <w:rPr>
          <w:sz w:val="24"/>
        </w:rPr>
        <w:t>Wabash Communications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27, 2018</w:t>
      </w:r>
    </w:p>
    <w:p w:rsidR="00EB0BC4" w:rsidP="0095013C">
      <w:pPr>
        <w:rPr>
          <w:sz w:val="24"/>
        </w:rPr>
      </w:pPr>
      <w:r>
        <w:rPr>
          <w:sz w:val="24"/>
        </w:rPr>
        <w:t>City of Mukilteo, Washington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30, 2018</w:t>
      </w:r>
    </w:p>
    <w:p w:rsidR="009C60E9" w:rsidP="009C60E9">
      <w:pPr>
        <w:rPr>
          <w:sz w:val="24"/>
        </w:rPr>
      </w:pPr>
      <w:r>
        <w:rPr>
          <w:sz w:val="24"/>
        </w:rPr>
        <w:t>Jackie C</w:t>
      </w:r>
      <w:r w:rsidR="001D502C">
        <w:rPr>
          <w:sz w:val="24"/>
        </w:rPr>
        <w:t>a</w:t>
      </w:r>
      <w:r>
        <w:rPr>
          <w:sz w:val="24"/>
        </w:rPr>
        <w:t>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31, 2018</w:t>
      </w:r>
    </w:p>
    <w:p w:rsidR="009C60E9" w:rsidP="009C60E9">
      <w:pPr>
        <w:rPr>
          <w:sz w:val="24"/>
        </w:rPr>
      </w:pPr>
      <w:r>
        <w:rPr>
          <w:sz w:val="24"/>
        </w:rPr>
        <w:t xml:space="preserve">Mary </w:t>
      </w:r>
      <w:r>
        <w:rPr>
          <w:sz w:val="24"/>
        </w:rPr>
        <w:t>Whisenand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31, 2018</w:t>
      </w:r>
    </w:p>
    <w:p w:rsidR="009C60E9" w:rsidP="009C60E9">
      <w:pPr>
        <w:rPr>
          <w:sz w:val="24"/>
        </w:rPr>
      </w:pPr>
      <w:r>
        <w:rPr>
          <w:sz w:val="24"/>
        </w:rPr>
        <w:t xml:space="preserve">Patrick </w:t>
      </w:r>
      <w:r>
        <w:rPr>
          <w:sz w:val="24"/>
        </w:rPr>
        <w:t>Wronkiewicz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1, 2018</w:t>
      </w:r>
    </w:p>
    <w:p w:rsidR="00EB0BC4" w:rsidP="0095013C">
      <w:pPr>
        <w:rPr>
          <w:sz w:val="24"/>
        </w:rPr>
      </w:pPr>
      <w:r>
        <w:rPr>
          <w:sz w:val="24"/>
        </w:rPr>
        <w:t>City of San Jose, California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2, 2018</w:t>
      </w:r>
    </w:p>
    <w:p w:rsidR="00EB0BC4" w:rsidP="0095013C">
      <w:pPr>
        <w:rPr>
          <w:sz w:val="24"/>
        </w:rPr>
      </w:pPr>
    </w:p>
    <w:sectPr w:rsidSect="00DF0810">
      <w:footerReference w:type="even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3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08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D7C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C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C7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D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C7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