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07AA0" w:rsidRPr="00872B85" w:rsidP="00207AA0">
      <w:pPr>
        <w:jc w:val="right"/>
        <w:rPr>
          <w:b/>
          <w:szCs w:val="22"/>
        </w:rPr>
      </w:pPr>
      <w:r>
        <w:rPr>
          <w:b/>
          <w:szCs w:val="22"/>
        </w:rPr>
        <w:t>DA 18-864</w:t>
      </w:r>
      <w:bookmarkStart w:id="0" w:name="_GoBack"/>
      <w:bookmarkEnd w:id="0"/>
    </w:p>
    <w:p w:rsidR="00207AA0" w:rsidRPr="00872B85" w:rsidP="00207AA0">
      <w:pPr>
        <w:spacing w:before="60"/>
        <w:jc w:val="right"/>
        <w:rPr>
          <w:b/>
          <w:szCs w:val="22"/>
        </w:rPr>
      </w:pPr>
      <w:r w:rsidRPr="00872B85">
        <w:rPr>
          <w:b/>
          <w:szCs w:val="22"/>
        </w:rPr>
        <w:t xml:space="preserve">Released:  </w:t>
      </w:r>
      <w:r>
        <w:rPr>
          <w:b/>
          <w:szCs w:val="22"/>
        </w:rPr>
        <w:t>August 2</w:t>
      </w:r>
      <w:r w:rsidR="00245109">
        <w:rPr>
          <w:b/>
          <w:szCs w:val="22"/>
        </w:rPr>
        <w:t>1</w:t>
      </w:r>
      <w:r>
        <w:rPr>
          <w:b/>
          <w:szCs w:val="22"/>
        </w:rPr>
        <w:t>, 2018</w:t>
      </w:r>
      <w:r w:rsidRPr="00872B85">
        <w:rPr>
          <w:b/>
          <w:szCs w:val="22"/>
        </w:rPr>
        <w:t xml:space="preserve"> </w:t>
      </w:r>
    </w:p>
    <w:p w:rsidR="00207AA0" w:rsidRPr="00872B85" w:rsidP="00207AA0">
      <w:pPr>
        <w:jc w:val="right"/>
        <w:rPr>
          <w:szCs w:val="22"/>
        </w:rPr>
      </w:pPr>
    </w:p>
    <w:p w:rsidR="00207AA0" w:rsidP="00207AA0">
      <w:pPr>
        <w:jc w:val="center"/>
        <w:rPr>
          <w:b/>
          <w:caps/>
          <w:szCs w:val="22"/>
        </w:rPr>
      </w:pPr>
      <w:r w:rsidRPr="00872B85">
        <w:rPr>
          <w:b/>
          <w:caps/>
          <w:szCs w:val="22"/>
        </w:rPr>
        <w:t>WIRELINE COMPETITION BUREAU ANNOUNCES effective dates</w:t>
      </w:r>
      <w:r>
        <w:rPr>
          <w:b/>
          <w:caps/>
          <w:szCs w:val="22"/>
        </w:rPr>
        <w:t xml:space="preserve"> of </w:t>
      </w:r>
    </w:p>
    <w:p w:rsidR="00207AA0" w:rsidP="00207AA0">
      <w:pPr>
        <w:jc w:val="center"/>
        <w:rPr>
          <w:b/>
          <w:caps/>
          <w:szCs w:val="22"/>
        </w:rPr>
      </w:pPr>
      <w:r>
        <w:rPr>
          <w:b/>
          <w:caps/>
          <w:szCs w:val="22"/>
        </w:rPr>
        <w:t xml:space="preserve">AMENDMENTS TO DIALING PARITY AND NUMBER PORTABILITy DATABASE QUERY RULES </w:t>
      </w:r>
    </w:p>
    <w:p w:rsidR="00207AA0" w:rsidRPr="00872B85" w:rsidP="00207AA0">
      <w:pPr>
        <w:jc w:val="center"/>
        <w:rPr>
          <w:b/>
          <w:i/>
          <w:caps/>
          <w:szCs w:val="22"/>
        </w:rPr>
      </w:pPr>
    </w:p>
    <w:p w:rsidR="00207AA0" w:rsidP="00207AA0">
      <w:pPr>
        <w:jc w:val="center"/>
        <w:rPr>
          <w:b/>
          <w:szCs w:val="22"/>
        </w:rPr>
      </w:pPr>
      <w:r w:rsidRPr="00872B85">
        <w:rPr>
          <w:b/>
          <w:szCs w:val="22"/>
        </w:rPr>
        <w:t xml:space="preserve">WC Docket Nos. </w:t>
      </w:r>
      <w:r>
        <w:rPr>
          <w:b/>
          <w:szCs w:val="22"/>
        </w:rPr>
        <w:t>17-244; 13-97</w:t>
      </w:r>
    </w:p>
    <w:p w:rsidR="00207AA0" w:rsidRPr="00872B85" w:rsidP="00207AA0">
      <w:pPr>
        <w:jc w:val="center"/>
        <w:rPr>
          <w:b/>
          <w:szCs w:val="22"/>
        </w:rPr>
      </w:pPr>
    </w:p>
    <w:p w:rsidR="00207AA0" w:rsidP="00207AA0">
      <w:pPr>
        <w:suppressAutoHyphens/>
        <w:spacing w:after="120"/>
        <w:ind w:firstLine="720"/>
        <w:rPr>
          <w:szCs w:val="22"/>
        </w:rPr>
      </w:pPr>
      <w:r>
        <w:rPr>
          <w:szCs w:val="22"/>
        </w:rPr>
        <w:t>On July 13, 2018, the Federal Communications Commission released a Report and Order that modified requirements for conducting queries of the number portability database and extended forbearance from toll interexchange dialing parity rules to competitive local exchange carriers (</w:t>
      </w:r>
      <w:r w:rsidRPr="00A64B81">
        <w:rPr>
          <w:i/>
          <w:szCs w:val="22"/>
        </w:rPr>
        <w:t>2018</w:t>
      </w:r>
      <w:r>
        <w:rPr>
          <w:szCs w:val="22"/>
        </w:rPr>
        <w:t xml:space="preserve"> </w:t>
      </w:r>
      <w:r>
        <w:rPr>
          <w:i/>
          <w:szCs w:val="22"/>
        </w:rPr>
        <w:t>NNP Order</w:t>
      </w:r>
      <w:r>
        <w:rPr>
          <w:szCs w:val="22"/>
        </w:rPr>
        <w:t>).</w:t>
      </w:r>
      <w:r>
        <w:rPr>
          <w:rStyle w:val="FootnoteReference"/>
          <w:szCs w:val="22"/>
        </w:rPr>
        <w:footnoteReference w:id="3"/>
      </w:r>
      <w:r>
        <w:rPr>
          <w:szCs w:val="22"/>
        </w:rPr>
        <w:t xml:space="preserve">  The </w:t>
      </w:r>
      <w:r>
        <w:rPr>
          <w:i/>
          <w:szCs w:val="22"/>
        </w:rPr>
        <w:t xml:space="preserve">2018 NNP Order </w:t>
      </w:r>
      <w:r>
        <w:rPr>
          <w:szCs w:val="22"/>
        </w:rPr>
        <w:t xml:space="preserve">eased these requirements </w:t>
      </w:r>
      <w:r>
        <w:rPr>
          <w:szCs w:val="22"/>
        </w:rPr>
        <w:t>in order to</w:t>
      </w:r>
      <w:r>
        <w:rPr>
          <w:szCs w:val="22"/>
        </w:rPr>
        <w:t xml:space="preserve"> encourage the development of nationwide number portability while eliminating outdated rules.</w:t>
      </w:r>
    </w:p>
    <w:p w:rsidR="00207AA0" w:rsidP="00194A73">
      <w:pPr>
        <w:suppressAutoHyphens/>
        <w:spacing w:after="120"/>
        <w:ind w:firstLine="720"/>
        <w:rPr>
          <w:szCs w:val="22"/>
        </w:rPr>
      </w:pPr>
      <w:r>
        <w:rPr>
          <w:szCs w:val="22"/>
        </w:rPr>
        <w:t xml:space="preserve">On August 6, 2018, the Commission received Office of Management and Budget (OMB) concurrence that the </w:t>
      </w:r>
      <w:r>
        <w:rPr>
          <w:i/>
          <w:szCs w:val="22"/>
        </w:rPr>
        <w:t>2018 NNP Order</w:t>
      </w:r>
      <w:r>
        <w:rPr>
          <w:szCs w:val="22"/>
        </w:rPr>
        <w:t xml:space="preserve"> was a non-major rulemaking </w:t>
      </w:r>
      <w:r>
        <w:t xml:space="preserve">under the Congressional Review Act of 1996, Pub. L. No. 104-121.  </w:t>
      </w:r>
      <w:r>
        <w:rPr>
          <w:szCs w:val="22"/>
        </w:rPr>
        <w:t xml:space="preserve">The announcement of OMB approval of the rules was sent to the Federal Register on August 14, 2018.  As ordered in the </w:t>
      </w:r>
      <w:r>
        <w:rPr>
          <w:i/>
          <w:szCs w:val="22"/>
        </w:rPr>
        <w:t>2018 NNP Order</w:t>
      </w:r>
      <w:r>
        <w:rPr>
          <w:szCs w:val="22"/>
        </w:rPr>
        <w:t>, all amendments to the rules contained in the order will take effect 30 days after publication of the summary of the order in the Federal Register.</w:t>
      </w:r>
      <w:r>
        <w:rPr>
          <w:rStyle w:val="FootnoteReference"/>
          <w:szCs w:val="22"/>
        </w:rPr>
        <w:footnoteReference w:id="4"/>
      </w:r>
      <w:r>
        <w:rPr>
          <w:szCs w:val="22"/>
        </w:rPr>
        <w:t xml:space="preserve">  Since the Order was published in the Federal Register on August 20, 2018,</w:t>
      </w:r>
      <w:r>
        <w:rPr>
          <w:rStyle w:val="FootnoteReference"/>
          <w:szCs w:val="22"/>
        </w:rPr>
        <w:footnoteReference w:id="5"/>
      </w:r>
      <w:r>
        <w:rPr>
          <w:szCs w:val="22"/>
        </w:rPr>
        <w:t xml:space="preserve"> these rules will become effective on September 19, 2018.  </w:t>
      </w:r>
    </w:p>
    <w:p w:rsidR="00207AA0" w:rsidP="00194A73">
      <w:pPr>
        <w:suppressAutoHyphens/>
        <w:spacing w:after="120"/>
        <w:ind w:firstLine="720"/>
        <w:rPr>
          <w:szCs w:val="22"/>
        </w:rPr>
      </w:pPr>
      <w:r>
        <w:rPr>
          <w:szCs w:val="22"/>
        </w:rPr>
        <w:t>Specifically, the following provisions will take effect:</w:t>
      </w:r>
    </w:p>
    <w:p w:rsidR="00207AA0" w:rsidP="00207AA0">
      <w:pPr>
        <w:pStyle w:val="ListParagraph"/>
        <w:numPr>
          <w:ilvl w:val="0"/>
          <w:numId w:val="7"/>
        </w:numPr>
        <w:suppressAutoHyphens/>
        <w:spacing w:after="200"/>
        <w:contextualSpacing w:val="0"/>
        <w:rPr>
          <w:szCs w:val="22"/>
        </w:rPr>
      </w:pPr>
      <w:r>
        <w:rPr>
          <w:szCs w:val="22"/>
        </w:rPr>
        <w:t>Competitive local exchange carriers will receive the same forbearance from the toll interexchange dialing parity requirements that incumbent local exchange carriers received in 2015;</w:t>
      </w:r>
    </w:p>
    <w:p w:rsidR="00207AA0" w:rsidP="00207AA0">
      <w:pPr>
        <w:pStyle w:val="ListParagraph"/>
        <w:numPr>
          <w:ilvl w:val="0"/>
          <w:numId w:val="7"/>
        </w:numPr>
        <w:suppressAutoHyphens/>
        <w:spacing w:after="200"/>
        <w:contextualSpacing w:val="0"/>
        <w:rPr>
          <w:szCs w:val="22"/>
        </w:rPr>
      </w:pPr>
      <w:r>
        <w:rPr>
          <w:szCs w:val="22"/>
        </w:rPr>
        <w:t>Rules that existed solely to implement the above dialing parity requirements are eliminated;</w:t>
      </w:r>
    </w:p>
    <w:p w:rsidR="00207AA0" w:rsidRPr="00323783" w:rsidP="00207AA0">
      <w:pPr>
        <w:pStyle w:val="ListParagraph"/>
        <w:numPr>
          <w:ilvl w:val="0"/>
          <w:numId w:val="7"/>
        </w:numPr>
        <w:suppressAutoHyphens/>
        <w:spacing w:after="200"/>
        <w:contextualSpacing w:val="0"/>
        <w:rPr>
          <w:szCs w:val="22"/>
        </w:rPr>
      </w:pPr>
      <w:r>
        <w:rPr>
          <w:szCs w:val="22"/>
        </w:rPr>
        <w:t>Carriers are now expressly allowed to query the number portability database even if they are not the second-to-last carrier to handle the call.</w:t>
      </w:r>
    </w:p>
    <w:p w:rsidR="00207AA0" w:rsidRPr="008176D0" w:rsidP="00207AA0">
      <w:pPr>
        <w:ind w:firstLine="720"/>
        <w:contextualSpacing/>
        <w:rPr>
          <w:rFonts w:eastAsia="Calibri"/>
          <w:szCs w:val="22"/>
        </w:rPr>
      </w:pPr>
      <w:r w:rsidRPr="008176D0">
        <w:rPr>
          <w:rFonts w:eastAsia="Calibri"/>
          <w:szCs w:val="22"/>
        </w:rPr>
        <w:t xml:space="preserve">For further information, please contact </w:t>
      </w:r>
      <w:r>
        <w:rPr>
          <w:rFonts w:eastAsia="Calibri"/>
          <w:szCs w:val="22"/>
        </w:rPr>
        <w:t>Sherwin Siy</w:t>
      </w:r>
      <w:r w:rsidRPr="008176D0">
        <w:rPr>
          <w:rFonts w:eastAsia="Calibri"/>
          <w:szCs w:val="22"/>
        </w:rPr>
        <w:t xml:space="preserve">, Wireline Competition Bureau, </w:t>
      </w:r>
      <w:r>
        <w:rPr>
          <w:rFonts w:eastAsia="Calibri"/>
          <w:szCs w:val="22"/>
        </w:rPr>
        <w:t>Competition Policy Division, at (202) 418-2783</w:t>
      </w:r>
      <w:r w:rsidRPr="008176D0">
        <w:rPr>
          <w:rFonts w:eastAsia="Calibri"/>
          <w:szCs w:val="22"/>
        </w:rPr>
        <w:t xml:space="preserve"> or via e-mail at </w:t>
      </w:r>
      <w:r>
        <w:rPr>
          <w:rFonts w:eastAsia="Calibri"/>
          <w:szCs w:val="22"/>
        </w:rPr>
        <w:t>sherwin.siy</w:t>
      </w:r>
      <w:r w:rsidRPr="008176D0">
        <w:rPr>
          <w:rFonts w:eastAsia="Calibri"/>
          <w:szCs w:val="22"/>
        </w:rPr>
        <w:t>@fcc.gov.</w:t>
      </w:r>
    </w:p>
    <w:p w:rsidR="00207AA0" w:rsidP="00207AA0">
      <w:pPr>
        <w:contextualSpacing/>
        <w:jc w:val="center"/>
        <w:rPr>
          <w:rFonts w:eastAsia="Calibri"/>
          <w:b/>
          <w:szCs w:val="22"/>
        </w:rPr>
      </w:pPr>
    </w:p>
    <w:p w:rsidR="00930ECF" w:rsidRPr="00930ECF" w:rsidP="00194A73">
      <w:pPr>
        <w:contextualSpacing/>
        <w:jc w:val="center"/>
        <w:rPr>
          <w:sz w:val="24"/>
        </w:rPr>
      </w:pPr>
      <w:r w:rsidRPr="008176D0">
        <w:rPr>
          <w:rFonts w:eastAsia="Calibri"/>
          <w:b/>
          <w:szCs w:val="22"/>
        </w:rPr>
        <w:t>- FCC -</w:t>
      </w: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7BBB">
      <w:r>
        <w:separator/>
      </w:r>
    </w:p>
  </w:footnote>
  <w:footnote w:type="continuationSeparator" w:id="1">
    <w:p w:rsidR="006C7BBB">
      <w:pPr>
        <w:rPr>
          <w:sz w:val="20"/>
        </w:rPr>
      </w:pPr>
      <w:r>
        <w:rPr>
          <w:sz w:val="20"/>
        </w:rPr>
        <w:t xml:space="preserve">(Continued from previous page)  </w:t>
      </w:r>
      <w:r>
        <w:rPr>
          <w:sz w:val="20"/>
        </w:rPr>
        <w:separator/>
      </w:r>
    </w:p>
  </w:footnote>
  <w:footnote w:type="continuationNotice" w:id="2">
    <w:p w:rsidR="006C7BBB" w:rsidP="00910F12">
      <w:pPr>
        <w:jc w:val="right"/>
        <w:rPr>
          <w:sz w:val="20"/>
        </w:rPr>
      </w:pPr>
      <w:r>
        <w:rPr>
          <w:sz w:val="20"/>
        </w:rPr>
        <w:t>(continued….)</w:t>
      </w:r>
    </w:p>
  </w:footnote>
  <w:footnote w:id="3">
    <w:p w:rsidR="00207AA0" w:rsidRPr="00E307E9" w:rsidP="00207AA0">
      <w:pPr>
        <w:pStyle w:val="FootnoteText"/>
      </w:pPr>
      <w:r w:rsidRPr="0024266C">
        <w:rPr>
          <w:rStyle w:val="FootnoteReference"/>
        </w:rPr>
        <w:footnoteRef/>
      </w:r>
      <w:r w:rsidRPr="0024266C">
        <w:t xml:space="preserve"> </w:t>
      </w:r>
      <w:r w:rsidRPr="00E307E9">
        <w:rPr>
          <w:i/>
        </w:rPr>
        <w:t>See</w:t>
      </w:r>
      <w:r w:rsidRPr="00E307E9">
        <w:t xml:space="preserve"> </w:t>
      </w:r>
      <w:r>
        <w:rPr>
          <w:i/>
        </w:rPr>
        <w:t>Nationwide Number Portability</w:t>
      </w:r>
      <w:r w:rsidRPr="00E307E9">
        <w:t xml:space="preserve"> et </w:t>
      </w:r>
      <w:r>
        <w:t>al., WC Docket No. 17-244, 13-97</w:t>
      </w:r>
      <w:r w:rsidRPr="00E307E9">
        <w:t xml:space="preserve">, </w:t>
      </w:r>
      <w:r>
        <w:t>Report and Order (2018)</w:t>
      </w:r>
      <w:r w:rsidRPr="00E307E9">
        <w:t>.</w:t>
      </w:r>
    </w:p>
  </w:footnote>
  <w:footnote w:id="4">
    <w:p w:rsidR="00207AA0" w:rsidRPr="00E307E9" w:rsidP="00207AA0">
      <w:pPr>
        <w:pStyle w:val="FootnoteText"/>
      </w:pPr>
      <w:r w:rsidRPr="00E307E9">
        <w:rPr>
          <w:rStyle w:val="FootnoteReference"/>
        </w:rPr>
        <w:footnoteRef/>
      </w:r>
      <w:r w:rsidRPr="00E307E9">
        <w:t xml:space="preserve"> </w:t>
      </w:r>
      <w:r>
        <w:rPr>
          <w:i/>
        </w:rPr>
        <w:t>2018</w:t>
      </w:r>
      <w:r w:rsidRPr="00E307E9">
        <w:rPr>
          <w:i/>
        </w:rPr>
        <w:t xml:space="preserve"> </w:t>
      </w:r>
      <w:r>
        <w:rPr>
          <w:i/>
        </w:rPr>
        <w:t xml:space="preserve">NNP </w:t>
      </w:r>
      <w:r w:rsidRPr="00E307E9">
        <w:rPr>
          <w:i/>
        </w:rPr>
        <w:t>Order</w:t>
      </w:r>
      <w:r w:rsidRPr="00E307E9">
        <w:t xml:space="preserve">, </w:t>
      </w:r>
      <w:r>
        <w:t>para. 30</w:t>
      </w:r>
      <w:r w:rsidRPr="00E307E9">
        <w:t>.</w:t>
      </w:r>
    </w:p>
  </w:footnote>
  <w:footnote w:id="5">
    <w:p w:rsidR="00207AA0" w:rsidRPr="00985222" w:rsidP="00207AA0">
      <w:pPr>
        <w:pStyle w:val="FootnoteText"/>
      </w:pPr>
      <w:r>
        <w:rPr>
          <w:rStyle w:val="FootnoteReference"/>
        </w:rPr>
        <w:footnoteRef/>
      </w:r>
      <w:r>
        <w:t xml:space="preserve"> </w:t>
      </w:r>
      <w:r>
        <w:rPr>
          <w:i/>
        </w:rPr>
        <w:t>See</w:t>
      </w:r>
      <w:r>
        <w:t xml:space="preserve"> Federal Communications Commission, Nationwide Number Portability, </w:t>
      </w:r>
      <w:r>
        <w:rPr>
          <w:i/>
        </w:rPr>
        <w:t>et al.</w:t>
      </w:r>
      <w:r>
        <w:t>, Report and Order, 83 Fed. Reg. 42045 (August 20,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0F5066"/>
    <w:multiLevelType w:val="hybridMultilevel"/>
    <w:tmpl w:val="4AE0DF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 Char,fn Char Char"/>
    <w:link w:val="FootnoteTextChar"/>
    <w:rsid w:val="000E3D42"/>
    <w:pPr>
      <w:spacing w:after="120"/>
    </w:pPr>
  </w:style>
  <w:style w:type="character" w:styleId="FootnoteReference">
    <w:name w:val="footnote reference"/>
    <w:aliases w:val="(NECG) Footnote Reference,Appel note de bas de p,Style 12,Style 124"/>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2 Char1 Char Char Char,f Char"/>
    <w:link w:val="FootnoteText"/>
    <w:rsid w:val="00207AA0"/>
  </w:style>
  <w:style w:type="paragraph" w:styleId="ListParagraph">
    <w:name w:val="List Paragraph"/>
    <w:basedOn w:val="Normal"/>
    <w:uiPriority w:val="34"/>
    <w:qFormat/>
    <w:rsid w:val="00207AA0"/>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