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</w:pPr>
      <w:r>
        <w:rPr>
          <w:caps w:val="0"/>
        </w:rPr>
        <w:t>Washington, D.C. 20554</w:t>
      </w:r>
    </w:p>
    <w:p w:rsidR="004C2EE3" w:rsidP="0070224F"/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C61C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1C61C8">
              <w:rPr>
                <w:spacing w:val="-2"/>
              </w:rPr>
              <w:t xml:space="preserve">GLR Southern California, LLC </w:t>
            </w:r>
          </w:p>
          <w:p w:rsidR="001C61C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540CD4">
              <w:rPr>
                <w:spacing w:val="-2"/>
              </w:rPr>
              <w:t xml:space="preserve">Application for a Section 325(c) Permit to Deliver Programs to Foreign Broadcast Stations </w:t>
            </w:r>
            <w:r w:rsidRPr="001C61C8" w:rsidR="00680440">
              <w:rPr>
                <w:spacing w:val="-2"/>
              </w:rPr>
              <w:t>for</w:t>
            </w:r>
            <w:r w:rsidRPr="001C61C8" w:rsidR="001C61C8">
              <w:rPr>
                <w:spacing w:val="-2"/>
              </w:rPr>
              <w:t xml:space="preserve"> Delivery of </w:t>
            </w:r>
            <w:r w:rsidR="00BB641F">
              <w:rPr>
                <w:spacing w:val="-2"/>
              </w:rPr>
              <w:t xml:space="preserve">Mandarin Chinese </w:t>
            </w:r>
            <w:r w:rsidRPr="001C61C8" w:rsidR="001C61C8">
              <w:rPr>
                <w:spacing w:val="-2"/>
              </w:rPr>
              <w:t xml:space="preserve">Programming to Mexican Station XEWW-AM, </w:t>
            </w:r>
            <w:r>
              <w:rPr>
                <w:spacing w:val="-2"/>
              </w:rPr>
              <w:t>Rosarita</w:t>
            </w:r>
            <w:r>
              <w:rPr>
                <w:spacing w:val="-2"/>
              </w:rPr>
              <w:t>,</w:t>
            </w:r>
            <w:r w:rsidRPr="001C61C8" w:rsidR="001C61C8">
              <w:rPr>
                <w:spacing w:val="-2"/>
              </w:rPr>
              <w:t xml:space="preserve"> Baja California Norte, Mexico</w:t>
            </w: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C61C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C61C8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1C61C8" w:rsidP="001C61C8"/>
          <w:p w:rsidR="001C61C8" w:rsidRPr="001C61C8" w:rsidP="001C61C8"/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1C61C8">
              <w:rPr>
                <w:spacing w:val="-2"/>
              </w:rPr>
              <w:t>File No. 325-NEW-20180614-00001</w:t>
            </w:r>
          </w:p>
        </w:tc>
      </w:tr>
    </w:tbl>
    <w:p w:rsidR="004C2EE3" w:rsidP="0070224F"/>
    <w:p w:rsidR="00841AB1" w:rsidP="00F021FA">
      <w:pPr>
        <w:pStyle w:val="StyleBoldCentered"/>
      </w:pPr>
      <w:r>
        <w:t>ORDER</w:t>
      </w: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2435DD">
        <w:rPr>
          <w:b/>
          <w:spacing w:val="-2"/>
        </w:rPr>
        <w:t>Aug</w:t>
      </w:r>
      <w:r w:rsidR="00964694">
        <w:rPr>
          <w:b/>
          <w:spacing w:val="-2"/>
        </w:rPr>
        <w:t>.</w:t>
      </w:r>
      <w:r w:rsidR="002435DD">
        <w:rPr>
          <w:b/>
          <w:spacing w:val="-2"/>
        </w:rPr>
        <w:t xml:space="preserve"> 22</w:t>
      </w:r>
      <w:r w:rsidR="001961BE">
        <w:rPr>
          <w:b/>
          <w:spacing w:val="-2"/>
        </w:rPr>
        <w:t>,</w:t>
      </w:r>
      <w:r w:rsidR="002435DD">
        <w:rPr>
          <w:b/>
          <w:spacing w:val="-2"/>
        </w:rPr>
        <w:t xml:space="preserve"> 2018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2435DD">
        <w:rPr>
          <w:b/>
          <w:spacing w:val="-2"/>
        </w:rPr>
        <w:t>Aug</w:t>
      </w:r>
      <w:r w:rsidR="00964694">
        <w:rPr>
          <w:b/>
          <w:spacing w:val="-2"/>
        </w:rPr>
        <w:t>.</w:t>
      </w:r>
      <w:r w:rsidR="002435DD">
        <w:rPr>
          <w:b/>
          <w:spacing w:val="-2"/>
        </w:rPr>
        <w:t xml:space="preserve"> 22</w:t>
      </w:r>
      <w:r w:rsidR="001961BE">
        <w:rPr>
          <w:b/>
          <w:spacing w:val="-2"/>
        </w:rPr>
        <w:t>,</w:t>
      </w:r>
      <w:r w:rsidR="002435DD">
        <w:rPr>
          <w:b/>
          <w:spacing w:val="-2"/>
        </w:rPr>
        <w:t xml:space="preserve"> 2018</w:t>
      </w:r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1C61C8">
        <w:rPr>
          <w:spacing w:val="-2"/>
        </w:rPr>
        <w:t>Chief, Global Strategies and Negotiations Division, International Bureau</w:t>
      </w:r>
      <w:r>
        <w:rPr>
          <w:spacing w:val="-2"/>
        </w:rPr>
        <w:t>:</w:t>
      </w:r>
    </w:p>
    <w:p w:rsidR="00822CE0">
      <w:pPr>
        <w:rPr>
          <w:spacing w:val="-2"/>
        </w:rPr>
      </w:pPr>
    </w:p>
    <w:p w:rsidR="001C61C8">
      <w:pPr>
        <w:rPr>
          <w:spacing w:val="-2"/>
        </w:rPr>
      </w:pPr>
    </w:p>
    <w:p w:rsidR="001C61C8" w:rsidP="001C61C8">
      <w:pPr>
        <w:pStyle w:val="ParaNum"/>
      </w:pPr>
      <w:r w:rsidRPr="001C61C8">
        <w:t xml:space="preserve">In this Order, </w:t>
      </w:r>
      <w:r w:rsidR="00E30C80">
        <w:t>we</w:t>
      </w:r>
      <w:r w:rsidRPr="001C61C8">
        <w:t xml:space="preserve"> grant </w:t>
      </w:r>
      <w:r w:rsidR="004E67B9">
        <w:t xml:space="preserve">the </w:t>
      </w:r>
      <w:r w:rsidRPr="00680440">
        <w:rPr>
          <w:i/>
        </w:rPr>
        <w:t xml:space="preserve">GLR Motion </w:t>
      </w:r>
      <w:r w:rsidR="0076577A">
        <w:t xml:space="preserve">requesting an extension </w:t>
      </w:r>
      <w:r w:rsidR="009D46D7">
        <w:t xml:space="preserve">of time </w:t>
      </w:r>
      <w:r w:rsidR="0076577A">
        <w:t xml:space="preserve">until August 29, 2018, to respond </w:t>
      </w:r>
      <w:r w:rsidRPr="001C61C8">
        <w:t>to the Petition to Deny GLR’s Application for a 325(c) Permit to Deliver Programs to Foreign Broadcast Stations filed by Chinese Sound of Oriental and West Heritage.</w:t>
      </w:r>
      <w:r>
        <w:rPr>
          <w:vertAlign w:val="superscript"/>
        </w:rPr>
        <w:footnoteReference w:id="3"/>
      </w:r>
      <w:r w:rsidRPr="001C61C8">
        <w:t xml:space="preserve"> </w:t>
      </w:r>
      <w:r w:rsidR="00540CD4">
        <w:t xml:space="preserve"> </w:t>
      </w:r>
      <w:r w:rsidRPr="001C61C8">
        <w:t xml:space="preserve">Based on the record before us, we find that good cause exists to grant </w:t>
      </w:r>
      <w:r w:rsidR="0076577A">
        <w:t>an</w:t>
      </w:r>
      <w:r w:rsidRPr="001C61C8">
        <w:t xml:space="preserve"> extension of time</w:t>
      </w:r>
      <w:r w:rsidR="009D46D7">
        <w:t xml:space="preserve"> </w:t>
      </w:r>
      <w:r w:rsidR="0076577A">
        <w:t>until August 29, 2018</w:t>
      </w:r>
      <w:r w:rsidRPr="001C61C8">
        <w:t xml:space="preserve"> for the applicant to </w:t>
      </w:r>
      <w:r w:rsidR="0076577A">
        <w:t xml:space="preserve">respond to </w:t>
      </w:r>
      <w:r w:rsidR="009D46D7">
        <w:t xml:space="preserve">the record </w:t>
      </w:r>
      <w:r w:rsidRPr="001C61C8">
        <w:t>in this proceeding.</w:t>
      </w:r>
    </w:p>
    <w:p w:rsidR="00964694" w:rsidP="00296C00">
      <w:pPr>
        <w:pStyle w:val="ParaNum"/>
      </w:pPr>
      <w:r>
        <w:t xml:space="preserve">On July 9, 2018, the Commission accepted GLR’s </w:t>
      </w:r>
      <w:r w:rsidRPr="00296C00">
        <w:t>Application for a 325(c) Permit to Deliver Programs to Foreign Broadcast Stations</w:t>
      </w:r>
      <w:r>
        <w:t xml:space="preserve"> for filing and placed the application on 30-day public notice for comment.</w:t>
      </w:r>
      <w:r>
        <w:rPr>
          <w:rStyle w:val="FootnoteReference"/>
        </w:rPr>
        <w:footnoteReference w:id="4"/>
      </w:r>
      <w:r>
        <w:t xml:space="preserve"> </w:t>
      </w:r>
      <w:r w:rsidR="00672F86">
        <w:t xml:space="preserve"> </w:t>
      </w:r>
      <w:r>
        <w:t>On August 8, 2018, Chinese Sound of Oriental and West Heritage filed a Petition to Deny the application.</w:t>
      </w:r>
      <w:r w:rsidRPr="00296C00">
        <w:t xml:space="preserve"> </w:t>
      </w:r>
      <w:r w:rsidR="00672F86">
        <w:t xml:space="preserve"> </w:t>
      </w:r>
      <w:r w:rsidRPr="001C61C8" w:rsidR="001C61C8">
        <w:t>The deadline to file an Opposition to the Petition to Deny</w:t>
      </w:r>
      <w:r w:rsidR="009D46D7">
        <w:t xml:space="preserve"> is August 22, 2018</w:t>
      </w:r>
      <w:r w:rsidRPr="001C61C8" w:rsidR="001C61C8">
        <w:t>.</w:t>
      </w:r>
      <w:r>
        <w:rPr>
          <w:vertAlign w:val="superscript"/>
        </w:rPr>
        <w:footnoteReference w:id="5"/>
      </w:r>
      <w:r w:rsidRPr="001C61C8" w:rsidR="001C61C8">
        <w:t xml:space="preserve"> </w:t>
      </w:r>
      <w:r w:rsidR="0076577A">
        <w:t xml:space="preserve"> </w:t>
      </w:r>
      <w:r w:rsidRPr="001C61C8" w:rsidR="001C61C8">
        <w:t xml:space="preserve">On August 17, 2018, </w:t>
      </w:r>
      <w:r w:rsidR="000F36D7">
        <w:t>GLR Southern California LLC (</w:t>
      </w:r>
      <w:r>
        <w:t>the Applicant</w:t>
      </w:r>
      <w:r w:rsidR="000F36D7">
        <w:t>)</w:t>
      </w:r>
      <w:r w:rsidRPr="001C61C8">
        <w:t xml:space="preserve"> </w:t>
      </w:r>
      <w:r w:rsidRPr="001C61C8" w:rsidR="001C61C8">
        <w:t xml:space="preserve">filed </w:t>
      </w:r>
      <w:r w:rsidR="000F36D7">
        <w:t>the</w:t>
      </w:r>
      <w:r w:rsidRPr="001C61C8" w:rsidR="000F36D7">
        <w:t xml:space="preserve"> </w:t>
      </w:r>
      <w:r w:rsidRPr="001961BE">
        <w:rPr>
          <w:i/>
        </w:rPr>
        <w:t xml:space="preserve">GLR </w:t>
      </w:r>
      <w:r w:rsidRPr="001961BE" w:rsidR="001C61C8">
        <w:rPr>
          <w:i/>
        </w:rPr>
        <w:t>Motion</w:t>
      </w:r>
      <w:r w:rsidRPr="001C61C8" w:rsidR="001C61C8">
        <w:t>, requesting a one-week extension of th</w:t>
      </w:r>
      <w:r w:rsidR="009D46D7">
        <w:t>is</w:t>
      </w:r>
      <w:r w:rsidRPr="001C61C8" w:rsidR="001C61C8">
        <w:t xml:space="preserve"> deadline.</w:t>
      </w:r>
      <w:r>
        <w:rPr>
          <w:rStyle w:val="FootnoteReference"/>
        </w:rPr>
        <w:footnoteReference w:id="6"/>
      </w:r>
      <w:r w:rsidR="009D46D7">
        <w:t xml:space="preserve"> </w:t>
      </w:r>
      <w:r w:rsidR="009D46D7">
        <w:t xml:space="preserve"> </w:t>
      </w:r>
    </w:p>
    <w:p w:rsidR="001C61C8" w:rsidP="00672F86">
      <w:pPr>
        <w:pStyle w:val="ParaNum"/>
        <w:keepNext/>
        <w:widowControl/>
      </w:pPr>
      <w:r w:rsidRPr="001C61C8">
        <w:t>Section 1.46 of the Commission’s rules provides that “[i]t is the policy of the Commission that extensions of time are not routinely granted.”</w:t>
      </w:r>
      <w:r>
        <w:rPr>
          <w:vertAlign w:val="superscript"/>
        </w:rPr>
        <w:footnoteReference w:id="7"/>
      </w:r>
      <w:r w:rsidRPr="001C61C8">
        <w:t xml:space="preserve"> </w:t>
      </w:r>
      <w:r w:rsidR="004D25F7">
        <w:t xml:space="preserve"> </w:t>
      </w:r>
      <w:r w:rsidRPr="001C61C8">
        <w:t>We find, however, that there is good cause to extend the due date for filing an Opposition in response to the Petition to Deny</w:t>
      </w:r>
      <w:r w:rsidRPr="004D25F7" w:rsidR="004D25F7">
        <w:rPr>
          <w:i/>
        </w:rPr>
        <w:t xml:space="preserve"> </w:t>
      </w:r>
      <w:r w:rsidR="004D25F7">
        <w:t xml:space="preserve">by </w:t>
      </w:r>
      <w:r w:rsidRPr="00680440" w:rsidR="004D25F7">
        <w:t>Chinese Sound of Oriental and West Heritage</w:t>
      </w:r>
      <w:r w:rsidR="004D25F7">
        <w:t xml:space="preserve"> (Petitioner)</w:t>
      </w:r>
      <w:r w:rsidRPr="001C61C8">
        <w:t xml:space="preserve">. </w:t>
      </w:r>
      <w:r w:rsidR="004D25F7">
        <w:t xml:space="preserve"> </w:t>
      </w:r>
      <w:r w:rsidRPr="003556F0" w:rsidR="00142891">
        <w:rPr>
          <w:sz w:val="24"/>
          <w:szCs w:val="24"/>
        </w:rPr>
        <w:t xml:space="preserve">Extending the </w:t>
      </w:r>
      <w:r w:rsidRPr="001C61C8">
        <w:t xml:space="preserve">deadline </w:t>
      </w:r>
      <w:r w:rsidR="004D25F7">
        <w:t>until August 2</w:t>
      </w:r>
      <w:r w:rsidR="00806425">
        <w:t>9</w:t>
      </w:r>
      <w:r w:rsidR="004D25F7">
        <w:t>, 2018</w:t>
      </w:r>
      <w:r w:rsidRPr="001C61C8">
        <w:t xml:space="preserve"> will ensure that the applicant has adequate time to review and respond to the issues and questions raised in the </w:t>
      </w:r>
      <w:r w:rsidR="004D25F7">
        <w:t>record</w:t>
      </w:r>
      <w:r w:rsidRPr="001C61C8">
        <w:t xml:space="preserve">. </w:t>
      </w:r>
      <w:r w:rsidR="004D25F7">
        <w:t xml:space="preserve"> </w:t>
      </w:r>
      <w:r w:rsidRPr="001C61C8">
        <w:t xml:space="preserve">Additionally, the Petitioner has </w:t>
      </w:r>
      <w:r w:rsidR="00142891">
        <w:t>been notified of the extension request</w:t>
      </w:r>
      <w:r w:rsidR="000F05F1">
        <w:t>,</w:t>
      </w:r>
      <w:r w:rsidR="00142891">
        <w:t xml:space="preserve"> </w:t>
      </w:r>
      <w:r w:rsidR="00E338F2">
        <w:t xml:space="preserve">and </w:t>
      </w:r>
      <w:r w:rsidR="000F36D7">
        <w:t xml:space="preserve">the </w:t>
      </w:r>
      <w:r w:rsidR="00964694">
        <w:t>Ap</w:t>
      </w:r>
      <w:r w:rsidR="000F36D7">
        <w:t>plicant</w:t>
      </w:r>
      <w:r w:rsidR="000F05F1">
        <w:t xml:space="preserve"> stated</w:t>
      </w:r>
      <w:r w:rsidR="00964694">
        <w:t xml:space="preserve"> that </w:t>
      </w:r>
      <w:r w:rsidR="000F05F1">
        <w:t xml:space="preserve">the </w:t>
      </w:r>
      <w:r w:rsidR="00964694">
        <w:t xml:space="preserve">Petitioner </w:t>
      </w:r>
      <w:r w:rsidR="00672F86">
        <w:t>would “interpose no objection to the grant of this extension.”</w:t>
      </w:r>
      <w:r>
        <w:rPr>
          <w:rStyle w:val="FootnoteReference"/>
        </w:rPr>
        <w:footnoteReference w:id="8"/>
      </w:r>
      <w:r w:rsidRPr="001C61C8">
        <w:t xml:space="preserve"> </w:t>
      </w:r>
      <w:r w:rsidR="00964694">
        <w:t xml:space="preserve"> </w:t>
      </w:r>
      <w:r w:rsidRPr="001C61C8">
        <w:t xml:space="preserve">We expect that this extension will result in a more robust record to inform </w:t>
      </w:r>
      <w:r w:rsidR="001961BE">
        <w:t>the</w:t>
      </w:r>
      <w:r w:rsidRPr="001C61C8" w:rsidR="001961BE">
        <w:t xml:space="preserve"> </w:t>
      </w:r>
      <w:r w:rsidRPr="001C61C8">
        <w:t>decision-making</w:t>
      </w:r>
      <w:r w:rsidR="000F36D7">
        <w:t xml:space="preserve"> process, serving the public interest</w:t>
      </w:r>
      <w:r w:rsidRPr="001C61C8">
        <w:t>.</w:t>
      </w:r>
    </w:p>
    <w:p w:rsidR="00142891" w:rsidP="00142891">
      <w:pPr>
        <w:pStyle w:val="ParaNum"/>
      </w:pPr>
      <w:r w:rsidRPr="001C61C8">
        <w:t>A</w:t>
      </w:r>
      <w:r w:rsidR="009D46D7">
        <w:t>ccordingly</w:t>
      </w:r>
      <w:r w:rsidRPr="001C61C8">
        <w:t xml:space="preserve">, IT IS ORDERED, pursuant to sections 4(i), 4(j), and 5(c) of the Communications Act, as amended, 47 U.S.C. §§ 154(i), 154(j), and 155(c), and sections 0.261, 1.45, </w:t>
      </w:r>
      <w:r w:rsidR="00680440">
        <w:t xml:space="preserve">and </w:t>
      </w:r>
      <w:r w:rsidRPr="001C61C8">
        <w:t xml:space="preserve">1.46 of the Commission’s rules, 47 CFR §§ 0.261, 1.45, </w:t>
      </w:r>
      <w:r w:rsidR="00680440">
        <w:t xml:space="preserve">and </w:t>
      </w:r>
      <w:r w:rsidRPr="001C61C8">
        <w:t>1.46, that GLR’s Motion for Extension of Time filed on August 17, 2018 IS GRANTED, and the deadline for filing the Opposition is extended until August 29, 2018.</w:t>
      </w:r>
    </w:p>
    <w:p w:rsidR="00142891" w:rsidP="004E67B9">
      <w:pPr>
        <w:pStyle w:val="ParaNum"/>
        <w:numPr>
          <w:ilvl w:val="0"/>
          <w:numId w:val="0"/>
        </w:numPr>
        <w:ind w:firstLine="720"/>
      </w:pPr>
    </w:p>
    <w:p w:rsidR="00672F86" w:rsidP="00672F86">
      <w:pPr>
        <w:pStyle w:val="ParaNum"/>
        <w:numPr>
          <w:ilvl w:val="0"/>
          <w:numId w:val="0"/>
        </w:numPr>
        <w:spacing w:after="0"/>
        <w:ind w:left="3600" w:firstLine="720"/>
      </w:pPr>
      <w:r>
        <w:t>FEDER</w:t>
      </w:r>
      <w:r>
        <w:t xml:space="preserve">AL COMMUNICATIONS COMMISSION </w:t>
      </w:r>
    </w:p>
    <w:p w:rsidR="00672F86" w:rsidP="00672F86">
      <w:pPr>
        <w:pStyle w:val="ParaNum"/>
        <w:numPr>
          <w:ilvl w:val="0"/>
          <w:numId w:val="0"/>
        </w:numPr>
        <w:spacing w:after="0"/>
        <w:ind w:left="4320"/>
      </w:pPr>
    </w:p>
    <w:p w:rsidR="00672F86" w:rsidP="00672F86">
      <w:pPr>
        <w:pStyle w:val="ParaNum"/>
        <w:numPr>
          <w:ilvl w:val="0"/>
          <w:numId w:val="0"/>
        </w:numPr>
        <w:spacing w:after="0"/>
        <w:ind w:left="4320"/>
      </w:pPr>
    </w:p>
    <w:p w:rsidR="00672F86" w:rsidP="00672F86">
      <w:pPr>
        <w:pStyle w:val="ParaNum"/>
        <w:numPr>
          <w:ilvl w:val="0"/>
          <w:numId w:val="0"/>
        </w:numPr>
        <w:spacing w:after="0"/>
        <w:ind w:left="4320"/>
      </w:pPr>
    </w:p>
    <w:p w:rsidR="00672F86" w:rsidP="00672F86">
      <w:pPr>
        <w:pStyle w:val="ParaNum"/>
        <w:numPr>
          <w:ilvl w:val="0"/>
          <w:numId w:val="0"/>
        </w:numPr>
        <w:spacing w:after="0"/>
        <w:ind w:left="4320"/>
      </w:pPr>
    </w:p>
    <w:p w:rsidR="00672F86" w:rsidP="00672F86">
      <w:pPr>
        <w:pStyle w:val="ParaNum"/>
        <w:numPr>
          <w:ilvl w:val="0"/>
          <w:numId w:val="0"/>
        </w:numPr>
        <w:spacing w:after="0"/>
        <w:ind w:left="4320"/>
      </w:pPr>
      <w:r>
        <w:t>Olga Madruga-Forti</w:t>
      </w:r>
    </w:p>
    <w:p w:rsidR="00672F86" w:rsidP="00672F86">
      <w:pPr>
        <w:pStyle w:val="ParaNum"/>
        <w:numPr>
          <w:ilvl w:val="0"/>
          <w:numId w:val="0"/>
        </w:numPr>
        <w:spacing w:after="0"/>
        <w:ind w:left="3600" w:firstLine="720"/>
      </w:pPr>
      <w:r>
        <w:t>Chief</w:t>
      </w:r>
      <w:r>
        <w:t xml:space="preserve">, </w:t>
      </w:r>
      <w:r>
        <w:t>Global Str</w:t>
      </w:r>
      <w:r>
        <w:t xml:space="preserve">ategies &amp; Negotiations Division, </w:t>
      </w:r>
    </w:p>
    <w:p w:rsidR="00142891" w:rsidRPr="001C61C8" w:rsidP="00672F86">
      <w:pPr>
        <w:pStyle w:val="ParaNum"/>
        <w:numPr>
          <w:ilvl w:val="0"/>
          <w:numId w:val="0"/>
        </w:numPr>
        <w:spacing w:after="0"/>
        <w:ind w:left="3600" w:firstLine="720"/>
      </w:pPr>
      <w:r>
        <w:t>International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C61C8">
      <w:r>
        <w:separator/>
      </w:r>
    </w:p>
  </w:footnote>
  <w:footnote w:type="continuationSeparator" w:id="1">
    <w:p w:rsidR="001C61C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C61C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C61C8" w:rsidRPr="00D34EBD" w:rsidP="001C61C8">
      <w:pPr>
        <w:pStyle w:val="FootnoteText"/>
      </w:pPr>
      <w:r w:rsidRPr="00D34EBD">
        <w:rPr>
          <w:rStyle w:val="FootnoteReference"/>
        </w:rPr>
        <w:footnoteRef/>
      </w:r>
      <w:r>
        <w:t xml:space="preserve"> </w:t>
      </w:r>
      <w:r w:rsidR="003C198F">
        <w:rPr>
          <w:i/>
        </w:rPr>
        <w:t xml:space="preserve">See </w:t>
      </w:r>
      <w:bookmarkStart w:id="1" w:name="_Hlk522635644"/>
      <w:bookmarkStart w:id="2" w:name="_Hlk522635544"/>
      <w:r w:rsidRPr="00964694" w:rsidR="003C198F">
        <w:t xml:space="preserve">GLR Southern California LLC </w:t>
      </w:r>
      <w:bookmarkEnd w:id="1"/>
      <w:r w:rsidRPr="00964694" w:rsidR="003C198F">
        <w:t xml:space="preserve">Application for Transfer of Control from GLR Services Inc. to H&amp;H Group USA, LLC for Delivery of Programming to Mexican Station XEWW_AM, </w:t>
      </w:r>
      <w:r w:rsidRPr="00964694" w:rsidR="003C198F">
        <w:t>Rosarita</w:t>
      </w:r>
      <w:r w:rsidRPr="00964694" w:rsidR="003C198F">
        <w:t>, Baja California Norte, Mexico</w:t>
      </w:r>
      <w:r w:rsidR="003C198F">
        <w:rPr>
          <w:i/>
        </w:rPr>
        <w:t xml:space="preserve">, </w:t>
      </w:r>
      <w:r w:rsidR="003C198F">
        <w:t>Motion for Extension of Time</w:t>
      </w:r>
      <w:r w:rsidR="0076577A">
        <w:t xml:space="preserve"> filed by </w:t>
      </w:r>
      <w:r w:rsidRPr="00680440" w:rsidR="0076577A">
        <w:t>GLR Southern California LLC</w:t>
      </w:r>
      <w:r w:rsidR="003C198F">
        <w:t xml:space="preserve">, </w:t>
      </w:r>
      <w:r w:rsidRPr="003C198F" w:rsidR="003C198F">
        <w:t>File No. 325-NEW-20180614-00001</w:t>
      </w:r>
      <w:r w:rsidR="003C198F">
        <w:t xml:space="preserve"> </w:t>
      </w:r>
      <w:bookmarkEnd w:id="2"/>
      <w:r w:rsidR="003C198F">
        <w:t>(</w:t>
      </w:r>
      <w:r w:rsidR="00142891">
        <w:t xml:space="preserve">filed </w:t>
      </w:r>
      <w:r w:rsidRPr="00D34EBD" w:rsidR="003C198F">
        <w:t>Aug. 17, 2018)</w:t>
      </w:r>
      <w:r w:rsidR="001961BE">
        <w:t xml:space="preserve"> </w:t>
      </w:r>
      <w:r w:rsidR="0076577A">
        <w:t>(</w:t>
      </w:r>
      <w:r w:rsidRPr="00680440" w:rsidR="0076577A">
        <w:rPr>
          <w:i/>
        </w:rPr>
        <w:t>GLR Motion</w:t>
      </w:r>
      <w:r w:rsidR="0076577A">
        <w:t>)</w:t>
      </w:r>
      <w:r w:rsidR="003C198F">
        <w:t xml:space="preserve">.  </w:t>
      </w:r>
      <w:r w:rsidR="003C198F">
        <w:rPr>
          <w:i/>
        </w:rPr>
        <w:t xml:space="preserve">See </w:t>
      </w:r>
      <w:r w:rsidRPr="00964694" w:rsidR="003C198F">
        <w:t xml:space="preserve">also </w:t>
      </w:r>
      <w:r w:rsidRPr="00964694" w:rsidR="0076577A">
        <w:t xml:space="preserve">GLR Southern California LLC Application for Transfer of Control from GLR Services Inc. to H&amp;H Group USA, LLC for Delivery of Programming to Mexican Station XEWW_AM, </w:t>
      </w:r>
      <w:r w:rsidRPr="00964694" w:rsidR="0076577A">
        <w:t>Rosarita</w:t>
      </w:r>
      <w:r w:rsidRPr="00964694" w:rsidR="0076577A">
        <w:t>, Baja California Norte, Mexico</w:t>
      </w:r>
      <w:r w:rsidRPr="0076577A" w:rsidR="0076577A">
        <w:rPr>
          <w:i/>
        </w:rPr>
        <w:t xml:space="preserve">, </w:t>
      </w:r>
      <w:r w:rsidRPr="00D34EBD">
        <w:t xml:space="preserve">Petition to Deny </w:t>
      </w:r>
      <w:r w:rsidR="0076577A">
        <w:t>filed by</w:t>
      </w:r>
      <w:r w:rsidRPr="00D34EBD" w:rsidR="0076577A">
        <w:t xml:space="preserve"> </w:t>
      </w:r>
      <w:bookmarkStart w:id="3" w:name="_Hlk522635734"/>
      <w:r w:rsidRPr="00D34EBD">
        <w:t>Chinese Sound of Oriental and West Heritage</w:t>
      </w:r>
      <w:bookmarkEnd w:id="3"/>
      <w:r w:rsidR="0076577A">
        <w:t>,</w:t>
      </w:r>
      <w:r w:rsidRPr="00D34EBD">
        <w:t xml:space="preserve"> </w:t>
      </w:r>
      <w:r w:rsidRPr="00B35A15" w:rsidR="0076577A">
        <w:t>File No. 325-NEW-20180614-00001,</w:t>
      </w:r>
      <w:r w:rsidR="0076577A">
        <w:rPr>
          <w:i/>
        </w:rPr>
        <w:t xml:space="preserve"> </w:t>
      </w:r>
      <w:r w:rsidRPr="00D34EBD">
        <w:t>(</w:t>
      </w:r>
      <w:r w:rsidR="00AC4EBE">
        <w:t xml:space="preserve">filed </w:t>
      </w:r>
      <w:r w:rsidRPr="00D34EBD">
        <w:t>Aug. 8, 2018)</w:t>
      </w:r>
      <w:r w:rsidR="00AC4EBE">
        <w:t xml:space="preserve">, </w:t>
      </w:r>
      <w:r w:rsidRPr="00AC4EBE" w:rsidR="00AC4EBE">
        <w:t>https://licensing.fcc.gov/myibfs/download.do?attachment_key=1487042</w:t>
      </w:r>
      <w:r w:rsidR="0076577A">
        <w:t xml:space="preserve"> (</w:t>
      </w:r>
      <w:r w:rsidRPr="00680440" w:rsidR="0076577A">
        <w:rPr>
          <w:i/>
        </w:rPr>
        <w:t>Chinese Sound of Oriental and West Heritage Petition to Deny</w:t>
      </w:r>
      <w:r w:rsidR="0076577A">
        <w:t>)</w:t>
      </w:r>
      <w:r w:rsidRPr="00D34EBD">
        <w:t xml:space="preserve">. </w:t>
      </w:r>
    </w:p>
  </w:footnote>
  <w:footnote w:id="4">
    <w:p w:rsidR="00296C00" w:rsidRPr="00296C00" w:rsidP="00296C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4694">
        <w:rPr>
          <w:i/>
        </w:rPr>
        <w:t xml:space="preserve">Permit </w:t>
      </w:r>
      <w:r w:rsidRPr="00964694">
        <w:rPr>
          <w:i/>
        </w:rPr>
        <w:t>To</w:t>
      </w:r>
      <w:r w:rsidRPr="00964694">
        <w:rPr>
          <w:i/>
        </w:rPr>
        <w:t xml:space="preserve"> Deliver Programs to Foreign Broadcast Stations RE: Applications Accepted for Filing</w:t>
      </w:r>
      <w:r>
        <w:t xml:space="preserve">, Public Notice, Report No. 325-00213 (IB </w:t>
      </w:r>
      <w:r w:rsidR="00AC4EBE">
        <w:t>2018).</w:t>
      </w:r>
    </w:p>
  </w:footnote>
  <w:footnote w:id="5">
    <w:p w:rsidR="001C61C8" w:rsidRPr="00D34EBD" w:rsidP="001C61C8">
      <w:pPr>
        <w:pStyle w:val="FootnoteText"/>
      </w:pPr>
      <w:r w:rsidRPr="00D34EBD">
        <w:rPr>
          <w:rStyle w:val="FootnoteReference"/>
        </w:rPr>
        <w:footnoteRef/>
      </w:r>
      <w:r>
        <w:t xml:space="preserve"> 47 C.F.R.</w:t>
      </w:r>
      <w:r w:rsidRPr="00D34EBD">
        <w:t xml:space="preserve"> §</w:t>
      </w:r>
      <w:r>
        <w:t xml:space="preserve"> </w:t>
      </w:r>
      <w:r w:rsidRPr="00D34EBD">
        <w:t>1.4</w:t>
      </w:r>
      <w:r>
        <w:t>.</w:t>
      </w:r>
    </w:p>
  </w:footnote>
  <w:footnote w:id="6">
    <w:p w:rsidR="00964694" w:rsidRPr="001961B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GLR Motion</w:t>
      </w:r>
      <w:r w:rsidR="000F36D7">
        <w:rPr>
          <w:i/>
        </w:rPr>
        <w:t xml:space="preserve"> </w:t>
      </w:r>
      <w:r w:rsidRPr="00672F86" w:rsidR="000F36D7">
        <w:t>at 1-2</w:t>
      </w:r>
      <w:r>
        <w:rPr>
          <w:i/>
        </w:rPr>
        <w:t>.</w:t>
      </w:r>
    </w:p>
  </w:footnote>
  <w:footnote w:id="7">
    <w:p w:rsidR="001C61C8" w:rsidRPr="00D34EBD" w:rsidP="001C61C8">
      <w:pPr>
        <w:pStyle w:val="FootnoteText"/>
      </w:pPr>
      <w:r w:rsidRPr="00D34EBD">
        <w:rPr>
          <w:rStyle w:val="FootnoteReference"/>
        </w:rPr>
        <w:footnoteRef/>
      </w:r>
      <w:r w:rsidRPr="00D34EBD">
        <w:t xml:space="preserve"> 47 </w:t>
      </w:r>
      <w:r>
        <w:t>C.F.R.</w:t>
      </w:r>
      <w:r w:rsidRPr="00D34EBD">
        <w:t xml:space="preserve"> §</w:t>
      </w:r>
      <w:r>
        <w:t xml:space="preserve"> </w:t>
      </w:r>
      <w:r w:rsidRPr="00D34EBD">
        <w:t>1.46.</w:t>
      </w:r>
    </w:p>
  </w:footnote>
  <w:footnote w:id="8">
    <w:p w:rsidR="00964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61BE">
        <w:rPr>
          <w:i/>
        </w:rPr>
        <w:t>GLR Motion</w:t>
      </w:r>
      <w:r>
        <w:t xml:space="preserve"> at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7E11" w:rsidRPr="00407E11" w:rsidP="00810B6F">
    <w:pPr>
      <w:pStyle w:val="Header"/>
    </w:pPr>
    <w:r>
      <w:tab/>
      <w:t>Federal Communications Commission</w:t>
    </w:r>
    <w:r>
      <w:tab/>
    </w:r>
    <w:r w:rsidR="002435DD">
      <w:t>DA</w:t>
    </w:r>
    <w:r>
      <w:t xml:space="preserve"> 18-872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2435DD">
      <w:rPr>
        <w:spacing w:val="-2"/>
      </w:rPr>
      <w:t>DA</w:t>
    </w:r>
    <w:r w:rsidR="00407E11">
      <w:rPr>
        <w:spacing w:val="-2"/>
      </w:rPr>
      <w:t xml:space="preserve"> 18-872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540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C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0CD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40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CD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540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0CD4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9D46D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