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William F. Crowell</w:t>
            </w:r>
          </w:p>
          <w:p w:rsidR="00721EEA" w:rsidP="007115F7">
            <w:pPr>
              <w:tabs>
                <w:tab w:val="center" w:pos="4680"/>
              </w:tabs>
              <w:suppressAutoHyphens/>
              <w:rPr>
                <w:spacing w:val="-2"/>
              </w:rPr>
            </w:pPr>
          </w:p>
          <w:p w:rsidR="00721EEA" w:rsidRPr="007115F7" w:rsidP="007115F7">
            <w:pPr>
              <w:tabs>
                <w:tab w:val="center" w:pos="4680"/>
              </w:tabs>
              <w:suppressAutoHyphens/>
              <w:rPr>
                <w:spacing w:val="-2"/>
              </w:rPr>
            </w:pPr>
            <w:r>
              <w:rPr>
                <w:spacing w:val="-2"/>
              </w:rPr>
              <w:t>Application to Renew License for Amateur Radio Service Station W6WBJ</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WT Docket No. 08-20</w:t>
            </w:r>
          </w:p>
          <w:p w:rsidR="00721EEA">
            <w:pPr>
              <w:tabs>
                <w:tab w:val="center" w:pos="4680"/>
              </w:tabs>
              <w:suppressAutoHyphens/>
              <w:rPr>
                <w:spacing w:val="-2"/>
              </w:rPr>
            </w:pPr>
          </w:p>
          <w:p w:rsidR="00721EEA">
            <w:pPr>
              <w:tabs>
                <w:tab w:val="center" w:pos="4680"/>
              </w:tabs>
              <w:suppressAutoHyphens/>
              <w:rPr>
                <w:spacing w:val="-2"/>
              </w:rPr>
            </w:pPr>
            <w:r>
              <w:rPr>
                <w:spacing w:val="-2"/>
              </w:rPr>
              <w:t>FCC File No. 0002928684</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721EEA">
        <w:rPr>
          <w:b/>
          <w:spacing w:val="-2"/>
        </w:rPr>
        <w:t>August</w:t>
      </w:r>
      <w:r w:rsidR="00CC6368">
        <w:rPr>
          <w:b/>
          <w:spacing w:val="-2"/>
        </w:rPr>
        <w:t xml:space="preserve"> 24, 2018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21EEA">
        <w:rPr>
          <w:b/>
          <w:spacing w:val="-2"/>
        </w:rPr>
        <w:t>August</w:t>
      </w:r>
      <w:r w:rsidR="00CC6368">
        <w:rPr>
          <w:b/>
          <w:spacing w:val="-2"/>
        </w:rPr>
        <w:t xml:space="preserve"> 24, 2018</w:t>
      </w:r>
    </w:p>
    <w:p w:rsidR="00822CE0"/>
    <w:p w:rsidR="004C2EE3">
      <w:pPr>
        <w:rPr>
          <w:spacing w:val="-2"/>
        </w:rPr>
      </w:pPr>
      <w:r>
        <w:t xml:space="preserve">By </w:t>
      </w:r>
      <w:r w:rsidR="004E4A22">
        <w:t>the</w:t>
      </w:r>
      <w:r w:rsidR="002A2D2E">
        <w:t xml:space="preserve"> </w:t>
      </w:r>
      <w:r w:rsidR="00D35166">
        <w:t xml:space="preserve">Associate </w:t>
      </w:r>
      <w:r w:rsidR="00721EEA">
        <w:t>General Counsel:</w:t>
      </w:r>
    </w:p>
    <w:p w:rsidR="00822CE0">
      <w:pPr>
        <w:rPr>
          <w:spacing w:val="-2"/>
        </w:rPr>
      </w:pPr>
    </w:p>
    <w:p w:rsidR="007A1AC8" w:rsidP="00CB4A2A">
      <w:pPr>
        <w:pStyle w:val="ParaNum"/>
        <w:tabs>
          <w:tab w:val="clear" w:pos="1080"/>
          <w:tab w:val="num" w:pos="1440"/>
        </w:tabs>
      </w:pPr>
      <w:r>
        <w:t xml:space="preserve">By </w:t>
      </w:r>
      <w:r w:rsidR="00D22174">
        <w:t xml:space="preserve">this </w:t>
      </w:r>
      <w:r>
        <w:t xml:space="preserve">order, we deny the “Request for permission to file Petition for Review </w:t>
      </w:r>
      <w:r>
        <w:t>in excess of</w:t>
      </w:r>
      <w:r>
        <w:t xml:space="preserve"> the length prescribed by the provisions of 47 CFR Chapter I [47 CFR Sec. 1.48(b)],” filed July 30, 2018, by William F. Crowell (Crowell).  We </w:t>
      </w:r>
      <w:r w:rsidRPr="00CB4A2A">
        <w:rPr>
          <w:szCs w:val="22"/>
        </w:rPr>
        <w:t>find</w:t>
      </w:r>
      <w:r>
        <w:t xml:space="preserve"> that Crowell has not shown good cause for exceeding the prescribed page limit.</w:t>
      </w:r>
    </w:p>
    <w:p w:rsidR="007A1AC8" w:rsidP="007A1AC8">
      <w:pPr>
        <w:rPr>
          <w:szCs w:val="22"/>
        </w:rPr>
      </w:pPr>
    </w:p>
    <w:p w:rsidR="007A1AC8" w:rsidP="007A1AC8">
      <w:pPr>
        <w:pStyle w:val="ParaNum"/>
        <w:tabs>
          <w:tab w:val="clear" w:pos="1080"/>
          <w:tab w:val="num" w:pos="1440"/>
        </w:tabs>
        <w:rPr>
          <w:szCs w:val="22"/>
        </w:rPr>
      </w:pPr>
      <w:r>
        <w:rPr>
          <w:szCs w:val="22"/>
        </w:rPr>
        <w:t>Crowell’s request indicates that he intends to appeal the order by Chief Administrative Law Judge (ALJ) Richard L. Sippel dismissing his renewal application for amateur radio license W6WBJ and terminating the above-referenced proceeding.</w:t>
      </w:r>
      <w:r>
        <w:rPr>
          <w:rStyle w:val="FootnoteReference"/>
          <w:sz w:val="22"/>
          <w:szCs w:val="22"/>
        </w:rPr>
        <w:footnoteReference w:id="3"/>
      </w:r>
      <w:r>
        <w:rPr>
          <w:szCs w:val="22"/>
        </w:rPr>
        <w:t xml:space="preserve">  Under the Commission’s rules, appeals of an ALJ’s dismissal order are limited </w:t>
      </w:r>
      <w:r w:rsidRPr="007A1AC8">
        <w:t>to</w:t>
      </w:r>
      <w:r>
        <w:rPr>
          <w:szCs w:val="22"/>
        </w:rPr>
        <w:t xml:space="preserve"> 25 pages.</w:t>
      </w:r>
      <w:r>
        <w:rPr>
          <w:rStyle w:val="FootnoteReference"/>
          <w:sz w:val="22"/>
          <w:szCs w:val="22"/>
        </w:rPr>
        <w:footnoteReference w:id="4"/>
      </w:r>
      <w:r>
        <w:rPr>
          <w:szCs w:val="22"/>
        </w:rPr>
        <w:t xml:space="preserve">  Crowell asserts that his appeal “involves approximately 16 important issues of Constitutional, statutory and regulatory interpretation applicable to the amateur radio service, which have never been decided by the Commission or by the courts.”</w:t>
      </w:r>
      <w:r>
        <w:rPr>
          <w:rStyle w:val="FootnoteReference"/>
          <w:sz w:val="22"/>
          <w:szCs w:val="22"/>
        </w:rPr>
        <w:footnoteReference w:id="5"/>
      </w:r>
      <w:r>
        <w:rPr>
          <w:szCs w:val="22"/>
        </w:rPr>
        <w:t xml:space="preserve">  </w:t>
      </w:r>
      <w:r w:rsidR="00721EEA">
        <w:rPr>
          <w:szCs w:val="22"/>
        </w:rPr>
        <w:t xml:space="preserve">He </w:t>
      </w:r>
      <w:r>
        <w:rPr>
          <w:szCs w:val="22"/>
        </w:rPr>
        <w:t>contend</w:t>
      </w:r>
      <w:r w:rsidR="00721EEA">
        <w:rPr>
          <w:szCs w:val="22"/>
        </w:rPr>
        <w:t>s</w:t>
      </w:r>
      <w:r>
        <w:rPr>
          <w:szCs w:val="22"/>
        </w:rPr>
        <w:t xml:space="preserve"> that 25 pages </w:t>
      </w:r>
      <w:r w:rsidR="007E0E22">
        <w:rPr>
          <w:szCs w:val="22"/>
        </w:rPr>
        <w:t>are</w:t>
      </w:r>
      <w:r>
        <w:rPr>
          <w:szCs w:val="22"/>
        </w:rPr>
        <w:t xml:space="preserve"> insufficient to discuss all of these issues and reques</w:t>
      </w:r>
      <w:r w:rsidR="00B03271">
        <w:rPr>
          <w:szCs w:val="22"/>
        </w:rPr>
        <w:t>ts</w:t>
      </w:r>
      <w:r>
        <w:rPr>
          <w:szCs w:val="22"/>
        </w:rPr>
        <w:t xml:space="preserve"> permission to file a 35-page appeal.</w:t>
      </w:r>
    </w:p>
    <w:p w:rsidR="007A1AC8" w:rsidP="007A1AC8">
      <w:pPr>
        <w:rPr>
          <w:szCs w:val="22"/>
        </w:rPr>
      </w:pPr>
    </w:p>
    <w:p w:rsidR="007A1AC8" w:rsidP="007A1AC8">
      <w:pPr>
        <w:pStyle w:val="ParaNum"/>
        <w:tabs>
          <w:tab w:val="clear" w:pos="1080"/>
          <w:tab w:val="num" w:pos="1440"/>
        </w:tabs>
        <w:rPr>
          <w:szCs w:val="22"/>
        </w:rPr>
      </w:pPr>
      <w:r>
        <w:rPr>
          <w:szCs w:val="22"/>
        </w:rPr>
        <w:t>Under the Commission’s rules, requests to exceed prescribed page limits are not routinely granted.</w:t>
      </w:r>
      <w:r>
        <w:rPr>
          <w:rStyle w:val="FootnoteReference"/>
          <w:sz w:val="22"/>
          <w:szCs w:val="22"/>
        </w:rPr>
        <w:footnoteReference w:id="6"/>
      </w:r>
      <w:r>
        <w:rPr>
          <w:szCs w:val="22"/>
        </w:rPr>
        <w:t xml:space="preserve">  Our examination of the ALJ’s brief, six-page order, which </w:t>
      </w:r>
      <w:r w:rsidR="00721EEA">
        <w:rPr>
          <w:szCs w:val="22"/>
        </w:rPr>
        <w:t>Crowell seeks t</w:t>
      </w:r>
      <w:r>
        <w:rPr>
          <w:szCs w:val="22"/>
        </w:rPr>
        <w:t xml:space="preserve">o appeal, does not suggest that the issues involved here are unusually complex.   </w:t>
      </w:r>
      <w:r w:rsidR="00721EEA">
        <w:rPr>
          <w:szCs w:val="22"/>
        </w:rPr>
        <w:t xml:space="preserve">His </w:t>
      </w:r>
      <w:r>
        <w:rPr>
          <w:szCs w:val="22"/>
        </w:rPr>
        <w:t>conclusory assertions to the contrary do not persuade us otherwise.  We therefore</w:t>
      </w:r>
      <w:r w:rsidR="00B03271">
        <w:rPr>
          <w:szCs w:val="22"/>
        </w:rPr>
        <w:t xml:space="preserve"> </w:t>
      </w:r>
      <w:r>
        <w:rPr>
          <w:szCs w:val="22"/>
        </w:rPr>
        <w:t xml:space="preserve">deny </w:t>
      </w:r>
      <w:r w:rsidR="00721EEA">
        <w:rPr>
          <w:szCs w:val="22"/>
        </w:rPr>
        <w:t xml:space="preserve">the </w:t>
      </w:r>
      <w:r>
        <w:rPr>
          <w:szCs w:val="22"/>
        </w:rPr>
        <w:t>request.</w:t>
      </w:r>
    </w:p>
    <w:p w:rsidR="00B03271" w:rsidP="00B03271">
      <w:pPr>
        <w:pStyle w:val="ListParagraph"/>
        <w:rPr>
          <w:szCs w:val="22"/>
        </w:rPr>
      </w:pPr>
    </w:p>
    <w:p w:rsidR="00B03271" w:rsidP="007A1AC8">
      <w:pPr>
        <w:pStyle w:val="ParaNum"/>
        <w:tabs>
          <w:tab w:val="clear" w:pos="1080"/>
          <w:tab w:val="num" w:pos="1440"/>
        </w:tabs>
        <w:rPr>
          <w:szCs w:val="22"/>
        </w:rPr>
      </w:pPr>
      <w:r>
        <w:rPr>
          <w:szCs w:val="22"/>
        </w:rPr>
        <w:t xml:space="preserve">ACCORDINGLY, IT IS ORDERED </w:t>
      </w:r>
      <w:r w:rsidR="00CB4A2A">
        <w:rPr>
          <w:szCs w:val="22"/>
        </w:rPr>
        <w:t>t</w:t>
      </w:r>
      <w:r>
        <w:rPr>
          <w:szCs w:val="22"/>
        </w:rPr>
        <w:t>hat</w:t>
      </w:r>
      <w:r w:rsidR="005054AA">
        <w:rPr>
          <w:szCs w:val="22"/>
        </w:rPr>
        <w:t xml:space="preserve">, pursuant to the authority delegated under 47 CFR § 0.251(c), </w:t>
      </w:r>
      <w:r>
        <w:rPr>
          <w:szCs w:val="22"/>
        </w:rPr>
        <w:t xml:space="preserve">the </w:t>
      </w:r>
      <w:r w:rsidR="00CB4A2A">
        <w:rPr>
          <w:szCs w:val="22"/>
        </w:rPr>
        <w:t>“</w:t>
      </w:r>
      <w:r>
        <w:t xml:space="preserve">Request for permission to file Petition for Review in excess of the length prescribed by the provisions of 47 CFR Chapter I [47 CFR Sec. 1.48(b)],” filed July 30, 2018, by William F. Crowell, IS DENIED.   </w:t>
      </w:r>
    </w:p>
    <w:p w:rsidR="00721EEA" w:rsidP="00721EEA">
      <w:pPr>
        <w:pStyle w:val="ListParagraph"/>
        <w:rPr>
          <w:szCs w:val="22"/>
        </w:rPr>
      </w:pPr>
    </w:p>
    <w:p w:rsidR="00721EEA" w:rsidP="0017296B">
      <w:r>
        <w:tab/>
      </w:r>
      <w:r>
        <w:tab/>
      </w:r>
      <w:r>
        <w:tab/>
      </w:r>
      <w:r>
        <w:tab/>
      </w:r>
      <w:r>
        <w:tab/>
      </w:r>
      <w:r>
        <w:tab/>
        <w:t>FEDERAL COMMUNICATIONS COMMISSION</w:t>
      </w:r>
    </w:p>
    <w:p w:rsidR="00721EEA" w:rsidP="0017296B"/>
    <w:p w:rsidR="00721EEA" w:rsidP="0017296B"/>
    <w:p w:rsidR="00721EEA" w:rsidP="0017296B"/>
    <w:p w:rsidR="00721EEA" w:rsidP="0017296B"/>
    <w:p w:rsidR="00721EEA" w:rsidP="0017296B">
      <w:r>
        <w:tab/>
      </w:r>
      <w:r>
        <w:tab/>
      </w:r>
      <w:r>
        <w:tab/>
      </w:r>
      <w:r>
        <w:tab/>
      </w:r>
      <w:r>
        <w:tab/>
      </w:r>
      <w:r>
        <w:tab/>
      </w:r>
      <w:r w:rsidR="000A36C2">
        <w:t>Linda L. Oliver</w:t>
      </w:r>
      <w:bookmarkStart w:id="0" w:name="_GoBack"/>
      <w:bookmarkEnd w:id="0"/>
    </w:p>
    <w:p w:rsidR="00721EEA" w:rsidP="0017296B">
      <w:r>
        <w:tab/>
      </w:r>
      <w:r>
        <w:tab/>
      </w:r>
      <w:r>
        <w:tab/>
      </w:r>
      <w:r>
        <w:tab/>
      </w:r>
      <w:r>
        <w:tab/>
      </w:r>
      <w:r>
        <w:tab/>
      </w:r>
      <w:r w:rsidR="000A36C2">
        <w:t>Associate General C</w:t>
      </w:r>
      <w:r>
        <w:t>ounsel</w:t>
      </w:r>
    </w:p>
    <w:p w:rsidR="000A36C2" w:rsidP="0017296B">
      <w:r>
        <w:tab/>
      </w:r>
      <w:r>
        <w:tab/>
      </w:r>
      <w:r>
        <w:tab/>
      </w:r>
      <w:r>
        <w:tab/>
      </w:r>
      <w:r>
        <w:tab/>
      </w:r>
      <w:r>
        <w:tab/>
        <w:t>Chief, Administrative Law Division</w:t>
      </w:r>
    </w:p>
    <w:p w:rsidR="000A36C2" w:rsidP="0017296B">
      <w:r>
        <w:tab/>
      </w:r>
      <w:r>
        <w:tab/>
      </w:r>
      <w:r>
        <w:tab/>
      </w:r>
      <w:r>
        <w:tab/>
      </w:r>
      <w:r>
        <w:tab/>
      </w:r>
      <w:r>
        <w:tab/>
        <w:t>Office of General Counsel</w:t>
      </w:r>
    </w:p>
    <w:p w:rsidR="00721EEA" w:rsidP="00721EEA">
      <w:pPr>
        <w:pStyle w:val="ParaNum"/>
        <w:numPr>
          <w:ilvl w:val="0"/>
          <w:numId w:val="0"/>
        </w:numPr>
        <w:ind w:firstLine="720"/>
        <w:rPr>
          <w:szCs w:val="22"/>
        </w:rPr>
      </w:pPr>
    </w:p>
    <w:p w:rsidR="00412FC5" w:rsidP="007A1AC8">
      <w:pPr>
        <w:pStyle w:val="Heading1"/>
        <w:numPr>
          <w:ilvl w:val="0"/>
          <w:numId w:val="0"/>
        </w:numPr>
        <w:ind w:left="720"/>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AC8">
      <w:r>
        <w:separator/>
      </w:r>
    </w:p>
  </w:footnote>
  <w:footnote w:type="continuationSeparator" w:id="1">
    <w:p w:rsidR="007A1AC8" w:rsidP="00C721AC">
      <w:pPr>
        <w:spacing w:before="120"/>
        <w:rPr>
          <w:sz w:val="20"/>
        </w:rPr>
      </w:pPr>
      <w:r>
        <w:rPr>
          <w:sz w:val="20"/>
        </w:rPr>
        <w:t xml:space="preserve">(Continued from previous page)  </w:t>
      </w:r>
      <w:r>
        <w:rPr>
          <w:sz w:val="20"/>
        </w:rPr>
        <w:separator/>
      </w:r>
    </w:p>
  </w:footnote>
  <w:footnote w:type="continuationNotice" w:id="2">
    <w:p w:rsidR="007A1AC8" w:rsidP="00C721AC">
      <w:pPr>
        <w:jc w:val="right"/>
        <w:rPr>
          <w:sz w:val="20"/>
        </w:rPr>
      </w:pPr>
      <w:r>
        <w:rPr>
          <w:sz w:val="20"/>
        </w:rPr>
        <w:t>(continued….)</w:t>
      </w:r>
    </w:p>
  </w:footnote>
  <w:footnote w:id="3">
    <w:p w:rsidR="007A1AC8" w:rsidP="007A1AC8">
      <w:pPr>
        <w:pStyle w:val="FootnoteText"/>
      </w:pPr>
      <w:r>
        <w:rPr>
          <w:rStyle w:val="FootnoteReference"/>
        </w:rPr>
        <w:footnoteRef/>
      </w:r>
      <w:r>
        <w:t xml:space="preserve"> Order, FCC 18M-05 (Jul. 9, 2018).</w:t>
      </w:r>
    </w:p>
  </w:footnote>
  <w:footnote w:id="4">
    <w:p w:rsidR="007A1AC8" w:rsidP="007A1AC8">
      <w:pPr>
        <w:pStyle w:val="FootnoteText"/>
      </w:pPr>
      <w:r>
        <w:rPr>
          <w:rStyle w:val="FootnoteReference"/>
        </w:rPr>
        <w:footnoteRef/>
      </w:r>
      <w:r>
        <w:t xml:space="preserve"> 47 CFR. § 1.302(e).</w:t>
      </w:r>
    </w:p>
  </w:footnote>
  <w:footnote w:id="5">
    <w:p w:rsidR="007A1AC8" w:rsidP="007A1AC8">
      <w:pPr>
        <w:pStyle w:val="FootnoteText"/>
      </w:pPr>
      <w:r>
        <w:rPr>
          <w:rStyle w:val="FootnoteReference"/>
        </w:rPr>
        <w:footnoteRef/>
      </w:r>
      <w:r>
        <w:t xml:space="preserve"> Request at 1.</w:t>
      </w:r>
    </w:p>
  </w:footnote>
  <w:footnote w:id="6">
    <w:p w:rsidR="007A1AC8" w:rsidP="007A1AC8">
      <w:pPr>
        <w:pStyle w:val="FootnoteText"/>
      </w:pPr>
      <w:r>
        <w:rPr>
          <w:rStyle w:val="FootnoteReference"/>
        </w:rPr>
        <w:footnoteRef/>
      </w:r>
      <w:r>
        <w:t xml:space="preserve"> 47 CFR. § 1.48(b).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C6368">
      <w:t>DA 18-882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6368">
      <w:rPr>
        <w:spacing w:val="-2"/>
      </w:rPr>
      <w:t>DA 18-882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277CA3"/>
    <w:multiLevelType w:val="hybridMultilevel"/>
    <w:tmpl w:val="4B3221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7A1AC8"/>
  </w:style>
  <w:style w:type="paragraph" w:styleId="ListParagraph">
    <w:name w:val="List Paragraph"/>
    <w:basedOn w:val="Normal"/>
    <w:uiPriority w:val="34"/>
    <w:qFormat/>
    <w:rsid w:val="00721EEA"/>
    <w:pPr>
      <w:ind w:left="720"/>
    </w:pPr>
  </w:style>
  <w:style w:type="paragraph" w:styleId="BalloonText">
    <w:name w:val="Balloon Text"/>
    <w:basedOn w:val="Normal"/>
    <w:link w:val="BalloonTextChar"/>
    <w:rsid w:val="00EB7A5B"/>
    <w:rPr>
      <w:rFonts w:ascii="Segoe UI" w:hAnsi="Segoe UI" w:cs="Segoe UI"/>
      <w:sz w:val="18"/>
      <w:szCs w:val="18"/>
    </w:rPr>
  </w:style>
  <w:style w:type="character" w:customStyle="1" w:styleId="BalloonTextChar">
    <w:name w:val="Balloon Text Char"/>
    <w:basedOn w:val="DefaultParagraphFont"/>
    <w:link w:val="BalloonText"/>
    <w:rsid w:val="00EB7A5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