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1D63" w:rsidRPr="0038051F" w:rsidP="000542A7">
      <w:pPr>
        <w:widowControl/>
        <w:jc w:val="right"/>
        <w:rPr>
          <w:color w:val="000000" w:themeColor="text1"/>
          <w:szCs w:val="22"/>
        </w:rPr>
      </w:pPr>
      <w:bookmarkStart w:id="0" w:name="_GoBack"/>
      <w:bookmarkEnd w:id="0"/>
      <w:r>
        <w:rPr>
          <w:color w:val="000000" w:themeColor="text1"/>
          <w:szCs w:val="22"/>
        </w:rPr>
        <w:t xml:space="preserve"> </w:t>
      </w:r>
    </w:p>
    <w:p w:rsidR="0069341C" w:rsidRPr="0038051F" w:rsidP="004C1772">
      <w:pPr>
        <w:widowControl/>
        <w:tabs>
          <w:tab w:val="left" w:pos="6120"/>
        </w:tabs>
        <w:jc w:val="right"/>
        <w:rPr>
          <w:b/>
          <w:color w:val="000000" w:themeColor="text1"/>
          <w:szCs w:val="22"/>
        </w:rPr>
      </w:pPr>
      <w:r w:rsidRPr="0038051F">
        <w:rPr>
          <w:b/>
          <w:color w:val="000000" w:themeColor="text1"/>
          <w:szCs w:val="22"/>
        </w:rPr>
        <w:t xml:space="preserve">                              </w:t>
      </w:r>
      <w:r w:rsidRPr="0038051F">
        <w:rPr>
          <w:b/>
          <w:color w:val="000000" w:themeColor="text1"/>
          <w:szCs w:val="22"/>
        </w:rPr>
        <w:t xml:space="preserve">                               </w:t>
      </w:r>
      <w:r>
        <w:rPr>
          <w:b/>
          <w:color w:val="000000" w:themeColor="text1"/>
          <w:szCs w:val="22"/>
        </w:rPr>
        <w:t xml:space="preserve">     </w:t>
      </w:r>
      <w:r w:rsidRPr="0038051F">
        <w:rPr>
          <w:b/>
          <w:color w:val="000000" w:themeColor="text1"/>
          <w:szCs w:val="22"/>
        </w:rPr>
        <w:t xml:space="preserve"> </w:t>
      </w:r>
      <w:r w:rsidRPr="0038051F">
        <w:rPr>
          <w:b/>
          <w:color w:val="000000" w:themeColor="text1"/>
          <w:szCs w:val="22"/>
        </w:rPr>
        <w:t xml:space="preserve">DA </w:t>
      </w:r>
      <w:r w:rsidRPr="0038051F">
        <w:rPr>
          <w:b/>
          <w:color w:val="000000" w:themeColor="text1"/>
          <w:szCs w:val="22"/>
        </w:rPr>
        <w:t>18</w:t>
      </w:r>
      <w:r>
        <w:rPr>
          <w:b/>
          <w:color w:val="000000" w:themeColor="text1"/>
          <w:szCs w:val="22"/>
        </w:rPr>
        <w:t>-884</w:t>
      </w:r>
      <w:r w:rsidRPr="0038051F">
        <w:rPr>
          <w:b/>
          <w:color w:val="000000" w:themeColor="text1"/>
          <w:szCs w:val="22"/>
        </w:rPr>
        <w:tab/>
      </w:r>
    </w:p>
    <w:p w:rsidR="00DE1D63" w:rsidRPr="0038051F" w:rsidP="004C1772">
      <w:pPr>
        <w:widowControl/>
        <w:tabs>
          <w:tab w:val="left" w:pos="6120"/>
        </w:tabs>
        <w:jc w:val="right"/>
        <w:rPr>
          <w:b/>
          <w:color w:val="000000" w:themeColor="text1"/>
          <w:szCs w:val="22"/>
        </w:rPr>
      </w:pPr>
      <w:r w:rsidRPr="0038051F">
        <w:rPr>
          <w:b/>
          <w:color w:val="000000" w:themeColor="text1"/>
          <w:szCs w:val="22"/>
        </w:rPr>
        <w:t xml:space="preserve">Released: </w:t>
      </w:r>
      <w:r>
        <w:rPr>
          <w:b/>
          <w:color w:val="000000" w:themeColor="text1"/>
          <w:szCs w:val="22"/>
        </w:rPr>
        <w:t xml:space="preserve">August </w:t>
      </w:r>
      <w:r w:rsidRPr="00EA62DF">
        <w:rPr>
          <w:b/>
          <w:color w:val="000000" w:themeColor="text1"/>
          <w:szCs w:val="22"/>
        </w:rPr>
        <w:t>27</w:t>
      </w:r>
      <w:r>
        <w:rPr>
          <w:b/>
          <w:color w:val="000000" w:themeColor="text1"/>
          <w:szCs w:val="22"/>
        </w:rPr>
        <w:t>, 2018</w:t>
      </w:r>
    </w:p>
    <w:p w:rsidR="00F83F84" w:rsidRPr="0038051F" w:rsidP="006A0B39">
      <w:pPr>
        <w:jc w:val="right"/>
        <w:rPr>
          <w:b/>
          <w:szCs w:val="22"/>
        </w:rPr>
      </w:pPr>
    </w:p>
    <w:p w:rsidR="005115AC" w:rsidRPr="0038051F" w:rsidP="006A0B39">
      <w:pPr>
        <w:jc w:val="center"/>
        <w:rPr>
          <w:b/>
          <w:szCs w:val="22"/>
        </w:rPr>
      </w:pPr>
      <w:r>
        <w:rPr>
          <w:b/>
          <w:szCs w:val="22"/>
        </w:rPr>
        <w:t xml:space="preserve">INCENTIVE AUCTION TASK FORCE AND </w:t>
      </w:r>
      <w:r w:rsidRPr="0038051F">
        <w:rPr>
          <w:b/>
          <w:szCs w:val="22"/>
        </w:rPr>
        <w:t xml:space="preserve">MEDIA BUREAU </w:t>
      </w:r>
      <w:r>
        <w:rPr>
          <w:b/>
          <w:szCs w:val="22"/>
        </w:rPr>
        <w:t>REMIND</w:t>
      </w:r>
      <w:r>
        <w:rPr>
          <w:b/>
          <w:szCs w:val="22"/>
        </w:rPr>
        <w:t xml:space="preserve"> REPACKED STATIONS </w:t>
      </w:r>
      <w:r>
        <w:rPr>
          <w:b/>
          <w:szCs w:val="22"/>
        </w:rPr>
        <w:t>OF CERTAIN</w:t>
      </w:r>
      <w:r>
        <w:rPr>
          <w:b/>
          <w:szCs w:val="22"/>
        </w:rPr>
        <w:t xml:space="preserve"> POST-AUCTION TRANSITION REQUIREMENTS AND DEADLINES </w:t>
      </w:r>
    </w:p>
    <w:p w:rsidR="006A0B39" w:rsidRPr="0038051F" w:rsidP="006A0B39">
      <w:pPr>
        <w:jc w:val="center"/>
        <w:rPr>
          <w:b/>
          <w:szCs w:val="22"/>
        </w:rPr>
      </w:pPr>
      <w:r w:rsidRPr="0038051F">
        <w:rPr>
          <w:b/>
          <w:szCs w:val="22"/>
        </w:rPr>
        <w:t xml:space="preserve"> </w:t>
      </w:r>
    </w:p>
    <w:p w:rsidR="00E65E83" w:rsidRPr="0038051F" w:rsidP="000542A7">
      <w:pPr>
        <w:widowControl/>
        <w:jc w:val="center"/>
        <w:rPr>
          <w:b/>
          <w:szCs w:val="22"/>
        </w:rPr>
      </w:pPr>
      <w:r w:rsidRPr="0038051F">
        <w:rPr>
          <w:b/>
          <w:szCs w:val="22"/>
        </w:rPr>
        <w:t xml:space="preserve">MB Docket </w:t>
      </w:r>
      <w:r w:rsidRPr="0038051F">
        <w:rPr>
          <w:b/>
          <w:szCs w:val="22"/>
        </w:rPr>
        <w:t>No. 16-306</w:t>
      </w:r>
    </w:p>
    <w:p w:rsidR="00E65E83" w:rsidRPr="004F79D6" w:rsidP="00D17E70">
      <w:pPr>
        <w:widowControl/>
        <w:spacing w:after="240"/>
        <w:jc w:val="center"/>
        <w:rPr>
          <w:b/>
          <w:szCs w:val="22"/>
        </w:rPr>
      </w:pPr>
      <w:r w:rsidRPr="004F79D6">
        <w:rPr>
          <w:b/>
          <w:szCs w:val="22"/>
        </w:rPr>
        <w:t>GN Docket No. 12-268</w:t>
      </w:r>
    </w:p>
    <w:p w:rsidR="00DB6405" w:rsidRPr="004F79D6" w:rsidP="00FD0198">
      <w:pPr>
        <w:pStyle w:val="ParaNum0"/>
      </w:pPr>
      <w:r>
        <w:t xml:space="preserve">We are </w:t>
      </w:r>
      <w:r w:rsidRPr="004F79D6">
        <w:t>approaching</w:t>
      </w:r>
      <w:r w:rsidRPr="004F79D6">
        <w:t xml:space="preserve"> the testing period start date </w:t>
      </w:r>
      <w:r>
        <w:t xml:space="preserve">of </w:t>
      </w:r>
      <w:r w:rsidRPr="004F79D6">
        <w:t>September 14, 2018</w:t>
      </w:r>
      <w:r>
        <w:t xml:space="preserve"> </w:t>
      </w:r>
      <w:r w:rsidRPr="004F79D6">
        <w:t xml:space="preserve">for </w:t>
      </w:r>
      <w:r w:rsidRPr="004F79D6">
        <w:t>the initial transition phase</w:t>
      </w:r>
      <w:r>
        <w:t xml:space="preserve"> of the post-incentive auction transition</w:t>
      </w:r>
      <w:r w:rsidRPr="004F79D6">
        <w:t>.</w:t>
      </w:r>
      <w:r>
        <w:rPr>
          <w:rStyle w:val="FootnoteReference"/>
        </w:rPr>
        <w:footnoteReference w:id="3"/>
      </w:r>
      <w:r w:rsidRPr="004F79D6">
        <w:t xml:space="preserve">  T</w:t>
      </w:r>
      <w:r w:rsidRPr="004F79D6">
        <w:rPr>
          <w:snapToGrid/>
          <w:kern w:val="0"/>
        </w:rPr>
        <w:t xml:space="preserve">he Incentive Auction Task Force and the Media Bureau (Bureau) </w:t>
      </w:r>
      <w:r w:rsidRPr="004F79D6">
        <w:rPr>
          <w:snapToGrid/>
          <w:kern w:val="0"/>
        </w:rPr>
        <w:t xml:space="preserve">herein </w:t>
      </w:r>
      <w:r w:rsidRPr="004F79D6">
        <w:rPr>
          <w:snapToGrid/>
          <w:kern w:val="0"/>
        </w:rPr>
        <w:t>remind</w:t>
      </w:r>
      <w:r w:rsidRPr="004F79D6">
        <w:rPr>
          <w:snapToGrid/>
          <w:kern w:val="0"/>
        </w:rPr>
        <w:t xml:space="preserve"> </w:t>
      </w:r>
      <w:r w:rsidRPr="004F79D6">
        <w:rPr>
          <w:snapToGrid/>
          <w:kern w:val="0"/>
        </w:rPr>
        <w:t xml:space="preserve">repacked </w:t>
      </w:r>
      <w:r w:rsidRPr="004F79D6">
        <w:rPr>
          <w:snapToGrid/>
          <w:kern w:val="0"/>
        </w:rPr>
        <w:t>stations</w:t>
      </w:r>
      <w:r>
        <w:rPr>
          <w:rStyle w:val="FootnoteReference"/>
        </w:rPr>
        <w:footnoteReference w:id="4"/>
      </w:r>
      <w:r w:rsidRPr="004F79D6">
        <w:rPr>
          <w:snapToGrid/>
          <w:kern w:val="0"/>
        </w:rPr>
        <w:t xml:space="preserve"> of </w:t>
      </w:r>
      <w:bookmarkStart w:id="1" w:name="_Hlk522117563"/>
      <w:r w:rsidRPr="004F79D6">
        <w:rPr>
          <w:snapToGrid/>
          <w:kern w:val="0"/>
        </w:rPr>
        <w:t>upcoming deadlines, application filing obligations, and notice requirements</w:t>
      </w:r>
      <w:r w:rsidRPr="004F79D6">
        <w:rPr>
          <w:snapToGrid/>
          <w:kern w:val="0"/>
        </w:rPr>
        <w:t>,</w:t>
      </w:r>
      <w:r w:rsidRPr="004F79D6">
        <w:rPr>
          <w:snapToGrid/>
          <w:kern w:val="0"/>
        </w:rPr>
        <w:t xml:space="preserve"> </w:t>
      </w:r>
      <w:r w:rsidRPr="004F79D6">
        <w:rPr>
          <w:snapToGrid/>
          <w:kern w:val="0"/>
        </w:rPr>
        <w:t xml:space="preserve">and </w:t>
      </w:r>
      <w:r w:rsidRPr="004F79D6">
        <w:rPr>
          <w:snapToGrid/>
          <w:kern w:val="0"/>
        </w:rPr>
        <w:t xml:space="preserve">provide </w:t>
      </w:r>
      <w:r w:rsidRPr="004F79D6">
        <w:rPr>
          <w:snapToGrid/>
          <w:kern w:val="0"/>
        </w:rPr>
        <w:t xml:space="preserve">additional </w:t>
      </w:r>
      <w:r w:rsidRPr="004F79D6">
        <w:rPr>
          <w:snapToGrid/>
          <w:kern w:val="0"/>
        </w:rPr>
        <w:t xml:space="preserve">guidance concerning </w:t>
      </w:r>
      <w:r w:rsidRPr="004F79D6">
        <w:rPr>
          <w:snapToGrid/>
          <w:kern w:val="0"/>
        </w:rPr>
        <w:t>transition matters, including p</w:t>
      </w:r>
      <w:r w:rsidRPr="004F79D6">
        <w:rPr>
          <w:snapToGrid/>
          <w:kern w:val="0"/>
        </w:rPr>
        <w:t xml:space="preserve">ermissible </w:t>
      </w:r>
      <w:r w:rsidRPr="004F79D6">
        <w:rPr>
          <w:snapToGrid/>
          <w:kern w:val="0"/>
        </w:rPr>
        <w:t>station</w:t>
      </w:r>
      <w:r w:rsidRPr="004F79D6">
        <w:rPr>
          <w:snapToGrid/>
          <w:kern w:val="0"/>
        </w:rPr>
        <w:t xml:space="preserve"> operations during </w:t>
      </w:r>
      <w:r w:rsidRPr="004F79D6">
        <w:rPr>
          <w:snapToGrid/>
          <w:kern w:val="0"/>
        </w:rPr>
        <w:t xml:space="preserve">the </w:t>
      </w:r>
      <w:r w:rsidRPr="004F79D6">
        <w:rPr>
          <w:snapToGrid/>
          <w:kern w:val="0"/>
        </w:rPr>
        <w:t xml:space="preserve">phase </w:t>
      </w:r>
      <w:r w:rsidRPr="004F79D6">
        <w:rPr>
          <w:snapToGrid/>
          <w:kern w:val="0"/>
        </w:rPr>
        <w:t>testing period</w:t>
      </w:r>
      <w:r w:rsidRPr="004F79D6">
        <w:rPr>
          <w:snapToGrid/>
          <w:kern w:val="0"/>
        </w:rPr>
        <w:t>s</w:t>
      </w:r>
      <w:r w:rsidRPr="004F79D6">
        <w:rPr>
          <w:snapToGrid/>
          <w:kern w:val="0"/>
        </w:rPr>
        <w:t xml:space="preserve">, when a station is </w:t>
      </w:r>
      <w:r w:rsidRPr="004F79D6">
        <w:rPr>
          <w:snapToGrid/>
          <w:kern w:val="0"/>
        </w:rPr>
        <w:t>expected to cease pre-auction operations,</w:t>
      </w:r>
      <w:r w:rsidRPr="004F79D6">
        <w:rPr>
          <w:snapToGrid/>
          <w:kern w:val="0"/>
        </w:rPr>
        <w:t xml:space="preserve"> and th</w:t>
      </w:r>
      <w:r w:rsidRPr="004F79D6">
        <w:rPr>
          <w:snapToGrid/>
          <w:kern w:val="0"/>
        </w:rPr>
        <w:t xml:space="preserve">e </w:t>
      </w:r>
      <w:r w:rsidRPr="004F79D6">
        <w:rPr>
          <w:snapToGrid/>
          <w:kern w:val="0"/>
        </w:rPr>
        <w:t xml:space="preserve">need </w:t>
      </w:r>
      <w:r w:rsidRPr="004F79D6">
        <w:rPr>
          <w:snapToGrid/>
          <w:kern w:val="0"/>
        </w:rPr>
        <w:t>to coordinate with other linked-</w:t>
      </w:r>
      <w:r w:rsidRPr="004F79D6">
        <w:rPr>
          <w:snapToGrid/>
          <w:kern w:val="0"/>
        </w:rPr>
        <w:t>stations</w:t>
      </w:r>
      <w:bookmarkEnd w:id="1"/>
      <w:r w:rsidRPr="004F79D6">
        <w:rPr>
          <w:snapToGrid/>
          <w:kern w:val="0"/>
        </w:rPr>
        <w:t>.</w:t>
      </w:r>
      <w:r>
        <w:rPr>
          <w:rStyle w:val="FootnoteReference"/>
          <w:snapToGrid/>
          <w:kern w:val="0"/>
        </w:rPr>
        <w:footnoteReference w:id="5"/>
      </w:r>
      <w:r w:rsidRPr="004F79D6">
        <w:rPr>
          <w:snapToGrid/>
          <w:kern w:val="0"/>
        </w:rPr>
        <w:t xml:space="preserve">  </w:t>
      </w:r>
    </w:p>
    <w:p w:rsidR="00A8345A" w:rsidRPr="004F79D6" w:rsidP="00FD0198">
      <w:pPr>
        <w:pStyle w:val="ParaNum0"/>
        <w:spacing w:after="240"/>
      </w:pPr>
      <w:r w:rsidRPr="004F79D6">
        <w:rPr>
          <w:b/>
          <w:i/>
        </w:rPr>
        <w:t>Transition Timetable</w:t>
      </w:r>
      <w:r w:rsidRPr="004F79D6">
        <w:rPr>
          <w:i/>
        </w:rPr>
        <w:t xml:space="preserve">.  </w:t>
      </w:r>
      <w:r w:rsidRPr="004F79D6">
        <w:rPr>
          <w:snapToGrid/>
          <w:kern w:val="0"/>
        </w:rPr>
        <w:t>Each</w:t>
      </w:r>
      <w:r w:rsidRPr="004F79D6">
        <w:t xml:space="preserve"> repacked station is assigned to one of 10 transition phases, each with specific dates on which the station, subject to any requi</w:t>
      </w:r>
      <w:r w:rsidRPr="004F79D6">
        <w:t>red coordination, can commence testing and operation on its post-auction channel (testing period start date) and must cease operating on its pre-auction channel (phase completion date).</w:t>
      </w:r>
      <w:r>
        <w:rPr>
          <w:rStyle w:val="FootnoteReference"/>
        </w:rPr>
        <w:footnoteReference w:id="6"/>
      </w:r>
      <w:r w:rsidRPr="004F79D6">
        <w:t xml:space="preserve">  </w:t>
      </w:r>
      <w:r w:rsidRPr="004F79D6">
        <w:t xml:space="preserve">A repacked station’s phase completion date is also the date </w:t>
      </w:r>
      <w:r w:rsidRPr="004F79D6">
        <w:t xml:space="preserve">listed </w:t>
      </w:r>
      <w:r>
        <w:t>o</w:t>
      </w:r>
      <w:r>
        <w:t>n</w:t>
      </w:r>
      <w:r w:rsidRPr="004F79D6">
        <w:t xml:space="preserve"> </w:t>
      </w:r>
      <w:r w:rsidRPr="004F79D6">
        <w:t>its construction permit as</w:t>
      </w:r>
      <w:r>
        <w:t xml:space="preserve"> its</w:t>
      </w:r>
      <w:r w:rsidRPr="004F79D6">
        <w:t xml:space="preserve"> construction expiration date.</w:t>
      </w:r>
      <w:r>
        <w:rPr>
          <w:rStyle w:val="FootnoteReference"/>
        </w:rPr>
        <w:footnoteReference w:id="7"/>
      </w:r>
      <w:r w:rsidRPr="004F79D6">
        <w:t xml:space="preserve">  Below is the current phase transition schedule with each phase’s applicable testing period start date and phase completion date.</w:t>
      </w:r>
      <w:r>
        <w:rPr>
          <w:rStyle w:val="FootnoteReference"/>
        </w:rPr>
        <w:footnoteReference w:id="8"/>
      </w:r>
      <w:r w:rsidRPr="004F79D6">
        <w:t xml:space="preserve">  </w:t>
      </w:r>
    </w:p>
    <w:tbl>
      <w:tblPr>
        <w:tblStyle w:val="TableGrid"/>
        <w:tblW w:w="0" w:type="auto"/>
        <w:jc w:val="center"/>
        <w:tblLook w:val="04A0"/>
      </w:tblPr>
      <w:tblGrid>
        <w:gridCol w:w="895"/>
        <w:gridCol w:w="2610"/>
        <w:gridCol w:w="2430"/>
      </w:tblGrid>
      <w:tr w:rsidTr="00075AB0">
        <w:tblPrEx>
          <w:tblW w:w="0" w:type="auto"/>
          <w:jc w:val="center"/>
          <w:tblLook w:val="04A0"/>
        </w:tblPrEx>
        <w:trPr>
          <w:jc w:val="center"/>
        </w:trPr>
        <w:tc>
          <w:tcPr>
            <w:tcW w:w="895" w:type="dxa"/>
          </w:tcPr>
          <w:p w:rsidR="00A5284D" w:rsidRPr="004F79D6" w:rsidP="00FD0198">
            <w:pPr>
              <w:pStyle w:val="ParaNum0"/>
              <w:numPr>
                <w:ilvl w:val="0"/>
                <w:numId w:val="0"/>
              </w:numPr>
            </w:pPr>
            <w:bookmarkStart w:id="2" w:name="_Hlk521587246"/>
            <w:r w:rsidRPr="004F79D6">
              <w:t>Phase</w:t>
            </w:r>
          </w:p>
        </w:tc>
        <w:tc>
          <w:tcPr>
            <w:tcW w:w="2610" w:type="dxa"/>
          </w:tcPr>
          <w:p w:rsidR="00A5284D" w:rsidRPr="004F79D6" w:rsidP="00FD0198">
            <w:pPr>
              <w:pStyle w:val="ParaNum0"/>
              <w:numPr>
                <w:ilvl w:val="0"/>
                <w:numId w:val="0"/>
              </w:numPr>
            </w:pPr>
            <w:r w:rsidRPr="004F79D6">
              <w:t>Testing Period Start Date</w:t>
            </w:r>
          </w:p>
        </w:tc>
        <w:tc>
          <w:tcPr>
            <w:tcW w:w="2430" w:type="dxa"/>
          </w:tcPr>
          <w:p w:rsidR="00A5284D" w:rsidRPr="004F79D6" w:rsidP="00FD0198">
            <w:pPr>
              <w:pStyle w:val="ParaNum0"/>
              <w:numPr>
                <w:ilvl w:val="0"/>
                <w:numId w:val="0"/>
              </w:numPr>
            </w:pPr>
            <w:r w:rsidRPr="004F79D6">
              <w:t>Phase Completion Date</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1</w:t>
            </w:r>
          </w:p>
        </w:tc>
        <w:tc>
          <w:tcPr>
            <w:tcW w:w="2610" w:type="dxa"/>
          </w:tcPr>
          <w:p w:rsidR="00A5284D" w:rsidRPr="004F79D6" w:rsidP="00FD0198">
            <w:pPr>
              <w:pStyle w:val="ParaNum0"/>
              <w:numPr>
                <w:ilvl w:val="0"/>
                <w:numId w:val="0"/>
              </w:numPr>
            </w:pPr>
            <w:r>
              <w:t>0</w:t>
            </w:r>
            <w:r w:rsidRPr="004F79D6">
              <w:t>9/14/2018</w:t>
            </w:r>
          </w:p>
        </w:tc>
        <w:tc>
          <w:tcPr>
            <w:tcW w:w="2430" w:type="dxa"/>
          </w:tcPr>
          <w:p w:rsidR="00A5284D" w:rsidRPr="004F79D6" w:rsidP="00FD0198">
            <w:pPr>
              <w:pStyle w:val="ParaNum0"/>
              <w:numPr>
                <w:ilvl w:val="0"/>
                <w:numId w:val="0"/>
              </w:numPr>
            </w:pPr>
            <w:r w:rsidRPr="004F79D6">
              <w:t>11/30/2018</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2</w:t>
            </w:r>
          </w:p>
        </w:tc>
        <w:tc>
          <w:tcPr>
            <w:tcW w:w="2610" w:type="dxa"/>
          </w:tcPr>
          <w:p w:rsidR="00A5284D" w:rsidRPr="004F79D6" w:rsidP="00FD0198">
            <w:pPr>
              <w:pStyle w:val="ParaNum0"/>
              <w:numPr>
                <w:ilvl w:val="0"/>
                <w:numId w:val="0"/>
              </w:numPr>
            </w:pPr>
            <w:r w:rsidRPr="004F79D6">
              <w:t>12/</w:t>
            </w:r>
            <w:r>
              <w:t>0</w:t>
            </w:r>
            <w:r w:rsidRPr="004F79D6">
              <w:t>1/2018</w:t>
            </w:r>
          </w:p>
        </w:tc>
        <w:tc>
          <w:tcPr>
            <w:tcW w:w="2430" w:type="dxa"/>
          </w:tcPr>
          <w:p w:rsidR="00A5284D" w:rsidRPr="004F79D6" w:rsidP="00FD0198">
            <w:pPr>
              <w:pStyle w:val="ParaNum0"/>
              <w:numPr>
                <w:ilvl w:val="0"/>
                <w:numId w:val="0"/>
              </w:numPr>
            </w:pPr>
            <w:r>
              <w:t>0</w:t>
            </w:r>
            <w:r w:rsidRPr="004F79D6">
              <w:t>4/12/2019</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3</w:t>
            </w:r>
          </w:p>
        </w:tc>
        <w:tc>
          <w:tcPr>
            <w:tcW w:w="2610" w:type="dxa"/>
          </w:tcPr>
          <w:p w:rsidR="00A5284D" w:rsidRPr="004F79D6" w:rsidP="00FD0198">
            <w:pPr>
              <w:pStyle w:val="ParaNum0"/>
              <w:numPr>
                <w:ilvl w:val="0"/>
                <w:numId w:val="0"/>
              </w:numPr>
            </w:pPr>
            <w:r>
              <w:t>0</w:t>
            </w:r>
            <w:r w:rsidRPr="004F79D6">
              <w:t>4/13/2019</w:t>
            </w:r>
          </w:p>
        </w:tc>
        <w:tc>
          <w:tcPr>
            <w:tcW w:w="2430" w:type="dxa"/>
          </w:tcPr>
          <w:p w:rsidR="00A5284D" w:rsidRPr="004F79D6" w:rsidP="00FD0198">
            <w:pPr>
              <w:pStyle w:val="ParaNum0"/>
              <w:numPr>
                <w:ilvl w:val="0"/>
                <w:numId w:val="0"/>
              </w:numPr>
            </w:pPr>
            <w:r>
              <w:t>0</w:t>
            </w:r>
            <w:r w:rsidRPr="004F79D6">
              <w:t>6/21/2019</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4</w:t>
            </w:r>
          </w:p>
        </w:tc>
        <w:tc>
          <w:tcPr>
            <w:tcW w:w="2610" w:type="dxa"/>
          </w:tcPr>
          <w:p w:rsidR="00A5284D" w:rsidRPr="004F79D6" w:rsidP="00FD0198">
            <w:pPr>
              <w:pStyle w:val="ParaNum0"/>
              <w:numPr>
                <w:ilvl w:val="0"/>
                <w:numId w:val="0"/>
              </w:numPr>
            </w:pPr>
            <w:r>
              <w:t>0</w:t>
            </w:r>
            <w:r w:rsidRPr="004F79D6">
              <w:t>6/22/2019</w:t>
            </w:r>
          </w:p>
        </w:tc>
        <w:tc>
          <w:tcPr>
            <w:tcW w:w="2430" w:type="dxa"/>
          </w:tcPr>
          <w:p w:rsidR="00A5284D" w:rsidRPr="004F79D6" w:rsidP="00FD0198">
            <w:pPr>
              <w:pStyle w:val="ParaNum0"/>
              <w:numPr>
                <w:ilvl w:val="0"/>
                <w:numId w:val="0"/>
              </w:numPr>
            </w:pPr>
            <w:r>
              <w:t>0</w:t>
            </w:r>
            <w:r w:rsidRPr="004F79D6">
              <w:t>8/</w:t>
            </w:r>
            <w:r>
              <w:t>0</w:t>
            </w:r>
            <w:r w:rsidRPr="004F79D6">
              <w:t>2/2019</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5</w:t>
            </w:r>
          </w:p>
        </w:tc>
        <w:tc>
          <w:tcPr>
            <w:tcW w:w="2610" w:type="dxa"/>
          </w:tcPr>
          <w:p w:rsidR="00A5284D" w:rsidRPr="004F79D6" w:rsidP="00FD0198">
            <w:pPr>
              <w:pStyle w:val="ParaNum0"/>
              <w:numPr>
                <w:ilvl w:val="0"/>
                <w:numId w:val="0"/>
              </w:numPr>
            </w:pPr>
            <w:r>
              <w:t>0</w:t>
            </w:r>
            <w:r w:rsidRPr="004F79D6">
              <w:t>8/</w:t>
            </w:r>
            <w:r>
              <w:t>0</w:t>
            </w:r>
            <w:r w:rsidRPr="004F79D6">
              <w:t>3/2019</w:t>
            </w:r>
          </w:p>
        </w:tc>
        <w:tc>
          <w:tcPr>
            <w:tcW w:w="2430" w:type="dxa"/>
          </w:tcPr>
          <w:p w:rsidR="00A5284D" w:rsidRPr="004F79D6" w:rsidP="00FD0198">
            <w:pPr>
              <w:pStyle w:val="ParaNum0"/>
              <w:numPr>
                <w:ilvl w:val="0"/>
                <w:numId w:val="0"/>
              </w:numPr>
            </w:pPr>
            <w:r>
              <w:t>0</w:t>
            </w:r>
            <w:r w:rsidRPr="004F79D6">
              <w:t>9/</w:t>
            </w:r>
            <w:r>
              <w:t>0</w:t>
            </w:r>
            <w:r w:rsidRPr="004F79D6">
              <w:t>6/2019</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6</w:t>
            </w:r>
          </w:p>
        </w:tc>
        <w:tc>
          <w:tcPr>
            <w:tcW w:w="2610" w:type="dxa"/>
          </w:tcPr>
          <w:p w:rsidR="00A5284D" w:rsidRPr="004F79D6" w:rsidP="00FD0198">
            <w:pPr>
              <w:pStyle w:val="ParaNum0"/>
              <w:numPr>
                <w:ilvl w:val="0"/>
                <w:numId w:val="0"/>
              </w:numPr>
            </w:pPr>
            <w:r>
              <w:t>09</w:t>
            </w:r>
            <w:r w:rsidRPr="004F79D6">
              <w:t>/</w:t>
            </w:r>
            <w:r>
              <w:t>0</w:t>
            </w:r>
            <w:r w:rsidRPr="004F79D6">
              <w:t>7/2019</w:t>
            </w:r>
          </w:p>
        </w:tc>
        <w:tc>
          <w:tcPr>
            <w:tcW w:w="2430" w:type="dxa"/>
          </w:tcPr>
          <w:p w:rsidR="00A5284D" w:rsidRPr="004F79D6" w:rsidP="00FD0198">
            <w:pPr>
              <w:pStyle w:val="ParaNum0"/>
              <w:numPr>
                <w:ilvl w:val="0"/>
                <w:numId w:val="0"/>
              </w:numPr>
            </w:pPr>
            <w:r w:rsidRPr="004F79D6">
              <w:t>10/18/2019</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7</w:t>
            </w:r>
          </w:p>
        </w:tc>
        <w:tc>
          <w:tcPr>
            <w:tcW w:w="2610" w:type="dxa"/>
          </w:tcPr>
          <w:p w:rsidR="00A5284D" w:rsidRPr="004F79D6" w:rsidP="00FD0198">
            <w:pPr>
              <w:pStyle w:val="ParaNum0"/>
              <w:numPr>
                <w:ilvl w:val="0"/>
                <w:numId w:val="0"/>
              </w:numPr>
            </w:pPr>
            <w:r w:rsidRPr="004F79D6">
              <w:t>10/19/2019</w:t>
            </w:r>
          </w:p>
        </w:tc>
        <w:tc>
          <w:tcPr>
            <w:tcW w:w="2430" w:type="dxa"/>
          </w:tcPr>
          <w:p w:rsidR="00A5284D" w:rsidRPr="004F79D6" w:rsidP="00FD0198">
            <w:pPr>
              <w:pStyle w:val="ParaNum0"/>
              <w:numPr>
                <w:ilvl w:val="0"/>
                <w:numId w:val="0"/>
              </w:numPr>
            </w:pPr>
            <w:r>
              <w:t>0</w:t>
            </w:r>
            <w:r w:rsidRPr="004F79D6">
              <w:t>1/17/2020</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8</w:t>
            </w:r>
          </w:p>
        </w:tc>
        <w:tc>
          <w:tcPr>
            <w:tcW w:w="2610" w:type="dxa"/>
          </w:tcPr>
          <w:p w:rsidR="00A5284D" w:rsidRPr="004F79D6" w:rsidP="00FD0198">
            <w:pPr>
              <w:pStyle w:val="ParaNum0"/>
              <w:numPr>
                <w:ilvl w:val="0"/>
                <w:numId w:val="0"/>
              </w:numPr>
            </w:pPr>
            <w:r>
              <w:t>0</w:t>
            </w:r>
            <w:r w:rsidRPr="004F79D6">
              <w:t>1/18/2020</w:t>
            </w:r>
          </w:p>
        </w:tc>
        <w:tc>
          <w:tcPr>
            <w:tcW w:w="2430" w:type="dxa"/>
          </w:tcPr>
          <w:p w:rsidR="00A5284D" w:rsidRPr="004F79D6" w:rsidP="00FD0198">
            <w:pPr>
              <w:pStyle w:val="ParaNum0"/>
              <w:numPr>
                <w:ilvl w:val="0"/>
                <w:numId w:val="0"/>
              </w:numPr>
            </w:pPr>
            <w:r>
              <w:t>0</w:t>
            </w:r>
            <w:r w:rsidRPr="004F79D6">
              <w:t>3/13/2020</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9</w:t>
            </w:r>
          </w:p>
        </w:tc>
        <w:tc>
          <w:tcPr>
            <w:tcW w:w="2610" w:type="dxa"/>
          </w:tcPr>
          <w:p w:rsidR="00A5284D" w:rsidRPr="004F79D6" w:rsidP="00FD0198">
            <w:pPr>
              <w:pStyle w:val="ParaNum0"/>
              <w:numPr>
                <w:ilvl w:val="0"/>
                <w:numId w:val="0"/>
              </w:numPr>
            </w:pPr>
            <w:r>
              <w:t>0</w:t>
            </w:r>
            <w:r w:rsidRPr="004F79D6">
              <w:t>3/14/2020</w:t>
            </w:r>
          </w:p>
        </w:tc>
        <w:tc>
          <w:tcPr>
            <w:tcW w:w="2430" w:type="dxa"/>
          </w:tcPr>
          <w:p w:rsidR="00A5284D" w:rsidRPr="004F79D6" w:rsidP="00FD0198">
            <w:pPr>
              <w:pStyle w:val="ParaNum0"/>
              <w:numPr>
                <w:ilvl w:val="0"/>
                <w:numId w:val="0"/>
              </w:numPr>
            </w:pPr>
            <w:r>
              <w:t>0</w:t>
            </w:r>
            <w:r w:rsidRPr="004F79D6">
              <w:t>5/</w:t>
            </w:r>
            <w:r>
              <w:t>0</w:t>
            </w:r>
            <w:r w:rsidRPr="004F79D6">
              <w:t>1/2020</w:t>
            </w:r>
          </w:p>
        </w:tc>
      </w:tr>
      <w:tr w:rsidTr="00075AB0">
        <w:tblPrEx>
          <w:tblW w:w="0" w:type="auto"/>
          <w:jc w:val="center"/>
          <w:tblLook w:val="04A0"/>
        </w:tblPrEx>
        <w:trPr>
          <w:jc w:val="center"/>
        </w:trPr>
        <w:tc>
          <w:tcPr>
            <w:tcW w:w="895" w:type="dxa"/>
          </w:tcPr>
          <w:p w:rsidR="00A5284D" w:rsidRPr="004F79D6" w:rsidP="00FD0198">
            <w:pPr>
              <w:pStyle w:val="ParaNum0"/>
              <w:numPr>
                <w:ilvl w:val="0"/>
                <w:numId w:val="0"/>
              </w:numPr>
            </w:pPr>
            <w:r w:rsidRPr="004F79D6">
              <w:t>10</w:t>
            </w:r>
          </w:p>
        </w:tc>
        <w:tc>
          <w:tcPr>
            <w:tcW w:w="2610" w:type="dxa"/>
          </w:tcPr>
          <w:p w:rsidR="00A5284D" w:rsidRPr="004F79D6" w:rsidP="00FD0198">
            <w:pPr>
              <w:pStyle w:val="ParaNum0"/>
              <w:numPr>
                <w:ilvl w:val="0"/>
                <w:numId w:val="0"/>
              </w:numPr>
            </w:pPr>
            <w:r>
              <w:t>0</w:t>
            </w:r>
            <w:r w:rsidRPr="004F79D6">
              <w:t>5/</w:t>
            </w:r>
            <w:r>
              <w:t>0</w:t>
            </w:r>
            <w:r w:rsidRPr="004F79D6">
              <w:t>2/2020</w:t>
            </w:r>
          </w:p>
        </w:tc>
        <w:tc>
          <w:tcPr>
            <w:tcW w:w="2430" w:type="dxa"/>
          </w:tcPr>
          <w:p w:rsidR="00A5284D" w:rsidRPr="004F79D6" w:rsidP="00FD0198">
            <w:pPr>
              <w:pStyle w:val="ParaNum0"/>
              <w:numPr>
                <w:ilvl w:val="0"/>
                <w:numId w:val="0"/>
              </w:numPr>
            </w:pPr>
            <w:r>
              <w:t>0</w:t>
            </w:r>
            <w:r w:rsidRPr="004F79D6">
              <w:t>7/</w:t>
            </w:r>
            <w:r>
              <w:t>0</w:t>
            </w:r>
            <w:r w:rsidRPr="004F79D6">
              <w:t>3/2020</w:t>
            </w:r>
          </w:p>
        </w:tc>
      </w:tr>
    </w:tbl>
    <w:p w:rsidR="00A5284D" w:rsidRPr="004F79D6" w:rsidP="00FD0198">
      <w:pPr>
        <w:pStyle w:val="ParaNum0"/>
        <w:numPr>
          <w:ilvl w:val="0"/>
          <w:numId w:val="0"/>
        </w:numPr>
        <w:spacing w:line="120" w:lineRule="auto"/>
        <w:ind w:left="720"/>
      </w:pPr>
      <w:bookmarkEnd w:id="2"/>
    </w:p>
    <w:p w:rsidR="0096219A" w:rsidRPr="0019520B" w:rsidP="00FD0198">
      <w:pPr>
        <w:pStyle w:val="ParaNum0"/>
        <w:rPr>
          <w:szCs w:val="22"/>
        </w:rPr>
      </w:pPr>
      <w:r w:rsidRPr="004F79D6">
        <w:rPr>
          <w:b/>
          <w:i/>
        </w:rPr>
        <w:t>Repacked Station Transition Data</w:t>
      </w:r>
      <w:r w:rsidRPr="004F79D6">
        <w:rPr>
          <w:i/>
        </w:rPr>
        <w:t xml:space="preserve">.  </w:t>
      </w:r>
      <w:r w:rsidRPr="004F79D6">
        <w:t xml:space="preserve">Information on repacked stations’ post-auction channel assignments, phase assignments, and linked-station sets, including changes made during the transition, can be found at the following website:  </w:t>
      </w:r>
      <w:r w:rsidRPr="004F79D6">
        <w:rPr>
          <w:b/>
        </w:rPr>
        <w:t>https://data.fcc.gov/do</w:t>
      </w:r>
      <w:r w:rsidRPr="004F79D6">
        <w:rPr>
          <w:b/>
        </w:rPr>
        <w:t>wnload/incentive-auctions/Current_Transition_Files/ (Transition Data Website)</w:t>
      </w:r>
      <w:r w:rsidRPr="004F79D6">
        <w:t>.  The date of any update is noted next to each file.  All modifications to the Transition Data Website can be viewed by clicking on the link entitled “Change Log.”  Individual st</w:t>
      </w:r>
      <w:r w:rsidRPr="004F79D6">
        <w:t>ation</w:t>
      </w:r>
      <w:r w:rsidRPr="004F79D6">
        <w:t>’</w:t>
      </w:r>
      <w:r w:rsidRPr="004F79D6">
        <w:t xml:space="preserve">s phase assignments and deadlines, including changes, can also be found on each repacked station’s “facility page” in the Commission’s Licensing </w:t>
      </w:r>
      <w:r>
        <w:t xml:space="preserve">and </w:t>
      </w:r>
      <w:r w:rsidRPr="004F79D6">
        <w:t>Management System (</w:t>
      </w:r>
      <w:r w:rsidRPr="0019520B">
        <w:rPr>
          <w:szCs w:val="22"/>
        </w:rPr>
        <w:t>LMS) under the “Transition Data” tab.</w:t>
      </w:r>
      <w:r>
        <w:rPr>
          <w:rStyle w:val="FootnoteReference"/>
          <w:szCs w:val="22"/>
        </w:rPr>
        <w:footnoteReference w:id="9"/>
      </w:r>
      <w:r w:rsidRPr="0019520B">
        <w:rPr>
          <w:szCs w:val="22"/>
        </w:rPr>
        <w:t xml:space="preserve">  </w:t>
      </w:r>
    </w:p>
    <w:p w:rsidR="0019520B" w:rsidP="00FD0198">
      <w:pPr>
        <w:pStyle w:val="ParaNum0"/>
      </w:pPr>
      <w:r w:rsidRPr="0019520B">
        <w:rPr>
          <w:b/>
          <w:i/>
          <w:snapToGrid/>
          <w:kern w:val="0"/>
        </w:rPr>
        <w:t>Testing/Commencing Post-Auction Operation</w:t>
      </w:r>
      <w:r w:rsidRPr="0019520B">
        <w:rPr>
          <w:b/>
          <w:i/>
          <w:snapToGrid/>
          <w:kern w:val="0"/>
        </w:rPr>
        <w:t>s</w:t>
      </w:r>
      <w:r w:rsidRPr="0019520B">
        <w:rPr>
          <w:snapToGrid/>
          <w:kern w:val="0"/>
        </w:rPr>
        <w:t xml:space="preserve">.  </w:t>
      </w:r>
      <w:r w:rsidRPr="0019520B">
        <w:rPr>
          <w:snapToGrid/>
          <w:kern w:val="0"/>
        </w:rPr>
        <w:t>Repacked stations</w:t>
      </w:r>
      <w:r w:rsidRPr="0019520B">
        <w:t xml:space="preserve"> may not commence testing or operation on their post-auction channel </w:t>
      </w:r>
      <w:r w:rsidRPr="0019520B">
        <w:t>until</w:t>
      </w:r>
      <w:r w:rsidRPr="0019520B">
        <w:t xml:space="preserve"> 12:01 </w:t>
      </w:r>
      <w:r w:rsidRPr="0019520B">
        <w:t>AM</w:t>
      </w:r>
      <w:r w:rsidRPr="0019520B">
        <w:t xml:space="preserve"> (local time) on their testing period start date.</w:t>
      </w:r>
      <w:r>
        <w:rPr>
          <w:rStyle w:val="FootnoteReference"/>
          <w:snapToGrid/>
          <w:kern w:val="0"/>
          <w:szCs w:val="22"/>
        </w:rPr>
        <w:footnoteReference w:id="10"/>
      </w:r>
      <w:r w:rsidRPr="0019520B">
        <w:rPr>
          <w:snapToGrid/>
          <w:kern w:val="0"/>
        </w:rPr>
        <w:t xml:space="preserve">  </w:t>
      </w:r>
      <w:r w:rsidRPr="0019520B">
        <w:t>During the testing period stations are permitted to transmit a signal using their post-auction chann</w:t>
      </w:r>
      <w:r w:rsidRPr="0019520B">
        <w:t xml:space="preserve">el in order to:  (1) conduct testing of a station’s equipment/signal </w:t>
      </w:r>
      <w:r w:rsidRPr="0019520B">
        <w:t>to ensure proper functionality</w:t>
      </w:r>
      <w:r w:rsidRPr="0019520B">
        <w:t>;</w:t>
      </w:r>
      <w:r>
        <w:rPr>
          <w:rStyle w:val="FootnoteReference"/>
          <w:szCs w:val="22"/>
        </w:rPr>
        <w:footnoteReference w:id="11"/>
      </w:r>
      <w:r w:rsidRPr="0019520B">
        <w:t xml:space="preserve"> and (2) permanently commence operation on their post-auction channel upon ceasing operation on their pre-auction channel.</w:t>
      </w:r>
      <w:r w:rsidRPr="0019520B">
        <w:t xml:space="preserve">  </w:t>
      </w:r>
      <w:r w:rsidRPr="0019520B">
        <w:rPr>
          <w:b/>
        </w:rPr>
        <w:t xml:space="preserve">The purpose of the testing </w:t>
      </w:r>
      <w:r w:rsidRPr="0019520B">
        <w:rPr>
          <w:b/>
        </w:rPr>
        <w:t>period is not for station</w:t>
      </w:r>
      <w:r w:rsidRPr="0019520B">
        <w:rPr>
          <w:b/>
        </w:rPr>
        <w:t>s</w:t>
      </w:r>
      <w:r w:rsidRPr="0019520B">
        <w:rPr>
          <w:b/>
        </w:rPr>
        <w:t xml:space="preserve"> to simulcast signal</w:t>
      </w:r>
      <w:r w:rsidRPr="0019520B">
        <w:rPr>
          <w:b/>
        </w:rPr>
        <w:t>s</w:t>
      </w:r>
      <w:r w:rsidRPr="0019520B">
        <w:rPr>
          <w:b/>
        </w:rPr>
        <w:t xml:space="preserve"> to viewers on two channels</w:t>
      </w:r>
      <w:r w:rsidRPr="0019520B">
        <w:rPr>
          <w:b/>
        </w:rPr>
        <w:t xml:space="preserve">.  </w:t>
      </w:r>
      <w:r w:rsidRPr="0019520B">
        <w:t>Stations must file an application for license to cover (FCC Form 2100, Schedule B (full power) or Schedule F (Class A)) within 10 days following commencement of program test autho</w:t>
      </w:r>
      <w:r w:rsidRPr="0019520B">
        <w:t>rity.</w:t>
      </w:r>
      <w:r>
        <w:rPr>
          <w:rStyle w:val="FootnoteReference"/>
          <w:szCs w:val="22"/>
        </w:rPr>
        <w:footnoteReference w:id="12"/>
      </w:r>
      <w:r w:rsidRPr="0019520B">
        <w:t xml:space="preserve">  </w:t>
      </w:r>
    </w:p>
    <w:p w:rsidR="00186483" w:rsidRPr="0019520B" w:rsidP="00FD0198">
      <w:pPr>
        <w:pStyle w:val="ParaNum0"/>
      </w:pPr>
      <w:r w:rsidRPr="0019520B">
        <w:t>Some stations are required to receive authority to commence operation under program test authority, notably stations that will be operating on channel 14.</w:t>
      </w:r>
      <w:r>
        <w:rPr>
          <w:rStyle w:val="FootnoteReference"/>
          <w:szCs w:val="22"/>
        </w:rPr>
        <w:footnoteReference w:id="13"/>
      </w:r>
      <w:r w:rsidRPr="0019520B">
        <w:t xml:space="preserve">  Stations should </w:t>
      </w:r>
      <w:r>
        <w:t xml:space="preserve">carefully </w:t>
      </w:r>
      <w:r w:rsidRPr="0019520B">
        <w:t>check the terms of their construction permits for any special co</w:t>
      </w:r>
      <w:r w:rsidRPr="0019520B">
        <w:t>nditions and any required documentation that must accompany a request for program test authority.  In order to avoid going silent, a station that requires advance permission to commence program test authority should request Commission authority to do so in</w:t>
      </w:r>
      <w:r w:rsidRPr="0019520B">
        <w:t xml:space="preserve"> advance of its phase completion date.  </w:t>
      </w:r>
    </w:p>
    <w:p w:rsidR="00C727E9" w:rsidRPr="004F79D6" w:rsidP="00FD0198">
      <w:pPr>
        <w:pStyle w:val="ParaNum0"/>
      </w:pPr>
      <w:r w:rsidRPr="004F79D6">
        <w:rPr>
          <w:b/>
          <w:i/>
        </w:rPr>
        <w:t>Coordination Among Linked-Stations</w:t>
      </w:r>
      <w:r w:rsidRPr="004F79D6">
        <w:t>.  Stations that are part of a linked-station set</w:t>
      </w:r>
      <w:r w:rsidRPr="004F79D6">
        <w:t xml:space="preserve"> </w:t>
      </w:r>
      <w:r w:rsidRPr="004F79D6">
        <w:t>must coordinate both testing and commencement of operation on their post-auction channel with all other stations</w:t>
      </w:r>
      <w:r w:rsidRPr="004F79D6">
        <w:t xml:space="preserve"> to which they are </w:t>
      </w:r>
      <w:r>
        <w:t xml:space="preserve">directly </w:t>
      </w:r>
      <w:r w:rsidRPr="004F79D6">
        <w:t>linked</w:t>
      </w:r>
      <w:r w:rsidRPr="004F79D6">
        <w:t xml:space="preserve"> in that linked-station set.</w:t>
      </w:r>
      <w:r>
        <w:rPr>
          <w:rStyle w:val="FootnoteReference"/>
        </w:rPr>
        <w:footnoteReference w:id="14"/>
      </w:r>
      <w:r w:rsidRPr="004F79D6">
        <w:t xml:space="preserve"> </w:t>
      </w:r>
      <w:r w:rsidRPr="004F79D6">
        <w:t xml:space="preserve"> </w:t>
      </w:r>
      <w:r w:rsidRPr="004F79D6">
        <w:t>In most cases, c</w:t>
      </w:r>
      <w:r w:rsidRPr="004F79D6">
        <w:t xml:space="preserve">oordination </w:t>
      </w:r>
      <w:r w:rsidRPr="004F79D6">
        <w:t>will require more than</w:t>
      </w:r>
      <w:r w:rsidRPr="004F79D6">
        <w:t xml:space="preserve"> notice of </w:t>
      </w:r>
      <w:r w:rsidRPr="004F79D6">
        <w:t>a</w:t>
      </w:r>
      <w:r w:rsidRPr="004F79D6">
        <w:t xml:space="preserve"> station’s individual plans</w:t>
      </w:r>
      <w:r w:rsidRPr="004F79D6">
        <w:t>.  Coordination</w:t>
      </w:r>
      <w:r w:rsidRPr="004F79D6">
        <w:t xml:space="preserve"> should result in an agreed upon designated </w:t>
      </w:r>
      <w:r w:rsidRPr="004F79D6">
        <w:t xml:space="preserve">time and </w:t>
      </w:r>
      <w:r w:rsidRPr="004F79D6">
        <w:t>date on which all linked-stations will conduct testin</w:t>
      </w:r>
      <w:r w:rsidRPr="004F79D6">
        <w:t xml:space="preserve">g on their post-auction channels and which all </w:t>
      </w:r>
      <w:r w:rsidRPr="004F79D6">
        <w:t xml:space="preserve">such </w:t>
      </w:r>
      <w:r w:rsidRPr="004F79D6">
        <w:t xml:space="preserve">stations will commence operation on their new channels.  Failure to closely coordinate will result, in many cases, in substantial interference.  </w:t>
      </w:r>
      <w:r>
        <w:t>An increase of pairwise i</w:t>
      </w:r>
      <w:r w:rsidRPr="004F79D6">
        <w:t>nterference in excess of 2%, unles</w:t>
      </w:r>
      <w:r w:rsidRPr="004F79D6">
        <w:t xml:space="preserve">s expressly </w:t>
      </w:r>
      <w:r>
        <w:t xml:space="preserve">authorized by the Commission or </w:t>
      </w:r>
      <w:r w:rsidRPr="004F79D6">
        <w:t xml:space="preserve">agreed to among the affected stations, </w:t>
      </w:r>
      <w:r w:rsidRPr="004F79D6">
        <w:t>is</w:t>
      </w:r>
      <w:r w:rsidRPr="004F79D6">
        <w:t xml:space="preserve"> a violation of Commission rules.</w:t>
      </w:r>
      <w:r>
        <w:rPr>
          <w:rStyle w:val="FootnoteReference"/>
        </w:rPr>
        <w:footnoteReference w:id="15"/>
      </w:r>
      <w:r w:rsidRPr="004F79D6">
        <w:t xml:space="preserve">  </w:t>
      </w:r>
      <w:r w:rsidRPr="004F79D6">
        <w:t>As noted above, c</w:t>
      </w:r>
      <w:r w:rsidRPr="004F79D6">
        <w:t>omplete information on l</w:t>
      </w:r>
      <w:r w:rsidRPr="004F79D6">
        <w:t xml:space="preserve">inked-station sets and direct dependencies can be found </w:t>
      </w:r>
      <w:r w:rsidRPr="004F79D6">
        <w:t>on the Transition Data Website</w:t>
      </w:r>
      <w:r w:rsidRPr="004F79D6">
        <w:t>, as wel</w:t>
      </w:r>
      <w:r w:rsidRPr="004F79D6">
        <w:t xml:space="preserve">l as on each repacked station’s “facility page” in LMS under the “Transition Data” tab. </w:t>
      </w:r>
    </w:p>
    <w:p w:rsidR="00182DB5" w:rsidRPr="004F79D6" w:rsidP="00FD0198">
      <w:pPr>
        <w:pStyle w:val="ParaNum0"/>
        <w:widowControl/>
      </w:pPr>
      <w:r w:rsidRPr="004F79D6">
        <w:rPr>
          <w:b/>
          <w:i/>
        </w:rPr>
        <w:t>Requests for Additional Flexibility Using Special Temporary Authority</w:t>
      </w:r>
      <w:r w:rsidRPr="004F79D6">
        <w:t xml:space="preserve">.  As we have recognized, in order for some repacked stations to construct their post-auction </w:t>
      </w:r>
      <w:r w:rsidRPr="004F79D6">
        <w:t>facility they may need to operate with temporary facilities on either their pre-auction or post-auction channel for a period of time.</w:t>
      </w:r>
      <w:r>
        <w:rPr>
          <w:rStyle w:val="FootnoteReference"/>
        </w:rPr>
        <w:footnoteReference w:id="16"/>
      </w:r>
      <w:r w:rsidRPr="004F79D6">
        <w:t xml:space="preserve"> </w:t>
      </w:r>
      <w:r>
        <w:t xml:space="preserve"> </w:t>
      </w:r>
      <w:r w:rsidRPr="004F79D6">
        <w:t>If a station must operate on its pre-auction or post-auction channel at variance from its authorized parameters, a stati</w:t>
      </w:r>
      <w:r w:rsidRPr="004F79D6">
        <w:t>on must file an application for special temporary authority (STA) and receive</w:t>
      </w:r>
      <w:r>
        <w:t xml:space="preserve"> a</w:t>
      </w:r>
      <w:r w:rsidRPr="004F79D6">
        <w:t xml:space="preserve"> grant of such authority prior </w:t>
      </w:r>
      <w:r w:rsidRPr="004F79D6">
        <w:t>to commencing operations.</w:t>
      </w:r>
      <w:r>
        <w:rPr>
          <w:rStyle w:val="FootnoteReference"/>
        </w:rPr>
        <w:footnoteReference w:id="17"/>
      </w:r>
      <w:r w:rsidRPr="004F79D6">
        <w:t xml:space="preserve">  </w:t>
      </w:r>
      <w:r w:rsidRPr="004F79D6">
        <w:t xml:space="preserve">There are several additional tools at a repacked station’s disposal to </w:t>
      </w:r>
      <w:r>
        <w:t xml:space="preserve">remain </w:t>
      </w:r>
      <w:r w:rsidRPr="004F79D6">
        <w:t>on the air if it is unable to commence o</w:t>
      </w:r>
      <w:r w:rsidRPr="004F79D6">
        <w:t xml:space="preserve">peration on its post-auction channel </w:t>
      </w:r>
      <w:r w:rsidRPr="004F79D6">
        <w:t>by its phase completion date</w:t>
      </w:r>
      <w:r w:rsidRPr="004F79D6">
        <w:t xml:space="preserve">.  </w:t>
      </w:r>
      <w:r w:rsidRPr="004F79D6">
        <w:t>R</w:t>
      </w:r>
      <w:r w:rsidRPr="004F79D6">
        <w:t>epacked stations may</w:t>
      </w:r>
      <w:r w:rsidRPr="004F79D6">
        <w:t xml:space="preserve"> seek an STA to individually use a temporary channel</w:t>
      </w:r>
      <w:r>
        <w:rPr>
          <w:rStyle w:val="FootnoteReference"/>
        </w:rPr>
        <w:footnoteReference w:id="18"/>
      </w:r>
      <w:r w:rsidRPr="004F79D6">
        <w:t xml:space="preserve"> </w:t>
      </w:r>
      <w:r w:rsidRPr="004F79D6">
        <w:t>or engage in temporary joint use of a channel</w:t>
      </w:r>
      <w:r w:rsidRPr="004F79D6">
        <w:t>.</w:t>
      </w:r>
      <w:r>
        <w:rPr>
          <w:rStyle w:val="FootnoteReference"/>
        </w:rPr>
        <w:footnoteReference w:id="19"/>
      </w:r>
      <w:r w:rsidRPr="004F79D6">
        <w:t xml:space="preserve">  Stations also may request an STA to continue to operate on their</w:t>
      </w:r>
      <w:r w:rsidRPr="004F79D6">
        <w:t xml:space="preserve"> pre-auction channel beyond their phase completion deadlines.</w:t>
      </w:r>
      <w:r>
        <w:rPr>
          <w:rStyle w:val="FootnoteReference"/>
        </w:rPr>
        <w:footnoteReference w:id="20"/>
      </w:r>
      <w:r w:rsidRPr="004F79D6">
        <w:t xml:space="preserve">  </w:t>
      </w:r>
    </w:p>
    <w:p w:rsidR="00182DB5" w:rsidRPr="004F79D6" w:rsidP="00FD0198">
      <w:pPr>
        <w:pStyle w:val="ParaNum0"/>
      </w:pPr>
      <w:r w:rsidRPr="004F79D6">
        <w:rPr>
          <w:szCs w:val="22"/>
        </w:rPr>
        <w:t>As we have previously announced, the Bureau will evaluate all STA requests to determine whether grant would delay or disrupt the post-auction transition schedule</w:t>
      </w:r>
      <w:r>
        <w:rPr>
          <w:szCs w:val="22"/>
        </w:rPr>
        <w:t>.</w:t>
      </w:r>
      <w:r>
        <w:rPr>
          <w:rStyle w:val="FootnoteReference"/>
          <w:szCs w:val="22"/>
        </w:rPr>
        <w:footnoteReference w:id="21"/>
      </w:r>
      <w:r>
        <w:rPr>
          <w:szCs w:val="22"/>
        </w:rPr>
        <w:t xml:space="preserve">  We will </w:t>
      </w:r>
      <w:r w:rsidRPr="004F79D6">
        <w:rPr>
          <w:szCs w:val="22"/>
        </w:rPr>
        <w:t>not grant an STA t</w:t>
      </w:r>
      <w:r w:rsidRPr="004F79D6">
        <w:rPr>
          <w:szCs w:val="22"/>
        </w:rPr>
        <w:t>hat would authorize a station to operate on its pre-auction channel beyond the end of the 39-month transition period.</w:t>
      </w:r>
      <w:r>
        <w:rPr>
          <w:rStyle w:val="FootnoteReference"/>
          <w:szCs w:val="22"/>
        </w:rPr>
        <w:footnoteReference w:id="22"/>
      </w:r>
      <w:r w:rsidRPr="004F79D6">
        <w:rPr>
          <w:szCs w:val="22"/>
        </w:rPr>
        <w:t xml:space="preserve">  </w:t>
      </w:r>
      <w:r w:rsidRPr="004F79D6">
        <w:rPr>
          <w:szCs w:val="22"/>
        </w:rPr>
        <w:t>While we have provided several tools to provide relief to stations that are unable to satisfy certain transition deadlines, failure to t</w:t>
      </w:r>
      <w:r w:rsidRPr="004F79D6">
        <w:rPr>
          <w:szCs w:val="22"/>
        </w:rPr>
        <w:t>imely initiate a construction project or undertake necessary steps to meet transition deadlines</w:t>
      </w:r>
      <w:r w:rsidRPr="004F79D6">
        <w:rPr>
          <w:szCs w:val="22"/>
        </w:rPr>
        <w:t>, including</w:t>
      </w:r>
      <w:r w:rsidRPr="004F79D6">
        <w:rPr>
          <w:szCs w:val="22"/>
        </w:rPr>
        <w:t xml:space="preserve"> due</w:t>
      </w:r>
      <w:r w:rsidRPr="004F79D6">
        <w:rPr>
          <w:szCs w:val="22"/>
        </w:rPr>
        <w:t xml:space="preserve"> to</w:t>
      </w:r>
      <w:r w:rsidRPr="004F79D6">
        <w:rPr>
          <w:szCs w:val="22"/>
        </w:rPr>
        <w:t xml:space="preserve"> </w:t>
      </w:r>
      <w:r w:rsidRPr="004F79D6">
        <w:rPr>
          <w:szCs w:val="22"/>
        </w:rPr>
        <w:t>a pending application</w:t>
      </w:r>
      <w:r>
        <w:rPr>
          <w:szCs w:val="22"/>
        </w:rPr>
        <w:t>,</w:t>
      </w:r>
      <w:r w:rsidRPr="004F79D6">
        <w:rPr>
          <w:szCs w:val="22"/>
        </w:rPr>
        <w:t xml:space="preserve"> or </w:t>
      </w:r>
      <w:r w:rsidRPr="004F79D6">
        <w:rPr>
          <w:szCs w:val="22"/>
        </w:rPr>
        <w:t>the amount of any reimbursement allocation</w:t>
      </w:r>
      <w:r>
        <w:rPr>
          <w:szCs w:val="22"/>
        </w:rPr>
        <w:t>,</w:t>
      </w:r>
      <w:r w:rsidRPr="004F79D6">
        <w:rPr>
          <w:szCs w:val="22"/>
        </w:rPr>
        <w:t xml:space="preserve"> will not be weighed favorably as a factor in considering such grants of </w:t>
      </w:r>
      <w:r w:rsidRPr="004F79D6">
        <w:rPr>
          <w:szCs w:val="22"/>
        </w:rPr>
        <w:t>relief.</w:t>
      </w:r>
      <w:r>
        <w:rPr>
          <w:rStyle w:val="FootnoteReference"/>
          <w:szCs w:val="22"/>
        </w:rPr>
        <w:footnoteReference w:id="23"/>
      </w:r>
      <w:r w:rsidRPr="004F79D6">
        <w:rPr>
          <w:szCs w:val="22"/>
        </w:rPr>
        <w:t xml:space="preserve">  </w:t>
      </w:r>
      <w:r w:rsidRPr="004F79D6">
        <w:rPr>
          <w:szCs w:val="22"/>
        </w:rPr>
        <w:t>All STAs for temporary facilities granted in connection with the post-auction transition will be for a maximum of 180 days.</w:t>
      </w:r>
      <w:r>
        <w:rPr>
          <w:rStyle w:val="FootnoteReference"/>
          <w:szCs w:val="22"/>
        </w:rPr>
        <w:footnoteReference w:id="24"/>
      </w:r>
      <w:r w:rsidRPr="004F79D6">
        <w:rPr>
          <w:szCs w:val="22"/>
        </w:rPr>
        <w:t xml:space="preserve">  </w:t>
      </w:r>
      <w:r w:rsidRPr="004F79D6">
        <w:rPr>
          <w:szCs w:val="22"/>
        </w:rPr>
        <w:t>We recommend that repacked stations, if possible, file such STA requests at</w:t>
      </w:r>
      <w:r w:rsidRPr="004F79D6">
        <w:t xml:space="preserve"> least </w:t>
      </w:r>
      <w:r>
        <w:t>30</w:t>
      </w:r>
      <w:r w:rsidRPr="004F79D6">
        <w:t xml:space="preserve"> days prior to the date they plan to</w:t>
      </w:r>
      <w:r w:rsidRPr="004F79D6">
        <w:t xml:space="preserve"> commence STA operations.  </w:t>
      </w:r>
    </w:p>
    <w:p w:rsidR="009C3669" w:rsidRPr="004F79D6" w:rsidP="00FD0198">
      <w:pPr>
        <w:pStyle w:val="ParaNum0"/>
      </w:pPr>
      <w:r w:rsidRPr="004F79D6">
        <w:rPr>
          <w:b/>
          <w:i/>
        </w:rPr>
        <w:t>Silent Authority</w:t>
      </w:r>
      <w:r w:rsidRPr="004F79D6">
        <w:rPr>
          <w:i/>
        </w:rPr>
        <w:t>.</w:t>
      </w:r>
      <w:r w:rsidRPr="004F79D6">
        <w:t xml:space="preserve">  </w:t>
      </w:r>
      <w:r>
        <w:t>Commission</w:t>
      </w:r>
      <w:r w:rsidRPr="004F79D6">
        <w:t xml:space="preserve"> rules provide that a station may suspend operations for a period of not more than 30 days absent specific authority from the Commission.</w:t>
      </w:r>
      <w:r>
        <w:rPr>
          <w:rStyle w:val="FootnoteReference"/>
        </w:rPr>
        <w:footnoteReference w:id="25"/>
      </w:r>
      <w:r w:rsidRPr="004F79D6">
        <w:t xml:space="preserve">  Stations that remain silent for more than 10 days must notify the Commission not later than the tenth day of their suspended operations by filing a Suspension of Operations Notification</w:t>
      </w:r>
      <w:r w:rsidRPr="004F79D6">
        <w:t xml:space="preserve"> in LMS</w:t>
      </w:r>
      <w:r w:rsidRPr="004F79D6">
        <w:t>.</w:t>
      </w:r>
      <w:r>
        <w:rPr>
          <w:rStyle w:val="FootnoteReference"/>
        </w:rPr>
        <w:footnoteReference w:id="26"/>
      </w:r>
      <w:r w:rsidRPr="004F79D6">
        <w:t xml:space="preserve">  Stations that need to remain silent for more than 30 days </w:t>
      </w:r>
      <w:r w:rsidRPr="004F79D6">
        <w:t>must file</w:t>
      </w:r>
      <w:r w:rsidRPr="004F79D6">
        <w:t xml:space="preserve"> for</w:t>
      </w:r>
      <w:r w:rsidRPr="004F79D6">
        <w:t xml:space="preserve"> a Silent STA.</w:t>
      </w:r>
      <w:r>
        <w:rPr>
          <w:rStyle w:val="FootnoteReference"/>
        </w:rPr>
        <w:footnoteReference w:id="27"/>
      </w:r>
      <w:r w:rsidRPr="004F79D6">
        <w:t xml:space="preserve">  </w:t>
      </w:r>
      <w:r w:rsidRPr="004F79D6">
        <w:t xml:space="preserve">In the unlikely circumstance where a station believes it will </w:t>
      </w:r>
      <w:r w:rsidRPr="004F79D6">
        <w:t xml:space="preserve">need to temporarily go silent because it will be </w:t>
      </w:r>
      <w:r w:rsidRPr="004F79D6">
        <w:t xml:space="preserve">unable to commence operation on its post-auction channel </w:t>
      </w:r>
      <w:r w:rsidRPr="004F79D6">
        <w:t xml:space="preserve">by </w:t>
      </w:r>
      <w:r w:rsidRPr="004F79D6">
        <w:t>its phase completion date</w:t>
      </w:r>
      <w:r>
        <w:t xml:space="preserve">, </w:t>
      </w:r>
      <w:r>
        <w:t xml:space="preserve">the </w:t>
      </w:r>
      <w:r>
        <w:t xml:space="preserve">station should notify </w:t>
      </w:r>
      <w:r>
        <w:t>it</w:t>
      </w:r>
      <w:r>
        <w:t xml:space="preserve">s </w:t>
      </w:r>
      <w:r w:rsidRPr="004F79D6">
        <w:t>regional coordinator</w:t>
      </w:r>
      <w:r>
        <w:rPr>
          <w:rStyle w:val="FootnoteReference"/>
        </w:rPr>
        <w:footnoteReference w:id="28"/>
      </w:r>
      <w:r w:rsidRPr="004F79D6">
        <w:t xml:space="preserve"> and send an e-mail to</w:t>
      </w:r>
      <w:r>
        <w:t xml:space="preserve"> IATransition@fcc.gov</w:t>
      </w:r>
      <w:r w:rsidRPr="004F79D6">
        <w:t xml:space="preserve"> as soon as that fact is known. </w:t>
      </w:r>
    </w:p>
    <w:p w:rsidR="004F79D6" w:rsidRPr="004F79D6" w:rsidP="00FD0198">
      <w:pPr>
        <w:pStyle w:val="ParaNum0"/>
      </w:pPr>
      <w:r w:rsidRPr="004F79D6">
        <w:rPr>
          <w:b/>
          <w:i/>
        </w:rPr>
        <w:t>Ceasing Pre-Auction Channel Operation</w:t>
      </w:r>
      <w:r w:rsidRPr="004F79D6">
        <w:t xml:space="preserve">.  </w:t>
      </w:r>
      <w:r w:rsidRPr="004F79D6">
        <w:t>In order to accommodate a smooth transition and prevent viewer confusion, repacked stations</w:t>
      </w:r>
      <w:r w:rsidRPr="004F79D6">
        <w:t xml:space="preserve"> are expected to cease ope</w:t>
      </w:r>
      <w:r w:rsidRPr="004F79D6">
        <w:t>ration on their pre-auction channel upon whichever of the following occurs first:  (1) the filing of a license to cover;</w:t>
      </w:r>
      <w:r>
        <w:rPr>
          <w:rStyle w:val="FootnoteReference"/>
        </w:rPr>
        <w:footnoteReference w:id="29"/>
      </w:r>
      <w:r w:rsidRPr="004F79D6">
        <w:t xml:space="preserve"> (2) </w:t>
      </w:r>
      <w:r>
        <w:t xml:space="preserve">the </w:t>
      </w:r>
      <w:r w:rsidRPr="004F79D6">
        <w:t>commencement of operation on the station’s post-auction channel pursuant to a</w:t>
      </w:r>
      <w:r>
        <w:t xml:space="preserve"> </w:t>
      </w:r>
      <w:r w:rsidRPr="004F79D6">
        <w:t xml:space="preserve">grant of </w:t>
      </w:r>
      <w:r>
        <w:t xml:space="preserve">STA </w:t>
      </w:r>
      <w:r w:rsidRPr="004F79D6">
        <w:t>to operate at variance from its aut</w:t>
      </w:r>
      <w:r w:rsidRPr="004F79D6">
        <w:t>horized post-auction parameters;</w:t>
      </w:r>
      <w:r w:rsidRPr="004F79D6">
        <w:t xml:space="preserve"> </w:t>
      </w:r>
      <w:r w:rsidRPr="004F79D6">
        <w:t>(3) the date a station has informed viewers it will be ceasing pre-auction operations</w:t>
      </w:r>
      <w:r w:rsidRPr="004F79D6">
        <w:t xml:space="preserve"> or commencing post-auction operations</w:t>
      </w:r>
      <w:r w:rsidRPr="004F79D6">
        <w:t>; or (4) no later than 11:59</w:t>
      </w:r>
      <w:r w:rsidRPr="004F79D6">
        <w:t xml:space="preserve"> PM</w:t>
      </w:r>
      <w:r w:rsidRPr="004F79D6">
        <w:t xml:space="preserve"> local time on the station’s assigned phase completion date.</w:t>
      </w:r>
      <w:r>
        <w:rPr>
          <w:rStyle w:val="FootnoteReference"/>
        </w:rPr>
        <w:footnoteReference w:id="30"/>
      </w:r>
      <w:r w:rsidRPr="004F79D6">
        <w:t xml:space="preserve">  </w:t>
      </w:r>
      <w:r w:rsidRPr="004F79D6">
        <w:t>As dis</w:t>
      </w:r>
      <w:r w:rsidRPr="004F79D6">
        <w:t>cussed in greater detail below, a</w:t>
      </w:r>
      <w:r w:rsidRPr="004F79D6">
        <w:t xml:space="preserve"> station that cannot complete construction of its post-auction facility by the construction permit expiration date (</w:t>
      </w:r>
      <w:r>
        <w:t xml:space="preserve">i.e. </w:t>
      </w:r>
      <w:r w:rsidRPr="004F79D6">
        <w:t>the station’s phase completion date), may seek a single extension of the construction permit expiratio</w:t>
      </w:r>
      <w:r w:rsidRPr="004F79D6">
        <w:t>n date of up to 180 days</w:t>
      </w:r>
      <w:r w:rsidRPr="004F79D6">
        <w:t>.  However, absent express authority from the Commission to the contrary, a repacked station must cease operation on its pre-auction channel no later than the station’s phase completion date.</w:t>
      </w:r>
      <w:r w:rsidRPr="009902FB">
        <w:rPr>
          <w:rStyle w:val="FootnoteReference"/>
        </w:rPr>
        <w:t xml:space="preserve"> </w:t>
      </w:r>
    </w:p>
    <w:p w:rsidR="00406563" w:rsidRPr="004F79D6" w:rsidP="00FD0198">
      <w:pPr>
        <w:pStyle w:val="ParaNum0"/>
      </w:pPr>
      <w:r w:rsidRPr="004F79D6">
        <w:rPr>
          <w:b/>
          <w:i/>
        </w:rPr>
        <w:t>Extension of Construction Permit Expira</w:t>
      </w:r>
      <w:r w:rsidRPr="004F79D6">
        <w:rPr>
          <w:b/>
          <w:i/>
        </w:rPr>
        <w:t>tion Date</w:t>
      </w:r>
      <w:r w:rsidRPr="004F79D6">
        <w:t xml:space="preserve">.  A station may seek a single extension of the construction permit expiration date of up to 180 days </w:t>
      </w:r>
      <w:r w:rsidRPr="004F79D6">
        <w:t>by submitting a</w:t>
      </w:r>
      <w:r w:rsidRPr="004F79D6">
        <w:t>n extension application using Schedule 2100, FCC Form 337 (Construction Permit Extension).</w:t>
      </w:r>
      <w:r>
        <w:rPr>
          <w:rStyle w:val="FootnoteReference"/>
        </w:rPr>
        <w:footnoteReference w:id="31"/>
      </w:r>
      <w:r w:rsidRPr="004F79D6">
        <w:t xml:space="preserve">  Such application </w:t>
      </w:r>
      <w:r w:rsidRPr="004F79D6">
        <w:t xml:space="preserve">must be filed 90 </w:t>
      </w:r>
      <w:r w:rsidRPr="004F79D6">
        <w:t>days before a station’s construction permit deadline</w:t>
      </w:r>
      <w:r w:rsidRPr="004F79D6">
        <w:t>.</w:t>
      </w:r>
      <w:r>
        <w:rPr>
          <w:rStyle w:val="FootnoteReference"/>
        </w:rPr>
        <w:footnoteReference w:id="32"/>
      </w:r>
      <w:r w:rsidRPr="004F79D6">
        <w:t xml:space="preserve">  </w:t>
      </w:r>
      <w:r w:rsidRPr="004F79D6">
        <w:t>The deadline for filing a Construction Permit Extension</w:t>
      </w:r>
      <w:r w:rsidRPr="004F79D6">
        <w:t xml:space="preserve"> application</w:t>
      </w:r>
      <w:r w:rsidRPr="004F79D6">
        <w:t>, by phase and based on the current transition schedule, are</w:t>
      </w:r>
      <w:r>
        <w:t>:</w:t>
      </w:r>
    </w:p>
    <w:tbl>
      <w:tblPr>
        <w:tblStyle w:val="TableGrid"/>
        <w:tblW w:w="0" w:type="auto"/>
        <w:jc w:val="center"/>
        <w:tblLook w:val="04A0"/>
      </w:tblPr>
      <w:tblGrid>
        <w:gridCol w:w="985"/>
        <w:gridCol w:w="3240"/>
      </w:tblGrid>
      <w:tr w:rsidTr="001B2C69">
        <w:tblPrEx>
          <w:tblW w:w="0" w:type="auto"/>
          <w:jc w:val="center"/>
          <w:tblLook w:val="04A0"/>
        </w:tblPrEx>
        <w:trPr>
          <w:jc w:val="center"/>
        </w:trPr>
        <w:tc>
          <w:tcPr>
            <w:tcW w:w="985" w:type="dxa"/>
          </w:tcPr>
          <w:p w:rsidR="004D3EC8" w:rsidRPr="004F79D6" w:rsidP="00FD0198">
            <w:pPr>
              <w:pStyle w:val="ParaNum0"/>
              <w:numPr>
                <w:ilvl w:val="0"/>
                <w:numId w:val="0"/>
              </w:numPr>
            </w:pPr>
            <w:bookmarkStart w:id="4" w:name="_Hlk521587267"/>
            <w:r w:rsidRPr="004F79D6">
              <w:t>Phase</w:t>
            </w:r>
          </w:p>
        </w:tc>
        <w:tc>
          <w:tcPr>
            <w:tcW w:w="3240" w:type="dxa"/>
          </w:tcPr>
          <w:p w:rsidR="004D3EC8" w:rsidRPr="004F79D6" w:rsidP="00FD0198">
            <w:pPr>
              <w:pStyle w:val="ParaNum0"/>
              <w:numPr>
                <w:ilvl w:val="0"/>
                <w:numId w:val="0"/>
              </w:numPr>
            </w:pPr>
            <w:r w:rsidRPr="004F79D6">
              <w:t>180-Day Construction Permit Extension Filing Deadline</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1</w:t>
            </w:r>
          </w:p>
        </w:tc>
        <w:tc>
          <w:tcPr>
            <w:tcW w:w="3240" w:type="dxa"/>
          </w:tcPr>
          <w:p w:rsidR="004D3EC8" w:rsidRPr="004F79D6" w:rsidP="00FD0198">
            <w:r>
              <w:t>0</w:t>
            </w:r>
            <w:r w:rsidRPr="004F79D6">
              <w:t>9/</w:t>
            </w:r>
            <w:r>
              <w:t>0</w:t>
            </w:r>
            <w:r w:rsidRPr="004F79D6">
              <w:t>4/20</w:t>
            </w:r>
            <w:r w:rsidRPr="004F79D6">
              <w:t>18</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2</w:t>
            </w:r>
          </w:p>
        </w:tc>
        <w:tc>
          <w:tcPr>
            <w:tcW w:w="3240" w:type="dxa"/>
          </w:tcPr>
          <w:p w:rsidR="004D3EC8" w:rsidRPr="004F79D6" w:rsidP="00FD0198">
            <w:r>
              <w:t>0</w:t>
            </w:r>
            <w:r w:rsidRPr="004F79D6">
              <w:t>1/14/2019</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3</w:t>
            </w:r>
          </w:p>
        </w:tc>
        <w:tc>
          <w:tcPr>
            <w:tcW w:w="3240" w:type="dxa"/>
          </w:tcPr>
          <w:p w:rsidR="004D3EC8" w:rsidRPr="004F79D6" w:rsidP="00FD0198">
            <w:r>
              <w:t>0</w:t>
            </w:r>
            <w:r w:rsidRPr="004F79D6">
              <w:t>3/25/2019</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4</w:t>
            </w:r>
          </w:p>
        </w:tc>
        <w:tc>
          <w:tcPr>
            <w:tcW w:w="3240" w:type="dxa"/>
          </w:tcPr>
          <w:p w:rsidR="004D3EC8" w:rsidRPr="004F79D6" w:rsidP="00FD0198">
            <w:r>
              <w:t>0</w:t>
            </w:r>
            <w:r w:rsidRPr="004F79D6">
              <w:t>5/</w:t>
            </w:r>
            <w:r>
              <w:t>0</w:t>
            </w:r>
            <w:r w:rsidRPr="004F79D6">
              <w:t>6/2019</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5</w:t>
            </w:r>
          </w:p>
        </w:tc>
        <w:tc>
          <w:tcPr>
            <w:tcW w:w="3240" w:type="dxa"/>
          </w:tcPr>
          <w:p w:rsidR="004D3EC8" w:rsidRPr="004F79D6" w:rsidP="00FD0198">
            <w:r>
              <w:t>0</w:t>
            </w:r>
            <w:r w:rsidRPr="004F79D6">
              <w:t>6/10/2019</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6</w:t>
            </w:r>
          </w:p>
        </w:tc>
        <w:tc>
          <w:tcPr>
            <w:tcW w:w="3240" w:type="dxa"/>
          </w:tcPr>
          <w:p w:rsidR="004D3EC8" w:rsidRPr="004F79D6" w:rsidP="00FD0198">
            <w:r>
              <w:t>0</w:t>
            </w:r>
            <w:r w:rsidRPr="004F79D6">
              <w:t>7/22/2019</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7</w:t>
            </w:r>
          </w:p>
        </w:tc>
        <w:tc>
          <w:tcPr>
            <w:tcW w:w="3240" w:type="dxa"/>
          </w:tcPr>
          <w:p w:rsidR="004D3EC8" w:rsidRPr="004F79D6" w:rsidP="00FD0198">
            <w:r w:rsidRPr="004F79D6">
              <w:t>10/21/2019</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8</w:t>
            </w:r>
          </w:p>
        </w:tc>
        <w:tc>
          <w:tcPr>
            <w:tcW w:w="3240" w:type="dxa"/>
          </w:tcPr>
          <w:p w:rsidR="004D3EC8" w:rsidRPr="004F79D6" w:rsidP="00FD0198">
            <w:r w:rsidRPr="004F79D6">
              <w:t>12/16/2019</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9</w:t>
            </w:r>
          </w:p>
        </w:tc>
        <w:tc>
          <w:tcPr>
            <w:tcW w:w="3240" w:type="dxa"/>
          </w:tcPr>
          <w:p w:rsidR="004D3EC8" w:rsidRPr="004F79D6" w:rsidP="00FD0198">
            <w:r>
              <w:t>0</w:t>
            </w:r>
            <w:r w:rsidRPr="004F79D6">
              <w:t>2/</w:t>
            </w:r>
            <w:r>
              <w:t>0</w:t>
            </w:r>
            <w:r w:rsidRPr="004F79D6">
              <w:t>3/2020</w:t>
            </w:r>
          </w:p>
        </w:tc>
      </w:tr>
      <w:tr w:rsidTr="001B2C69">
        <w:tblPrEx>
          <w:tblW w:w="0" w:type="auto"/>
          <w:jc w:val="center"/>
          <w:tblLook w:val="04A0"/>
        </w:tblPrEx>
        <w:trPr>
          <w:jc w:val="center"/>
        </w:trPr>
        <w:tc>
          <w:tcPr>
            <w:tcW w:w="985" w:type="dxa"/>
          </w:tcPr>
          <w:p w:rsidR="004D3EC8" w:rsidRPr="004F79D6" w:rsidP="00FD0198">
            <w:pPr>
              <w:pStyle w:val="ParaNum0"/>
              <w:numPr>
                <w:ilvl w:val="0"/>
                <w:numId w:val="0"/>
              </w:numPr>
            </w:pPr>
            <w:r w:rsidRPr="004F79D6">
              <w:t>10</w:t>
            </w:r>
          </w:p>
        </w:tc>
        <w:tc>
          <w:tcPr>
            <w:tcW w:w="3240" w:type="dxa"/>
          </w:tcPr>
          <w:p w:rsidR="004D3EC8" w:rsidRPr="004F79D6" w:rsidP="00FD0198">
            <w:r>
              <w:t>0</w:t>
            </w:r>
            <w:r w:rsidRPr="004F79D6">
              <w:t>4/</w:t>
            </w:r>
            <w:r>
              <w:t>0</w:t>
            </w:r>
            <w:r w:rsidRPr="004F79D6">
              <w:t>6/2020</w:t>
            </w:r>
          </w:p>
        </w:tc>
      </w:tr>
    </w:tbl>
    <w:p w:rsidR="004F79D6" w:rsidRPr="004F79D6" w:rsidP="00FD0198">
      <w:pPr>
        <w:pStyle w:val="ParaNum0"/>
        <w:widowControl/>
        <w:spacing w:before="120"/>
      </w:pPr>
      <w:bookmarkEnd w:id="4"/>
      <w:r w:rsidRPr="004F79D6">
        <w:t xml:space="preserve">A Construction Permit Extension application </w:t>
      </w:r>
      <w:r w:rsidRPr="004F79D6">
        <w:t xml:space="preserve">must include an exhibit demonstrating that, despite all reasonable efforts, the station is unable to complete construction of its new facility on time due to circumstances that were either unforeseeable or </w:t>
      </w:r>
      <w:r w:rsidRPr="004F79D6">
        <w:t>beyond its control.</w:t>
      </w:r>
      <w:r w:rsidRPr="004F79D6">
        <w:t xml:space="preserve">  </w:t>
      </w:r>
      <w:r w:rsidRPr="004F79D6">
        <w:t>The following circumstances m</w:t>
      </w:r>
      <w:r w:rsidRPr="004F79D6">
        <w:t xml:space="preserve">ight justify </w:t>
      </w:r>
      <w:r>
        <w:t xml:space="preserve">grant of </w:t>
      </w:r>
      <w:r w:rsidRPr="004F79D6">
        <w:t>an extension of a station’s construction deadline: (1) weather related delays;</w:t>
      </w:r>
      <w:r w:rsidRPr="004F79D6">
        <w:t xml:space="preserve"> </w:t>
      </w:r>
      <w:r w:rsidRPr="004F79D6">
        <w:t>(2) delays in construction due to the unavailability of equipment or a tower crew; (3) tower lease disputes; (4) unusual technical challenges; or (5) delay</w:t>
      </w:r>
      <w:r w:rsidRPr="004F79D6">
        <w:t>s caused by the need to obtain government approvals, such as land use or zoning approvals, or to observe competitive bidding requirements prior to purchasing equipment or services.  In limited circumstances</w:t>
      </w:r>
      <w:r>
        <w:t xml:space="preserve"> and with appropriate supporting documentation</w:t>
      </w:r>
      <w:r w:rsidRPr="004F79D6">
        <w:t>, st</w:t>
      </w:r>
      <w:r w:rsidRPr="004F79D6">
        <w:t xml:space="preserve">ations may rely on “financial hardship” as a criterion for seeking an extension of time. </w:t>
      </w:r>
      <w:r w:rsidRPr="004F79D6">
        <w:t xml:space="preserve"> </w:t>
      </w:r>
      <w:r w:rsidRPr="004F79D6">
        <w:t>Such circumstances may</w:t>
      </w:r>
      <w:r>
        <w:t xml:space="preserve">, for </w:t>
      </w:r>
      <w:r>
        <w:t>example,</w:t>
      </w:r>
      <w:r w:rsidRPr="004F79D6">
        <w:t xml:space="preserve"> include a situation in which a station is subject to an active bankruptcy or receivership proceeding.</w:t>
      </w:r>
      <w:r>
        <w:rPr>
          <w:rStyle w:val="FootnoteReference"/>
        </w:rPr>
        <w:footnoteReference w:id="33"/>
      </w:r>
      <w:r w:rsidRPr="004F79D6">
        <w:t xml:space="preserve">  </w:t>
      </w:r>
    </w:p>
    <w:p w:rsidR="00566AB1" w:rsidRPr="004F79D6" w:rsidP="00FD0198">
      <w:pPr>
        <w:pStyle w:val="ParaNum0"/>
        <w:spacing w:before="120"/>
      </w:pPr>
      <w:r w:rsidRPr="004F79D6">
        <w:t xml:space="preserve">Grant of a Construction </w:t>
      </w:r>
      <w:r w:rsidRPr="004F79D6">
        <w:t>Permit Extension does not modify</w:t>
      </w:r>
      <w:r w:rsidRPr="004F79D6">
        <w:rPr>
          <w:b/>
        </w:rPr>
        <w:t xml:space="preserve"> </w:t>
      </w:r>
      <w:r w:rsidRPr="004F79D6">
        <w:t>the requirement that the station cease operation on its pre-auction channel by 11:59 PM (local time) on its phase completion date.</w:t>
      </w:r>
      <w:r>
        <w:rPr>
          <w:rStyle w:val="FootnoteReference"/>
        </w:rPr>
        <w:footnoteReference w:id="34"/>
      </w:r>
      <w:r w:rsidRPr="004F79D6">
        <w:t xml:space="preserve">  </w:t>
      </w:r>
      <w:r w:rsidRPr="004F79D6">
        <w:t>The Bureau has also announced that, prior to grant, it will evaluate all extension applica</w:t>
      </w:r>
      <w:r w:rsidRPr="004F79D6">
        <w:t>tions to determine whether grant will delay or disrupt the post-auction transition schedule.</w:t>
      </w:r>
      <w:r>
        <w:rPr>
          <w:rStyle w:val="FootnoteReference"/>
        </w:rPr>
        <w:footnoteReference w:id="35"/>
      </w:r>
      <w:r w:rsidRPr="004F79D6">
        <w:t xml:space="preserve">  </w:t>
      </w:r>
      <w:r w:rsidRPr="004F79D6">
        <w:t>Additional time beyond the initial 180-day extension will be subject to the Commission’s stricter “tolling” rule.</w:t>
      </w:r>
      <w:r>
        <w:rPr>
          <w:rStyle w:val="FootnoteReference"/>
        </w:rPr>
        <w:footnoteReference w:id="36"/>
      </w:r>
      <w:r w:rsidRPr="004F79D6">
        <w:t xml:space="preserve">  </w:t>
      </w:r>
    </w:p>
    <w:p w:rsidR="00505CC2" w:rsidRPr="004F79D6" w:rsidP="00FD0198">
      <w:pPr>
        <w:pStyle w:val="ParaNum0"/>
        <w:widowControl/>
      </w:pPr>
      <w:bookmarkStart w:id="5" w:name="_Hlk522191719"/>
      <w:r w:rsidRPr="004F79D6">
        <w:rPr>
          <w:b/>
          <w:i/>
        </w:rPr>
        <w:t>Request</w:t>
      </w:r>
      <w:r w:rsidRPr="004F79D6">
        <w:rPr>
          <w:b/>
          <w:i/>
        </w:rPr>
        <w:t xml:space="preserve"> for Waiver and Modification of Assig</w:t>
      </w:r>
      <w:r w:rsidRPr="004F79D6">
        <w:rPr>
          <w:b/>
          <w:i/>
        </w:rPr>
        <w:t>ned Transition Phase</w:t>
      </w:r>
      <w:bookmarkEnd w:id="5"/>
      <w:r w:rsidRPr="004F79D6">
        <w:t xml:space="preserve">.  </w:t>
      </w:r>
      <w:bookmarkStart w:id="6" w:name="_Hlk522199314"/>
      <w:r w:rsidRPr="004F79D6">
        <w:t>T</w:t>
      </w:r>
      <w:r w:rsidRPr="004F79D6">
        <w:t xml:space="preserve">he Bureau has stated that it </w:t>
      </w:r>
      <w:r>
        <w:t xml:space="preserve">will </w:t>
      </w:r>
      <w:r w:rsidRPr="004F79D6">
        <w:t>evaluate</w:t>
      </w:r>
      <w:r w:rsidRPr="004F79D6">
        <w:t>, on a case</w:t>
      </w:r>
      <w:r>
        <w:t>-</w:t>
      </w:r>
      <w:r w:rsidRPr="004F79D6">
        <w:t>by</w:t>
      </w:r>
      <w:r>
        <w:t>-</w:t>
      </w:r>
      <w:r w:rsidRPr="004F79D6">
        <w:t>case basis,</w:t>
      </w:r>
      <w:r w:rsidRPr="004F79D6">
        <w:t xml:space="preserve"> requests for waiver and modification of a stati</w:t>
      </w:r>
      <w:r w:rsidRPr="004F79D6">
        <w:t>o</w:t>
      </w:r>
      <w:r w:rsidRPr="004F79D6">
        <w:t>n’s transition phase</w:t>
      </w:r>
      <w:r w:rsidRPr="004F79D6">
        <w:t xml:space="preserve"> </w:t>
      </w:r>
      <w:r w:rsidRPr="004F79D6">
        <w:t>under the Commission’s general waiver standard</w:t>
      </w:r>
      <w:r>
        <w:rPr>
          <w:rStyle w:val="FootnoteReference"/>
        </w:rPr>
        <w:footnoteReference w:id="37"/>
      </w:r>
      <w:r w:rsidRPr="004F79D6">
        <w:t xml:space="preserve"> and </w:t>
      </w:r>
      <w:r w:rsidRPr="004F79D6">
        <w:t xml:space="preserve">by </w:t>
      </w:r>
      <w:r w:rsidRPr="004F79D6">
        <w:t>assess</w:t>
      </w:r>
      <w:r w:rsidRPr="004F79D6">
        <w:t>ing</w:t>
      </w:r>
      <w:r w:rsidRPr="004F79D6">
        <w:t xml:space="preserve"> the impact of the request on the transition schedule, including the impact on other broadcasters and viewers.</w:t>
      </w:r>
      <w:r>
        <w:rPr>
          <w:rStyle w:val="FootnoteReference"/>
        </w:rPr>
        <w:footnoteReference w:id="38"/>
      </w:r>
      <w:r w:rsidRPr="004F79D6">
        <w:t xml:space="preserve">  </w:t>
      </w:r>
      <w:r w:rsidRPr="004F79D6">
        <w:t>In order to facilitate a timely and orderly transition, t</w:t>
      </w:r>
      <w:r w:rsidRPr="004F79D6">
        <w:t xml:space="preserve">he Bureau determined that it </w:t>
      </w:r>
      <w:r>
        <w:t xml:space="preserve">will </w:t>
      </w:r>
      <w:r w:rsidRPr="004F79D6">
        <w:t xml:space="preserve">view favorably requests that are compliant with the </w:t>
      </w:r>
      <w:r w:rsidRPr="004F79D6">
        <w:t>Commission’s rules and have little or no impact on the transition schedule.</w:t>
      </w:r>
      <w:r>
        <w:rPr>
          <w:rStyle w:val="FootnoteReference"/>
        </w:rPr>
        <w:footnoteReference w:id="39"/>
      </w:r>
      <w:r w:rsidRPr="004F79D6">
        <w:t xml:space="preserve">  </w:t>
      </w:r>
      <w:r>
        <w:t>W</w:t>
      </w:r>
      <w:r w:rsidRPr="004F79D6">
        <w:t xml:space="preserve">e </w:t>
      </w:r>
      <w:r>
        <w:t xml:space="preserve">will </w:t>
      </w:r>
      <w:r w:rsidRPr="004F79D6">
        <w:t>evaluate factors such as the impact on viewers, the impact on other repacked stations’ access to resources, how modification to the transition schedule may disrupt deploy</w:t>
      </w:r>
      <w:r w:rsidRPr="004F79D6">
        <w:t xml:space="preserve">ment of new 600 MHz broadband services, and if the phase change would inhibit broadcasters’ ability to complete the transition within the 39-month post-auction transition period.  </w:t>
      </w:r>
      <w:r w:rsidRPr="004F79D6">
        <w:t>Requests that the staff determine would be likely to delay or disrupt the tr</w:t>
      </w:r>
      <w:r w:rsidRPr="004F79D6">
        <w:t>ansition schedule will be viewed unfavorably.</w:t>
      </w:r>
      <w:r>
        <w:rPr>
          <w:rStyle w:val="FootnoteReference"/>
        </w:rPr>
        <w:footnoteReference w:id="40"/>
      </w:r>
      <w:r w:rsidRPr="004F79D6">
        <w:t xml:space="preserve">  </w:t>
      </w:r>
      <w:r w:rsidRPr="004F79D6">
        <w:t>D</w:t>
      </w:r>
      <w:r w:rsidRPr="004F79D6">
        <w:t xml:space="preserve">uring the 10-phase transition </w:t>
      </w:r>
      <w:r w:rsidRPr="004F79D6">
        <w:t>period</w:t>
      </w:r>
      <w:r w:rsidRPr="004F79D6">
        <w:t>,</w:t>
      </w:r>
      <w:r w:rsidRPr="004F79D6">
        <w:t xml:space="preserve"> the testing period start dates and phase completion dates occur in quick succession, especially as the transition progresses.</w:t>
      </w:r>
      <w:r>
        <w:rPr>
          <w:rStyle w:val="FootnoteReference"/>
        </w:rPr>
        <w:footnoteReference w:id="41"/>
      </w:r>
      <w:r w:rsidRPr="004F79D6">
        <w:t xml:space="preserve">  </w:t>
      </w:r>
      <w:r w:rsidRPr="004F79D6">
        <w:t xml:space="preserve">Therefore, we </w:t>
      </w:r>
      <w:r w:rsidRPr="004F79D6">
        <w:t xml:space="preserve">must </w:t>
      </w:r>
      <w:r>
        <w:t>undertake</w:t>
      </w:r>
      <w:r w:rsidRPr="004F79D6">
        <w:t xml:space="preserve"> a </w:t>
      </w:r>
      <w:r>
        <w:t>detailed r</w:t>
      </w:r>
      <w:r>
        <w:t>eview of</w:t>
      </w:r>
      <w:r w:rsidRPr="004F79D6">
        <w:t xml:space="preserve"> each request based on the </w:t>
      </w:r>
      <w:r w:rsidRPr="004F79D6">
        <w:t>unique facts and circumstances presented in order to determine whether the benefits of a phase change outweigh the burdens</w:t>
      </w:r>
      <w:r>
        <w:t xml:space="preserve"> and is in the public interest</w:t>
      </w:r>
      <w:r w:rsidRPr="004F79D6">
        <w:t>.</w:t>
      </w:r>
      <w:r>
        <w:rPr>
          <w:rStyle w:val="FootnoteReference"/>
        </w:rPr>
        <w:footnoteReference w:id="42"/>
      </w:r>
      <w:r w:rsidRPr="004F79D6">
        <w:t xml:space="preserve">  </w:t>
      </w:r>
    </w:p>
    <w:p w:rsidR="00066EC5" w:rsidRPr="004F79D6" w:rsidP="00FD0198">
      <w:pPr>
        <w:pStyle w:val="ParaNum0"/>
      </w:pPr>
      <w:bookmarkEnd w:id="6"/>
      <w:r w:rsidRPr="004F79D6">
        <w:rPr>
          <w:b/>
          <w:i/>
        </w:rPr>
        <w:t>Required Transition Notifications</w:t>
      </w:r>
      <w:r w:rsidRPr="004F79D6">
        <w:rPr>
          <w:i/>
        </w:rPr>
        <w:t>.</w:t>
      </w:r>
      <w:r w:rsidRPr="004F79D6">
        <w:t xml:space="preserve">  </w:t>
      </w:r>
      <w:r w:rsidRPr="004F79D6">
        <w:t>Repacked stations are requir</w:t>
      </w:r>
      <w:r w:rsidRPr="004F79D6">
        <w:t xml:space="preserve">ed to provide notices to viewers and </w:t>
      </w:r>
      <w:r w:rsidRPr="004F79D6">
        <w:t xml:space="preserve">certain third-party entities </w:t>
      </w:r>
      <w:r w:rsidRPr="004F79D6">
        <w:t xml:space="preserve">prior to transitioning to their post-auction channel.  </w:t>
      </w:r>
      <w:r w:rsidRPr="004F79D6">
        <w:t xml:space="preserve">Precisely when these notifications are made will </w:t>
      </w:r>
      <w:r w:rsidRPr="004F79D6">
        <w:t xml:space="preserve">be unique to each </w:t>
      </w:r>
      <w:r w:rsidRPr="004F79D6">
        <w:t>station’s</w:t>
      </w:r>
      <w:r w:rsidRPr="004F79D6">
        <w:t xml:space="preserve"> individual transition plans</w:t>
      </w:r>
      <w:r w:rsidRPr="004F79D6">
        <w:t xml:space="preserve">.  </w:t>
      </w:r>
      <w:r w:rsidRPr="004F79D6">
        <w:t xml:space="preserve">With regard to </w:t>
      </w:r>
      <w:r>
        <w:t>viewer</w:t>
      </w:r>
      <w:r w:rsidRPr="004F79D6">
        <w:t xml:space="preserve"> </w:t>
      </w:r>
      <w:r w:rsidRPr="004F79D6">
        <w:t>notification</w:t>
      </w:r>
      <w:r>
        <w:t>s</w:t>
      </w:r>
      <w:r w:rsidRPr="004F79D6">
        <w:t>, a</w:t>
      </w:r>
      <w:r w:rsidRPr="004F79D6">
        <w:t xml:space="preserve">t least </w:t>
      </w:r>
      <w:r>
        <w:rPr>
          <w:szCs w:val="22"/>
        </w:rPr>
        <w:t xml:space="preserve">30 </w:t>
      </w:r>
      <w:r w:rsidRPr="004F79D6">
        <w:rPr>
          <w:szCs w:val="22"/>
        </w:rPr>
        <w:t>days prior to ceasing operation on a station’s pre-auction channel all stations must air at least 60-seconds per day of on-air consume</w:t>
      </w:r>
      <w:r w:rsidRPr="004F79D6">
        <w:rPr>
          <w:szCs w:val="22"/>
        </w:rPr>
        <w:t>r</w:t>
      </w:r>
      <w:r w:rsidRPr="004F79D6">
        <w:rPr>
          <w:szCs w:val="22"/>
        </w:rPr>
        <w:t xml:space="preserve"> education public service announcements (PSAs) or crawls.</w:t>
      </w:r>
      <w:r>
        <w:rPr>
          <w:rStyle w:val="FootnoteReference"/>
          <w:szCs w:val="22"/>
        </w:rPr>
        <w:footnoteReference w:id="43"/>
      </w:r>
      <w:r w:rsidRPr="004F79D6">
        <w:rPr>
          <w:szCs w:val="22"/>
        </w:rPr>
        <w:t xml:space="preserve">  The required substance of </w:t>
      </w:r>
      <w:r>
        <w:rPr>
          <w:szCs w:val="22"/>
        </w:rPr>
        <w:t>a stati</w:t>
      </w:r>
      <w:r>
        <w:rPr>
          <w:szCs w:val="22"/>
        </w:rPr>
        <w:t>o</w:t>
      </w:r>
      <w:r>
        <w:rPr>
          <w:szCs w:val="22"/>
        </w:rPr>
        <w:t>n’s viewer</w:t>
      </w:r>
      <w:r w:rsidRPr="004F79D6">
        <w:rPr>
          <w:szCs w:val="22"/>
        </w:rPr>
        <w:t xml:space="preserve"> notifications </w:t>
      </w:r>
      <w:r>
        <w:rPr>
          <w:szCs w:val="22"/>
        </w:rPr>
        <w:t>are</w:t>
      </w:r>
      <w:r w:rsidRPr="004F79D6">
        <w:rPr>
          <w:szCs w:val="22"/>
        </w:rPr>
        <w:t xml:space="preserve"> </w:t>
      </w:r>
      <w:r>
        <w:rPr>
          <w:szCs w:val="22"/>
        </w:rPr>
        <w:t xml:space="preserve">set forth </w:t>
      </w:r>
      <w:r w:rsidRPr="004F79D6">
        <w:rPr>
          <w:szCs w:val="22"/>
        </w:rPr>
        <w:t>in Section</w:t>
      </w:r>
      <w:r w:rsidRPr="004F79D6">
        <w:rPr>
          <w:szCs w:val="22"/>
        </w:rPr>
        <w:t>s</w:t>
      </w:r>
      <w:r w:rsidRPr="004F79D6">
        <w:rPr>
          <w:szCs w:val="22"/>
        </w:rPr>
        <w:t xml:space="preserve"> 73.3700(c)(4) and (5) of the Rules.</w:t>
      </w:r>
      <w:r>
        <w:rPr>
          <w:rStyle w:val="FootnoteReference"/>
          <w:szCs w:val="22"/>
        </w:rPr>
        <w:footnoteReference w:id="44"/>
      </w:r>
      <w:r w:rsidRPr="004F79D6">
        <w:rPr>
          <w:szCs w:val="22"/>
        </w:rPr>
        <w:t xml:space="preserve">  Within </w:t>
      </w:r>
      <w:r>
        <w:rPr>
          <w:szCs w:val="22"/>
        </w:rPr>
        <w:t xml:space="preserve">30 </w:t>
      </w:r>
      <w:r w:rsidRPr="004F79D6">
        <w:rPr>
          <w:szCs w:val="22"/>
        </w:rPr>
        <w:t>days following completion of a station’s transition to its post-auction channel</w:t>
      </w:r>
      <w:r w:rsidRPr="004F79D6">
        <w:rPr>
          <w:szCs w:val="22"/>
        </w:rPr>
        <w:t>,</w:t>
      </w:r>
      <w:r w:rsidRPr="004F79D6">
        <w:rPr>
          <w:szCs w:val="22"/>
        </w:rPr>
        <w:t xml:space="preserve"> stations must place </w:t>
      </w:r>
      <w:r w:rsidRPr="004F79D6">
        <w:rPr>
          <w:szCs w:val="22"/>
        </w:rPr>
        <w:t xml:space="preserve">in their online local public inspection file </w:t>
      </w:r>
      <w:r w:rsidRPr="004F79D6">
        <w:rPr>
          <w:szCs w:val="22"/>
        </w:rPr>
        <w:t>a certifica</w:t>
      </w:r>
      <w:r w:rsidRPr="004F79D6">
        <w:rPr>
          <w:szCs w:val="22"/>
        </w:rPr>
        <w:t>tion of</w:t>
      </w:r>
      <w:r w:rsidRPr="004F79D6">
        <w:rPr>
          <w:szCs w:val="22"/>
        </w:rPr>
        <w:t xml:space="preserve"> compliance </w:t>
      </w:r>
      <w:r w:rsidRPr="004F79D6">
        <w:rPr>
          <w:szCs w:val="22"/>
        </w:rPr>
        <w:t>with its viewer notification obligations.</w:t>
      </w:r>
      <w:r>
        <w:rPr>
          <w:rStyle w:val="FootnoteReference"/>
          <w:szCs w:val="22"/>
        </w:rPr>
        <w:footnoteReference w:id="45"/>
      </w:r>
      <w:r w:rsidRPr="004F79D6">
        <w:rPr>
          <w:szCs w:val="22"/>
        </w:rPr>
        <w:t xml:space="preserve"> </w:t>
      </w:r>
      <w:r w:rsidRPr="004F79D6">
        <w:rPr>
          <w:szCs w:val="22"/>
        </w:rPr>
        <w:t xml:space="preserve">  </w:t>
      </w:r>
    </w:p>
    <w:p w:rsidR="00476FBA" w:rsidP="00FD0198">
      <w:pPr>
        <w:pStyle w:val="ParaNum0"/>
      </w:pPr>
      <w:r w:rsidRPr="004F79D6">
        <w:t xml:space="preserve">Stations must also provide notice to </w:t>
      </w:r>
      <w:r w:rsidRPr="004F79D6">
        <w:rPr>
          <w:szCs w:val="22"/>
        </w:rPr>
        <w:t xml:space="preserve">Multichannel Video Programming Distributors </w:t>
      </w:r>
      <w:r w:rsidRPr="004F79D6">
        <w:t>(</w:t>
      </w:r>
      <w:r w:rsidRPr="004F79D6">
        <w:t>MVPD</w:t>
      </w:r>
      <w:r w:rsidRPr="004F79D6">
        <w:t>s)</w:t>
      </w:r>
      <w:r w:rsidRPr="004F79D6">
        <w:t xml:space="preserve"> n</w:t>
      </w:r>
      <w:r w:rsidRPr="004F79D6">
        <w:t>ot less than 90</w:t>
      </w:r>
      <w:r w:rsidRPr="004F79D6">
        <w:t xml:space="preserve"> </w:t>
      </w:r>
      <w:r w:rsidRPr="004F79D6">
        <w:t>days prior to the date on which the station will begin operations on its post-auction</w:t>
      </w:r>
      <w:r w:rsidRPr="004F79D6">
        <w:t xml:space="preserve"> channel.  The requirements of the written notice and where the notice must be sent </w:t>
      </w:r>
      <w:r>
        <w:t>are</w:t>
      </w:r>
      <w:r w:rsidRPr="004F79D6">
        <w:t xml:space="preserve"> </w:t>
      </w:r>
      <w:r w:rsidRPr="004F79D6">
        <w:t>provided in Section 73.3700(d) of the Rules.</w:t>
      </w:r>
      <w:r>
        <w:rPr>
          <w:rStyle w:val="FootnoteReference"/>
        </w:rPr>
        <w:footnoteReference w:id="46"/>
      </w:r>
      <w:r w:rsidRPr="004F79D6">
        <w:t xml:space="preserve">  </w:t>
      </w:r>
      <w:r w:rsidRPr="004F79D6">
        <w:t xml:space="preserve">We strongly encourage stations </w:t>
      </w:r>
      <w:r>
        <w:t xml:space="preserve">also </w:t>
      </w:r>
      <w:r w:rsidRPr="004F79D6">
        <w:t xml:space="preserve">to reach out to their </w:t>
      </w:r>
      <w:r w:rsidRPr="004F79D6">
        <w:t>regular contacts with local MVPD</w:t>
      </w:r>
      <w:r w:rsidRPr="004F79D6">
        <w:t>s</w:t>
      </w:r>
      <w:r w:rsidRPr="004F79D6">
        <w:t xml:space="preserve"> in addition to the points of contact identified in the rule in order </w:t>
      </w:r>
      <w:r>
        <w:t xml:space="preserve">to ensure a smooth transition. </w:t>
      </w:r>
    </w:p>
    <w:p w:rsidR="00D7687A" w:rsidRPr="004F79D6" w:rsidP="00FD0198">
      <w:pPr>
        <w:pStyle w:val="ParaNum0"/>
        <w:widowControl/>
      </w:pPr>
      <w:r w:rsidRPr="004F79D6">
        <w:t>Notifications must also be provided based on in</w:t>
      </w:r>
      <w:r w:rsidRPr="004F79D6">
        <w:t xml:space="preserve">dividual conditions placed on </w:t>
      </w:r>
      <w:r w:rsidRPr="004F79D6">
        <w:t>stations</w:t>
      </w:r>
      <w:r w:rsidRPr="004F79D6">
        <w:t xml:space="preserve"> construction permits</w:t>
      </w:r>
      <w:r w:rsidRPr="004F79D6">
        <w:t>.  Some of these notifications include providing</w:t>
      </w:r>
      <w:r w:rsidRPr="004F79D6">
        <w:t xml:space="preserve"> notice </w:t>
      </w:r>
      <w:r w:rsidRPr="004F79D6">
        <w:t>to health care facilities (</w:t>
      </w:r>
      <w:r w:rsidRPr="004F79D6">
        <w:rPr>
          <w:i/>
          <w:iCs/>
        </w:rPr>
        <w:t>e.g.,</w:t>
      </w:r>
      <w:r w:rsidRPr="004F79D6">
        <w:t xml:space="preserve"> hospitals, </w:t>
      </w:r>
      <w:r w:rsidRPr="004F79D6">
        <w:t>nursing homes</w:t>
      </w:r>
      <w:r w:rsidRPr="004F79D6">
        <w:t>, etc.</w:t>
      </w:r>
      <w:r w:rsidRPr="004F79D6">
        <w:t>)</w:t>
      </w:r>
      <w:r>
        <w:rPr>
          <w:rStyle w:val="FootnoteReference"/>
        </w:rPr>
        <w:footnoteReference w:id="47"/>
      </w:r>
      <w:r w:rsidRPr="004F79D6">
        <w:t xml:space="preserve"> </w:t>
      </w:r>
      <w:r w:rsidRPr="004F79D6">
        <w:t xml:space="preserve">and AM radio stations.  Stations should </w:t>
      </w:r>
      <w:r w:rsidRPr="004F79D6">
        <w:t>review</w:t>
      </w:r>
      <w:r w:rsidRPr="004F79D6">
        <w:t xml:space="preserve"> their construction permit </w:t>
      </w:r>
      <w:r w:rsidRPr="004F79D6">
        <w:t xml:space="preserve">for such conditions and </w:t>
      </w:r>
      <w:r w:rsidRPr="004F79D6">
        <w:t xml:space="preserve">make arrangements now to </w:t>
      </w:r>
      <w:r w:rsidRPr="004F79D6">
        <w:t>ensure</w:t>
      </w:r>
      <w:r w:rsidRPr="004F79D6">
        <w:t xml:space="preserve"> that they are met prior to th</w:t>
      </w:r>
      <w:r>
        <w:t>e filing of a license to</w:t>
      </w:r>
      <w:r>
        <w:t xml:space="preserve"> cover.  </w:t>
      </w:r>
    </w:p>
    <w:p w:rsidR="00D7687A" w:rsidRPr="004F79D6" w:rsidP="00FD0198">
      <w:pPr>
        <w:pStyle w:val="ParaNum0"/>
      </w:pPr>
      <w:r w:rsidRPr="004F79D6">
        <w:rPr>
          <w:b/>
          <w:i/>
        </w:rPr>
        <w:t xml:space="preserve">Post-Auction </w:t>
      </w:r>
      <w:r w:rsidRPr="004F79D6">
        <w:rPr>
          <w:b/>
          <w:i/>
        </w:rPr>
        <w:t>Transition Progress Reports</w:t>
      </w:r>
      <w:r w:rsidRPr="004F79D6">
        <w:t xml:space="preserve">.  </w:t>
      </w:r>
      <w:r w:rsidRPr="004F79D6">
        <w:t>Repacked s</w:t>
      </w:r>
      <w:r w:rsidRPr="004F79D6">
        <w:t>tations are required to file</w:t>
      </w:r>
      <w:r w:rsidRPr="004F79D6">
        <w:t xml:space="preserve"> </w:t>
      </w:r>
      <w:r w:rsidRPr="004F79D6">
        <w:t>Post</w:t>
      </w:r>
      <w:r w:rsidRPr="004F79D6">
        <w:t>-</w:t>
      </w:r>
      <w:r w:rsidRPr="004F79D6">
        <w:t xml:space="preserve">Auction </w:t>
      </w:r>
      <w:r w:rsidRPr="004F79D6">
        <w:t>Transition Progress R</w:t>
      </w:r>
      <w:r w:rsidRPr="004F79D6">
        <w:t>eports</w:t>
      </w:r>
      <w:r w:rsidRPr="004F79D6">
        <w:t xml:space="preserve"> using FCC Form 2100, </w:t>
      </w:r>
      <w:r w:rsidRPr="004F79D6">
        <w:t>Schedule</w:t>
      </w:r>
      <w:r w:rsidRPr="004F79D6">
        <w:t xml:space="preserve"> 387, </w:t>
      </w:r>
      <w:r w:rsidRPr="004F79D6">
        <w:t xml:space="preserve">electronically in LMS </w:t>
      </w:r>
      <w:r w:rsidRPr="004F79D6">
        <w:t>a</w:t>
      </w:r>
      <w:r w:rsidRPr="004F79D6">
        <w:t xml:space="preserve">t </w:t>
      </w:r>
      <w:r w:rsidRPr="004F79D6">
        <w:t>various</w:t>
      </w:r>
      <w:r w:rsidRPr="004F79D6">
        <w:t xml:space="preserve"> times</w:t>
      </w:r>
      <w:r w:rsidRPr="004F79D6">
        <w:t xml:space="preserve"> during the transition process</w:t>
      </w:r>
      <w:r w:rsidRPr="004F79D6">
        <w:t>.</w:t>
      </w:r>
      <w:r>
        <w:rPr>
          <w:rStyle w:val="FootnoteReference"/>
          <w:szCs w:val="22"/>
        </w:rPr>
        <w:footnoteReference w:id="48"/>
      </w:r>
      <w:r w:rsidRPr="004F79D6">
        <w:t xml:space="preserve">  Reports much be filed </w:t>
      </w:r>
      <w:r w:rsidRPr="004F79D6">
        <w:t>quarterly</w:t>
      </w:r>
      <w:r w:rsidRPr="004F79D6">
        <w:t xml:space="preserve"> (Quarterly Report)</w:t>
      </w:r>
      <w:r w:rsidRPr="004F79D6">
        <w:t xml:space="preserve"> </w:t>
      </w:r>
      <w:r w:rsidRPr="004F79D6">
        <w:t>no later than</w:t>
      </w:r>
      <w:r w:rsidRPr="004F79D6">
        <w:t xml:space="preserve"> January 10, April 10, July 10</w:t>
      </w:r>
      <w:r>
        <w:t>,</w:t>
      </w:r>
      <w:r w:rsidRPr="004F79D6">
        <w:t xml:space="preserve"> and </w:t>
      </w:r>
      <w:r w:rsidRPr="004F79D6">
        <w:t>Octo</w:t>
      </w:r>
      <w:r w:rsidRPr="004F79D6">
        <w:t>ber 10</w:t>
      </w:r>
      <w:r w:rsidRPr="004F79D6">
        <w:t>.</w:t>
      </w:r>
      <w:r>
        <w:rPr>
          <w:rStyle w:val="FootnoteReference"/>
        </w:rPr>
        <w:footnoteReference w:id="49"/>
      </w:r>
      <w:r w:rsidRPr="004F79D6">
        <w:t xml:space="preserve"> </w:t>
      </w:r>
      <w:r w:rsidRPr="004F79D6">
        <w:t xml:space="preserve"> </w:t>
      </w:r>
      <w:r w:rsidRPr="004F79D6">
        <w:t>Reports must also be filed</w:t>
      </w:r>
      <w:r w:rsidRPr="004F79D6">
        <w:rPr>
          <w:szCs w:val="22"/>
        </w:rPr>
        <w:t xml:space="preserve"> </w:t>
      </w:r>
      <w:r w:rsidRPr="004F79D6">
        <w:rPr>
          <w:szCs w:val="22"/>
        </w:rPr>
        <w:t xml:space="preserve">(1) </w:t>
      </w:r>
      <w:r w:rsidRPr="004F79D6">
        <w:rPr>
          <w:szCs w:val="22"/>
        </w:rPr>
        <w:t>10 weeks before the end of their assigned construction deadline (10-Week Report)</w:t>
      </w:r>
      <w:r w:rsidRPr="004F79D6">
        <w:rPr>
          <w:szCs w:val="22"/>
        </w:rPr>
        <w:t>; (2)</w:t>
      </w:r>
      <w:r w:rsidRPr="004F79D6">
        <w:rPr>
          <w:szCs w:val="22"/>
        </w:rPr>
        <w:t xml:space="preserve"> </w:t>
      </w:r>
      <w:r w:rsidRPr="004F79D6">
        <w:rPr>
          <w:szCs w:val="22"/>
        </w:rPr>
        <w:t>10 days after they comp</w:t>
      </w:r>
      <w:r w:rsidRPr="004F79D6">
        <w:rPr>
          <w:szCs w:val="22"/>
        </w:rPr>
        <w:t>lete all work related to construction of their post-auction facilities (Construction Completion Report); and (3) five days after they cease broadcasting on their pre-auction channel (Pre-Auction Termination Report).</w:t>
      </w:r>
      <w:r>
        <w:rPr>
          <w:rStyle w:val="FootnoteReference"/>
          <w:szCs w:val="22"/>
        </w:rPr>
        <w:footnoteReference w:id="50"/>
      </w:r>
      <w:r w:rsidRPr="004F79D6">
        <w:rPr>
          <w:szCs w:val="22"/>
        </w:rPr>
        <w:t xml:space="preserve">  </w:t>
      </w:r>
      <w:r>
        <w:rPr>
          <w:szCs w:val="22"/>
        </w:rPr>
        <w:t>T</w:t>
      </w:r>
      <w:r w:rsidRPr="004F79D6">
        <w:rPr>
          <w:szCs w:val="22"/>
        </w:rPr>
        <w:t xml:space="preserve">he 10-Week Report filing dates based </w:t>
      </w:r>
      <w:r w:rsidRPr="004F79D6">
        <w:rPr>
          <w:szCs w:val="22"/>
        </w:rPr>
        <w:t>on the current transition schedule</w:t>
      </w:r>
      <w:r>
        <w:rPr>
          <w:szCs w:val="22"/>
        </w:rPr>
        <w:t xml:space="preserve"> are:</w:t>
      </w:r>
      <w:r w:rsidRPr="004F79D6">
        <w:rPr>
          <w:szCs w:val="22"/>
        </w:rPr>
        <w:t xml:space="preserve">  </w:t>
      </w:r>
      <w:r w:rsidRPr="004F79D6">
        <w:rPr>
          <w:szCs w:val="22"/>
        </w:rPr>
        <w:t xml:space="preserve"> </w:t>
      </w:r>
    </w:p>
    <w:tbl>
      <w:tblPr>
        <w:tblStyle w:val="TableGrid"/>
        <w:tblW w:w="0" w:type="auto"/>
        <w:jc w:val="center"/>
        <w:tblLook w:val="04A0"/>
      </w:tblPr>
      <w:tblGrid>
        <w:gridCol w:w="985"/>
        <w:gridCol w:w="3330"/>
      </w:tblGrid>
      <w:tr w:rsidTr="008D2941">
        <w:tblPrEx>
          <w:tblW w:w="0" w:type="auto"/>
          <w:jc w:val="center"/>
          <w:tblLook w:val="04A0"/>
        </w:tblPrEx>
        <w:trPr>
          <w:jc w:val="center"/>
        </w:trPr>
        <w:tc>
          <w:tcPr>
            <w:tcW w:w="985" w:type="dxa"/>
          </w:tcPr>
          <w:p w:rsidR="000A2B9E" w:rsidRPr="004F79D6" w:rsidP="00FD0198">
            <w:pPr>
              <w:pStyle w:val="ParaNum0"/>
              <w:numPr>
                <w:ilvl w:val="0"/>
                <w:numId w:val="0"/>
              </w:numPr>
            </w:pPr>
            <w:bookmarkStart w:id="8" w:name="_Hlk521587281"/>
            <w:r w:rsidRPr="004F79D6">
              <w:t>Phase</w:t>
            </w:r>
          </w:p>
        </w:tc>
        <w:tc>
          <w:tcPr>
            <w:tcW w:w="3330" w:type="dxa"/>
          </w:tcPr>
          <w:p w:rsidR="000A2B9E" w:rsidRPr="004F79D6" w:rsidP="00FD0198">
            <w:pPr>
              <w:pStyle w:val="ParaNum0"/>
              <w:numPr>
                <w:ilvl w:val="0"/>
                <w:numId w:val="0"/>
              </w:numPr>
            </w:pPr>
            <w:r w:rsidRPr="004F79D6">
              <w:t>10-Week Report Filing Deadline</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1</w:t>
            </w:r>
          </w:p>
        </w:tc>
        <w:tc>
          <w:tcPr>
            <w:tcW w:w="3330" w:type="dxa"/>
          </w:tcPr>
          <w:p w:rsidR="000A2B9E" w:rsidRPr="004F79D6" w:rsidP="00FD0198">
            <w:pPr>
              <w:pStyle w:val="ParaNum0"/>
              <w:numPr>
                <w:ilvl w:val="0"/>
                <w:numId w:val="0"/>
              </w:numPr>
            </w:pPr>
            <w:r>
              <w:t>0</w:t>
            </w:r>
            <w:r w:rsidRPr="004F79D6">
              <w:t>9/</w:t>
            </w:r>
            <w:r w:rsidRPr="004F79D6">
              <w:t>21</w:t>
            </w:r>
            <w:r w:rsidRPr="004F79D6">
              <w:t>/2018</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2</w:t>
            </w:r>
          </w:p>
        </w:tc>
        <w:tc>
          <w:tcPr>
            <w:tcW w:w="3330" w:type="dxa"/>
          </w:tcPr>
          <w:p w:rsidR="000A2B9E" w:rsidRPr="004F79D6" w:rsidP="00FD0198">
            <w:pPr>
              <w:pStyle w:val="ParaNum0"/>
              <w:numPr>
                <w:ilvl w:val="0"/>
                <w:numId w:val="0"/>
              </w:numPr>
            </w:pPr>
            <w:r>
              <w:t>0</w:t>
            </w:r>
            <w:r w:rsidRPr="004F79D6">
              <w:t>2/</w:t>
            </w:r>
            <w:r>
              <w:t>0</w:t>
            </w:r>
            <w:r w:rsidRPr="004F79D6">
              <w:t>1/2019</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3</w:t>
            </w:r>
          </w:p>
        </w:tc>
        <w:tc>
          <w:tcPr>
            <w:tcW w:w="3330" w:type="dxa"/>
          </w:tcPr>
          <w:p w:rsidR="000A2B9E" w:rsidRPr="004F79D6" w:rsidP="00FD0198">
            <w:pPr>
              <w:pStyle w:val="ParaNum0"/>
              <w:numPr>
                <w:ilvl w:val="0"/>
                <w:numId w:val="0"/>
              </w:numPr>
            </w:pPr>
            <w:r>
              <w:t>0</w:t>
            </w:r>
            <w:r w:rsidRPr="004F79D6">
              <w:t>4/12/2019</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4</w:t>
            </w:r>
          </w:p>
        </w:tc>
        <w:tc>
          <w:tcPr>
            <w:tcW w:w="3330" w:type="dxa"/>
          </w:tcPr>
          <w:p w:rsidR="000A2B9E" w:rsidRPr="004F79D6" w:rsidP="00FD0198">
            <w:pPr>
              <w:pStyle w:val="ParaNum0"/>
              <w:numPr>
                <w:ilvl w:val="0"/>
                <w:numId w:val="0"/>
              </w:numPr>
            </w:pPr>
            <w:r>
              <w:t>0</w:t>
            </w:r>
            <w:r w:rsidRPr="004F79D6">
              <w:t>5/24/2019</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5</w:t>
            </w:r>
          </w:p>
        </w:tc>
        <w:tc>
          <w:tcPr>
            <w:tcW w:w="3330" w:type="dxa"/>
          </w:tcPr>
          <w:p w:rsidR="000A2B9E" w:rsidRPr="004F79D6" w:rsidP="00FD0198">
            <w:pPr>
              <w:pStyle w:val="ParaNum0"/>
              <w:numPr>
                <w:ilvl w:val="0"/>
                <w:numId w:val="0"/>
              </w:numPr>
            </w:pPr>
            <w:r>
              <w:t>0</w:t>
            </w:r>
            <w:r w:rsidRPr="004F79D6">
              <w:t>6/28/2019</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6</w:t>
            </w:r>
          </w:p>
        </w:tc>
        <w:tc>
          <w:tcPr>
            <w:tcW w:w="3330" w:type="dxa"/>
          </w:tcPr>
          <w:p w:rsidR="000A2B9E" w:rsidRPr="004F79D6" w:rsidP="00FD0198">
            <w:pPr>
              <w:pStyle w:val="ParaNum0"/>
              <w:numPr>
                <w:ilvl w:val="0"/>
                <w:numId w:val="0"/>
              </w:numPr>
            </w:pPr>
            <w:r>
              <w:t>0</w:t>
            </w:r>
            <w:r w:rsidRPr="004F79D6">
              <w:t>8/</w:t>
            </w:r>
            <w:r>
              <w:t>0</w:t>
            </w:r>
            <w:r w:rsidRPr="004F79D6">
              <w:t>9/2019</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7</w:t>
            </w:r>
          </w:p>
        </w:tc>
        <w:tc>
          <w:tcPr>
            <w:tcW w:w="3330" w:type="dxa"/>
          </w:tcPr>
          <w:p w:rsidR="000A2B9E" w:rsidRPr="004F79D6" w:rsidP="00FD0198">
            <w:pPr>
              <w:pStyle w:val="ParaNum0"/>
              <w:numPr>
                <w:ilvl w:val="0"/>
                <w:numId w:val="0"/>
              </w:numPr>
            </w:pPr>
            <w:r w:rsidRPr="004F79D6">
              <w:t>11/</w:t>
            </w:r>
            <w:r>
              <w:t>0</w:t>
            </w:r>
            <w:r>
              <w:t>8</w:t>
            </w:r>
            <w:r w:rsidRPr="004F79D6">
              <w:t>/2019</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8</w:t>
            </w:r>
          </w:p>
        </w:tc>
        <w:tc>
          <w:tcPr>
            <w:tcW w:w="3330" w:type="dxa"/>
          </w:tcPr>
          <w:p w:rsidR="000A2B9E" w:rsidRPr="004F79D6" w:rsidP="00FD0198">
            <w:pPr>
              <w:pStyle w:val="ParaNum0"/>
              <w:numPr>
                <w:ilvl w:val="0"/>
                <w:numId w:val="0"/>
              </w:numPr>
            </w:pPr>
            <w:r>
              <w:t>0</w:t>
            </w:r>
            <w:r w:rsidRPr="004F79D6">
              <w:t>1/</w:t>
            </w:r>
            <w:r>
              <w:t>0</w:t>
            </w:r>
            <w:r w:rsidRPr="004F79D6">
              <w:t>3/2020</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9</w:t>
            </w:r>
          </w:p>
        </w:tc>
        <w:tc>
          <w:tcPr>
            <w:tcW w:w="3330" w:type="dxa"/>
          </w:tcPr>
          <w:p w:rsidR="000A2B9E" w:rsidRPr="004F79D6" w:rsidP="00FD0198">
            <w:pPr>
              <w:pStyle w:val="ParaNum0"/>
              <w:numPr>
                <w:ilvl w:val="0"/>
                <w:numId w:val="0"/>
              </w:numPr>
            </w:pPr>
            <w:r>
              <w:t>0</w:t>
            </w:r>
            <w:r w:rsidRPr="004F79D6">
              <w:t>2/21/2020</w:t>
            </w:r>
          </w:p>
        </w:tc>
      </w:tr>
      <w:tr w:rsidTr="008D2941">
        <w:tblPrEx>
          <w:tblW w:w="0" w:type="auto"/>
          <w:jc w:val="center"/>
          <w:tblLook w:val="04A0"/>
        </w:tblPrEx>
        <w:trPr>
          <w:jc w:val="center"/>
        </w:trPr>
        <w:tc>
          <w:tcPr>
            <w:tcW w:w="985" w:type="dxa"/>
          </w:tcPr>
          <w:p w:rsidR="000A2B9E" w:rsidRPr="004F79D6" w:rsidP="00FD0198">
            <w:pPr>
              <w:pStyle w:val="ParaNum0"/>
              <w:numPr>
                <w:ilvl w:val="0"/>
                <w:numId w:val="0"/>
              </w:numPr>
            </w:pPr>
            <w:r w:rsidRPr="004F79D6">
              <w:t>10</w:t>
            </w:r>
          </w:p>
        </w:tc>
        <w:tc>
          <w:tcPr>
            <w:tcW w:w="3330" w:type="dxa"/>
          </w:tcPr>
          <w:p w:rsidR="000A2B9E" w:rsidRPr="004F79D6" w:rsidP="00FD0198">
            <w:pPr>
              <w:pStyle w:val="ParaNum0"/>
              <w:numPr>
                <w:ilvl w:val="0"/>
                <w:numId w:val="0"/>
              </w:numPr>
            </w:pPr>
            <w:r>
              <w:t>0</w:t>
            </w:r>
            <w:r w:rsidRPr="004F79D6">
              <w:t>4/24/2020</w:t>
            </w:r>
          </w:p>
        </w:tc>
      </w:tr>
    </w:tbl>
    <w:p w:rsidR="00B75047" w:rsidP="00FD0198">
      <w:pPr>
        <w:pStyle w:val="ParaNum0"/>
        <w:numPr>
          <w:ilvl w:val="0"/>
          <w:numId w:val="0"/>
        </w:numPr>
        <w:spacing w:before="120"/>
      </w:pPr>
      <w:bookmarkEnd w:id="8"/>
      <w:r w:rsidRPr="004F79D6">
        <w:t>The</w:t>
      </w:r>
      <w:r w:rsidRPr="004F79D6">
        <w:t xml:space="preserve"> timing of the</w:t>
      </w:r>
      <w:r w:rsidRPr="004F79D6">
        <w:t xml:space="preserve"> </w:t>
      </w:r>
      <w:r w:rsidRPr="004F79D6">
        <w:t>Construction</w:t>
      </w:r>
      <w:r w:rsidRPr="004F79D6">
        <w:t xml:space="preserve"> Completion</w:t>
      </w:r>
      <w:r w:rsidRPr="004F79D6">
        <w:t xml:space="preserve"> Report and </w:t>
      </w:r>
      <w:r w:rsidRPr="004F79D6">
        <w:t xml:space="preserve">Pre-Auction </w:t>
      </w:r>
      <w:r>
        <w:t>Termination</w:t>
      </w:r>
      <w:r w:rsidRPr="004F79D6">
        <w:t xml:space="preserve"> Report will be</w:t>
      </w:r>
      <w:r w:rsidRPr="004F79D6">
        <w:t xml:space="preserve"> based on each station’s unique situation and transition timing.  </w:t>
      </w:r>
      <w:r w:rsidRPr="004F79D6">
        <w:t xml:space="preserve">The </w:t>
      </w:r>
      <w:r w:rsidRPr="004F79D6">
        <w:t xml:space="preserve">Construction </w:t>
      </w:r>
      <w:r w:rsidRPr="004F79D6">
        <w:t xml:space="preserve">Completion </w:t>
      </w:r>
      <w:r w:rsidRPr="004F79D6">
        <w:t xml:space="preserve">Report </w:t>
      </w:r>
      <w:r w:rsidRPr="004F79D6">
        <w:t xml:space="preserve">should only be filed when the post-auction facility authorized in </w:t>
      </w:r>
      <w:r w:rsidRPr="004F79D6">
        <w:t>a station’s</w:t>
      </w:r>
      <w:r w:rsidRPr="004F79D6">
        <w:t xml:space="preserve"> construction per</w:t>
      </w:r>
      <w:r w:rsidRPr="004F79D6">
        <w:t>mit has been completed and</w:t>
      </w:r>
      <w:r w:rsidRPr="004F79D6">
        <w:t xml:space="preserve"> </w:t>
      </w:r>
      <w:r w:rsidRPr="004F79D6">
        <w:t>the</w:t>
      </w:r>
      <w:r w:rsidRPr="004F79D6">
        <w:t xml:space="preserve"> station could file an application for license to cover</w:t>
      </w:r>
      <w:r w:rsidRPr="004F79D6">
        <w:t xml:space="preserve"> if it </w:t>
      </w:r>
      <w:r>
        <w:t>were permitted to</w:t>
      </w:r>
      <w:r w:rsidRPr="004F79D6">
        <w:t xml:space="preserve"> commence program test authority on its post-auction channel</w:t>
      </w:r>
      <w:r w:rsidRPr="004F79D6">
        <w:t>.</w:t>
      </w:r>
      <w:r>
        <w:rPr>
          <w:rStyle w:val="FootnoteReference"/>
        </w:rPr>
        <w:footnoteReference w:id="51"/>
      </w:r>
      <w:r w:rsidRPr="004F79D6">
        <w:t xml:space="preserve">  A station may file its </w:t>
      </w:r>
      <w:r w:rsidRPr="004F79D6">
        <w:t xml:space="preserve">Construction Completion </w:t>
      </w:r>
      <w:r w:rsidRPr="004F79D6">
        <w:t xml:space="preserve">Report in advance of its testing period start date assuming that construction of its post-auction facility is complete, but </w:t>
      </w:r>
      <w:r w:rsidRPr="004F79D6">
        <w:t>making such a filing does not permit a station to commence post-auction operation prior to its testing period start date.  If a stat</w:t>
      </w:r>
      <w:r w:rsidRPr="004F79D6">
        <w:t>ion will be commencing operation on its post-auction channel under an STA</w:t>
      </w:r>
      <w:r>
        <w:t>,</w:t>
      </w:r>
      <w:r w:rsidRPr="004F79D6">
        <w:t xml:space="preserve"> it </w:t>
      </w:r>
      <w:r>
        <w:t>must</w:t>
      </w:r>
      <w:r w:rsidRPr="004F79D6">
        <w:t xml:space="preserve"> </w:t>
      </w:r>
      <w:r w:rsidRPr="004F79D6">
        <w:t xml:space="preserve">wait to file its </w:t>
      </w:r>
      <w:r>
        <w:t>C</w:t>
      </w:r>
      <w:r w:rsidRPr="004F79D6">
        <w:t xml:space="preserve">onstruction </w:t>
      </w:r>
      <w:r>
        <w:t xml:space="preserve">Completion </w:t>
      </w:r>
      <w:r w:rsidRPr="004F79D6">
        <w:t xml:space="preserve">Report until after it has filed its Pre-Auction </w:t>
      </w:r>
      <w:r w:rsidRPr="004F79D6">
        <w:t>Termination</w:t>
      </w:r>
      <w:r w:rsidRPr="004F79D6">
        <w:t xml:space="preserve"> Report</w:t>
      </w:r>
      <w:r>
        <w:t xml:space="preserve"> </w:t>
      </w:r>
      <w:r w:rsidRPr="004F79D6">
        <w:t>and completed construct</w:t>
      </w:r>
      <w:r>
        <w:t>ion</w:t>
      </w:r>
      <w:r w:rsidRPr="004F79D6">
        <w:t xml:space="preserve"> of the post-auction facility authorize</w:t>
      </w:r>
      <w:r w:rsidRPr="004F79D6">
        <w:t xml:space="preserve">d in its construction permit. </w:t>
      </w:r>
      <w:r>
        <w:t xml:space="preserve"> Each category of Transition Progress Report</w:t>
      </w:r>
      <w:r w:rsidRPr="004F79D6">
        <w:t xml:space="preserve"> are individual reports that must be filed separately.  A station must continue to file Quarterly Reports until it has filed its 10-Week Report, Pre-Auction </w:t>
      </w:r>
      <w:r>
        <w:t>Termination</w:t>
      </w:r>
      <w:r w:rsidRPr="004F79D6">
        <w:t xml:space="preserve"> Report, and C</w:t>
      </w:r>
      <w:r w:rsidRPr="004F79D6">
        <w:t>onstruction</w:t>
      </w:r>
      <w:r>
        <w:t xml:space="preserve"> Completion</w:t>
      </w:r>
      <w:r w:rsidRPr="004F79D6">
        <w:t xml:space="preserve"> Report.</w:t>
      </w:r>
      <w:r>
        <w:rPr>
          <w:rStyle w:val="FootnoteReference"/>
        </w:rPr>
        <w:footnoteReference w:id="52"/>
      </w:r>
      <w:bookmarkStart w:id="9" w:name="_Hlk521580842"/>
      <w:bookmarkStart w:id="10" w:name="_Hlk522193601"/>
    </w:p>
    <w:p w:rsidR="009F3FF4" w:rsidRPr="004F79D6" w:rsidP="00FD0198">
      <w:pPr>
        <w:pStyle w:val="ParaNum0"/>
      </w:pPr>
      <w:r w:rsidRPr="00B75047">
        <w:rPr>
          <w:b/>
          <w:i/>
        </w:rPr>
        <w:t>Channel Sharing Repacked Station</w:t>
      </w:r>
      <w:r w:rsidRPr="004F79D6">
        <w:t>.  In the event that a channel sharee station (</w:t>
      </w:r>
      <w:r>
        <w:t>sharee</w:t>
      </w:r>
      <w:r w:rsidRPr="004F79D6">
        <w:t xml:space="preserve"> station) is channel sharing with a</w:t>
      </w:r>
      <w:r>
        <w:t>nother station</w:t>
      </w:r>
      <w:r w:rsidRPr="004F79D6">
        <w:t xml:space="preserve"> (host station) that is repacked,</w:t>
      </w:r>
      <w:r>
        <w:rPr>
          <w:rStyle w:val="FootnoteReference"/>
        </w:rPr>
        <w:footnoteReference w:id="53"/>
      </w:r>
      <w:r w:rsidRPr="004F79D6">
        <w:t xml:space="preserve"> the </w:t>
      </w:r>
      <w:r>
        <w:t>sharee</w:t>
      </w:r>
      <w:r w:rsidRPr="004F79D6">
        <w:t xml:space="preserve"> station must comply with all notification re</w:t>
      </w:r>
      <w:r w:rsidRPr="004F79D6">
        <w:t>quirements, including but not limited to consumer and MVPD notice requirements as discussed above.</w:t>
      </w:r>
      <w:r>
        <w:rPr>
          <w:rStyle w:val="FootnoteReference"/>
        </w:rPr>
        <w:footnoteReference w:id="54"/>
      </w:r>
      <w:r w:rsidRPr="004F79D6">
        <w:t xml:space="preserve">  In addition, not less than 60 </w:t>
      </w:r>
      <w:r w:rsidRPr="00474463">
        <w:t>days prior to the host station’s phase construction deadline, the host station must file a minor change application</w:t>
      </w:r>
      <w:r w:rsidRPr="00474463">
        <w:t xml:space="preserve"> to its cu</w:t>
      </w:r>
      <w:r w:rsidRPr="00474463">
        <w:t xml:space="preserve">rrent channel sharing license </w:t>
      </w:r>
      <w:r w:rsidRPr="00474463">
        <w:t xml:space="preserve"> for a construction permit (FCC Form 2100 –Schedule A (full power) and Schedule E (Class A)) specifying the host station’s post-auction channel and parameters previously authorized in its post-auction construction permit.</w:t>
      </w:r>
      <w:r>
        <w:rPr>
          <w:rStyle w:val="FootnoteReference"/>
        </w:rPr>
        <w:footnoteReference w:id="55"/>
      </w:r>
      <w:r w:rsidRPr="00474463">
        <w:t xml:space="preserve">  So</w:t>
      </w:r>
      <w:r w:rsidRPr="00474463">
        <w:t xml:space="preserve"> long as the sharee station is licensed to operate on the same channel as the host station</w:t>
      </w:r>
      <w:r>
        <w:rPr>
          <w:rStyle w:val="FootnoteReference"/>
        </w:rPr>
        <w:footnoteReference w:id="56"/>
      </w:r>
      <w:r w:rsidRPr="00474463">
        <w:t xml:space="preserve"> and a minor change application</w:t>
      </w:r>
      <w:r>
        <w:t xml:space="preserve"> has been</w:t>
      </w:r>
      <w:r w:rsidRPr="00474463">
        <w:t xml:space="preserve"> filed by the host station, LMS </w:t>
      </w:r>
      <w:r>
        <w:t>is</w:t>
      </w:r>
      <w:r w:rsidRPr="00474463">
        <w:t xml:space="preserve"> </w:t>
      </w:r>
      <w:r w:rsidRPr="004F79D6">
        <w:t>designed so that a license application for a post-auction channel filed by the host statio</w:t>
      </w:r>
      <w:r w:rsidRPr="004F79D6">
        <w:t xml:space="preserve">n will be filed on behalf of all licensed </w:t>
      </w:r>
      <w:r>
        <w:t>sharee</w:t>
      </w:r>
      <w:r w:rsidRPr="004F79D6">
        <w:t xml:space="preserve"> stations.</w:t>
      </w:r>
      <w:r>
        <w:rPr>
          <w:rStyle w:val="FootnoteReference"/>
        </w:rPr>
        <w:footnoteReference w:id="57"/>
      </w:r>
      <w:r w:rsidRPr="004F79D6">
        <w:t xml:space="preserve">     </w:t>
      </w:r>
    </w:p>
    <w:p w:rsidR="00A34E67" w:rsidRPr="004F79D6" w:rsidP="00FD0198">
      <w:pPr>
        <w:pStyle w:val="ParaNum0"/>
        <w:rPr>
          <w:snapToGrid/>
          <w:kern w:val="0"/>
        </w:rPr>
      </w:pPr>
      <w:bookmarkEnd w:id="9"/>
      <w:bookmarkEnd w:id="10"/>
      <w:r w:rsidRPr="004F79D6">
        <w:rPr>
          <w:b/>
          <w:i/>
          <w:iCs/>
        </w:rPr>
        <w:t>Informal Request for Transition Dates and Outreach Information</w:t>
      </w:r>
      <w:r w:rsidRPr="004F79D6">
        <w:t>.  In order to assist the Commission</w:t>
      </w:r>
      <w:r>
        <w:t xml:space="preserve"> with</w:t>
      </w:r>
      <w:r>
        <w:t xml:space="preserve"> </w:t>
      </w:r>
      <w:r w:rsidRPr="004F79D6">
        <w:t>answer</w:t>
      </w:r>
      <w:r>
        <w:t>ing</w:t>
      </w:r>
      <w:r w:rsidRPr="004F79D6">
        <w:t xml:space="preserve"> viewer inquir</w:t>
      </w:r>
      <w:r>
        <w:t>i</w:t>
      </w:r>
      <w:r w:rsidRPr="004F79D6">
        <w:t xml:space="preserve">es and </w:t>
      </w:r>
      <w:r>
        <w:t>evaluating</w:t>
      </w:r>
      <w:r w:rsidRPr="004F79D6">
        <w:t xml:space="preserve"> ways to further support repacked stations</w:t>
      </w:r>
      <w:r>
        <w:t>’</w:t>
      </w:r>
      <w:r w:rsidRPr="004F79D6">
        <w:t xml:space="preserve"> transition efforts, we informally request that a repacked station </w:t>
      </w:r>
      <w:r>
        <w:t xml:space="preserve">notify us via </w:t>
      </w:r>
      <w:r w:rsidRPr="004F79D6">
        <w:t xml:space="preserve">e-mail </w:t>
      </w:r>
      <w:r>
        <w:t>at</w:t>
      </w:r>
      <w:r w:rsidRPr="004F79D6">
        <w:t xml:space="preserve"> </w:t>
      </w:r>
      <w:r w:rsidRPr="00FD0198">
        <w:t>IAtransition@fcc.gov</w:t>
      </w:r>
      <w:r>
        <w:t xml:space="preserve"> once it k</w:t>
      </w:r>
      <w:r w:rsidRPr="004F79D6">
        <w:t>nows the specific date that it intends to cease operations on its pre-auction channel and commence operations on its post-auction chann</w:t>
      </w:r>
      <w:r w:rsidRPr="004F79D6">
        <w:t>el.  We would also welcome additional information concerning places the Commission can direct viewers to obtain information about a repacked station’s transition plans, such as a viewer e-mail inquiry box, website, or hotline.   While this is not an offici</w:t>
      </w:r>
      <w:r w:rsidRPr="004F79D6">
        <w:t xml:space="preserve">al information collection and you are not required to provide us with this information, voluntarily doing so will help the Commission support repacked stations transition efforts and help facilitate a smooth transition process for viewers.  </w:t>
      </w:r>
    </w:p>
    <w:p w:rsidR="00566AB1" w:rsidRPr="004F79D6" w:rsidP="00FD0198">
      <w:pPr>
        <w:pStyle w:val="ParaNum0"/>
        <w:keepNext/>
        <w:keepLines/>
        <w:rPr>
          <w:snapToGrid/>
          <w:kern w:val="0"/>
        </w:rPr>
      </w:pPr>
      <w:r w:rsidRPr="004F79D6">
        <w:rPr>
          <w:b/>
          <w:i/>
          <w:snapToGrid/>
          <w:kern w:val="0"/>
        </w:rPr>
        <w:t>Contacts</w:t>
      </w:r>
      <w:r w:rsidRPr="004F79D6">
        <w:rPr>
          <w:snapToGrid/>
          <w:kern w:val="0"/>
        </w:rPr>
        <w:t>. Addi</w:t>
      </w:r>
      <w:r w:rsidRPr="004F79D6">
        <w:rPr>
          <w:snapToGrid/>
          <w:kern w:val="0"/>
        </w:rPr>
        <w:t xml:space="preserve">tional questions concerning the post-incentive auction </w:t>
      </w:r>
      <w:r w:rsidRPr="004F79D6">
        <w:rPr>
          <w:snapToGrid/>
          <w:kern w:val="0"/>
        </w:rPr>
        <w:t>transition</w:t>
      </w:r>
      <w:r w:rsidRPr="004F79D6">
        <w:rPr>
          <w:snapToGrid/>
          <w:kern w:val="0"/>
        </w:rPr>
        <w:t xml:space="preserve"> </w:t>
      </w:r>
      <w:r w:rsidRPr="004F79D6">
        <w:rPr>
          <w:snapToGrid/>
          <w:kern w:val="0"/>
        </w:rPr>
        <w:t xml:space="preserve">or this Public Notice </w:t>
      </w:r>
      <w:r w:rsidRPr="004F79D6">
        <w:rPr>
          <w:snapToGrid/>
          <w:kern w:val="0"/>
        </w:rPr>
        <w:t>may be referred to the contact persons below.</w:t>
      </w:r>
    </w:p>
    <w:p w:rsidR="00566AB1" w:rsidRPr="004F79D6" w:rsidP="00FD0198">
      <w:pPr>
        <w:pStyle w:val="ParaNum0"/>
        <w:keepNext/>
        <w:keepLines/>
        <w:numPr>
          <w:ilvl w:val="0"/>
          <w:numId w:val="20"/>
        </w:numPr>
      </w:pPr>
      <w:r w:rsidRPr="004F79D6">
        <w:t>Regional Coordinator</w:t>
      </w:r>
      <w:r w:rsidRPr="004F79D6">
        <w:t>s</w:t>
      </w:r>
      <w:r w:rsidRPr="004F79D6">
        <w:t xml:space="preserve">- </w:t>
      </w:r>
      <w:r w:rsidRPr="004F79D6">
        <w:t>An up-</w:t>
      </w:r>
      <w:r w:rsidRPr="004F79D6">
        <w:t>t</w:t>
      </w:r>
      <w:r w:rsidRPr="004F79D6">
        <w:t>o-</w:t>
      </w:r>
      <w:r w:rsidRPr="004F79D6">
        <w:t xml:space="preserve">date </w:t>
      </w:r>
      <w:r w:rsidRPr="004F79D6">
        <w:t xml:space="preserve">list </w:t>
      </w:r>
      <w:r w:rsidRPr="004F79D6">
        <w:t xml:space="preserve">is </w:t>
      </w:r>
      <w:r w:rsidRPr="004F79D6">
        <w:t xml:space="preserve">available </w:t>
      </w:r>
      <w:r w:rsidRPr="004F79D6">
        <w:t xml:space="preserve">at: </w:t>
      </w:r>
      <w:r>
        <w:fldChar w:fldCharType="begin"/>
      </w:r>
      <w:r>
        <w:instrText xml:space="preserve"> HYPERLINK "https://www.fcc.gov/about-fcc/fcc-initiatives/incentive-auctions/transition-schedule" </w:instrText>
      </w:r>
      <w:r>
        <w:fldChar w:fldCharType="separate"/>
      </w:r>
      <w:r w:rsidRPr="004F79D6">
        <w:rPr>
          <w:rStyle w:val="Hyperlink"/>
          <w:szCs w:val="22"/>
        </w:rPr>
        <w:t>https://www.fcc.gov/about-fcc/fcc-initiatives/incentive-auctions/transition-schedule</w:t>
      </w:r>
      <w:r>
        <w:fldChar w:fldCharType="end"/>
      </w:r>
      <w:r w:rsidRPr="004F79D6">
        <w:rPr>
          <w:szCs w:val="22"/>
        </w:rPr>
        <w:t xml:space="preserve">, select </w:t>
      </w:r>
      <w:r w:rsidRPr="004F79D6">
        <w:rPr>
          <w:szCs w:val="22"/>
        </w:rPr>
        <w:t xml:space="preserve">the “Regions” tab.  </w:t>
      </w:r>
    </w:p>
    <w:p w:rsidR="00C711EC" w:rsidRPr="004F79D6" w:rsidP="00FD0198">
      <w:pPr>
        <w:pStyle w:val="ParaNum0"/>
        <w:numPr>
          <w:ilvl w:val="0"/>
          <w:numId w:val="20"/>
        </w:numPr>
      </w:pPr>
      <w:r w:rsidRPr="004F79D6">
        <w:t>Post-Auction Transition Schedule</w:t>
      </w:r>
      <w:r w:rsidRPr="004F79D6">
        <w:t xml:space="preserve"> (legal)</w:t>
      </w:r>
      <w:r w:rsidRPr="004F79D6">
        <w:t>: Evan Morris at 202-418-1656 or Evan.Morris@fcc.gov</w:t>
      </w:r>
    </w:p>
    <w:p w:rsidR="000C5BC0" w:rsidRPr="004F79D6" w:rsidP="00FD0198">
      <w:pPr>
        <w:pStyle w:val="ParaNum0"/>
        <w:numPr>
          <w:ilvl w:val="0"/>
          <w:numId w:val="20"/>
        </w:numPr>
      </w:pPr>
      <w:r w:rsidRPr="004F79D6">
        <w:t>Post-Auction Transition Schedule (technical): Mark Colombo at 202-418-7611 or Mark.Colombo@fcc.gov</w:t>
      </w:r>
    </w:p>
    <w:p w:rsidR="00566AB1" w:rsidRPr="004F79D6" w:rsidP="00FD0198">
      <w:pPr>
        <w:pStyle w:val="ParaNum0"/>
        <w:numPr>
          <w:ilvl w:val="0"/>
          <w:numId w:val="20"/>
        </w:numPr>
      </w:pPr>
      <w:r w:rsidRPr="004F79D6">
        <w:t>Television licensing (legal):  Shaun Maher at 202-418-2324 or Shaun.Maher@fcc.gov</w:t>
      </w:r>
    </w:p>
    <w:p w:rsidR="00C711EC" w:rsidRPr="004F79D6" w:rsidP="00FD0198">
      <w:pPr>
        <w:pStyle w:val="ParaNum0"/>
        <w:numPr>
          <w:ilvl w:val="0"/>
          <w:numId w:val="20"/>
        </w:numPr>
      </w:pPr>
      <w:r w:rsidRPr="004F79D6">
        <w:t xml:space="preserve">Transition Progress Reports (legal):  Joyce Bernstein at 202-418-1647 or </w:t>
      </w:r>
      <w:r w:rsidRPr="004F79D6">
        <w:t>Joyce.Bernstein@fcc.gov.</w:t>
      </w:r>
    </w:p>
    <w:p w:rsidR="00566AB1" w:rsidRPr="004F79D6" w:rsidP="00FD0198">
      <w:pPr>
        <w:pStyle w:val="ParaNum0"/>
        <w:numPr>
          <w:ilvl w:val="0"/>
          <w:numId w:val="20"/>
        </w:numPr>
      </w:pPr>
      <w:r w:rsidRPr="004F79D6">
        <w:t>Full power television (technical):  Kevin Harding at 202-418-1600 or Kevin.Harding@fcc.gov</w:t>
      </w:r>
    </w:p>
    <w:p w:rsidR="00566AB1" w:rsidRPr="004F79D6" w:rsidP="00FD0198">
      <w:pPr>
        <w:pStyle w:val="ParaNum0"/>
        <w:numPr>
          <w:ilvl w:val="0"/>
          <w:numId w:val="20"/>
        </w:numPr>
      </w:pPr>
      <w:r w:rsidRPr="004F79D6">
        <w:t xml:space="preserve">Class A </w:t>
      </w:r>
      <w:r w:rsidRPr="004F79D6">
        <w:t>(technical): Hossein.</w:t>
      </w:r>
      <w:r w:rsidRPr="004F79D6">
        <w:t>Hashemzadeh at 202-418-1658 or Hossein.Hashemzadah@fcc.gov</w:t>
      </w:r>
    </w:p>
    <w:p w:rsidR="00566AB1" w:rsidRPr="004F79D6" w:rsidP="00FD0198">
      <w:pPr>
        <w:pStyle w:val="ParaNum0"/>
        <w:numPr>
          <w:ilvl w:val="0"/>
          <w:numId w:val="20"/>
        </w:numPr>
      </w:pPr>
      <w:r w:rsidRPr="004F79D6">
        <w:t>Reimbursement of Expenses (Form 399): Pamela Gallant</w:t>
      </w:r>
      <w:r w:rsidRPr="004F79D6">
        <w:t xml:space="preserve"> at</w:t>
      </w:r>
      <w:r w:rsidRPr="004F79D6">
        <w:t xml:space="preserve"> </w:t>
      </w:r>
      <w:r w:rsidRPr="004F79D6">
        <w:t>202-418-0614 or Pamela.Gallant@fcc.gov</w:t>
      </w:r>
    </w:p>
    <w:p w:rsidR="00566AB1" w:rsidRPr="004F79D6" w:rsidP="00FD0198">
      <w:pPr>
        <w:pStyle w:val="ParaNum0"/>
        <w:numPr>
          <w:ilvl w:val="0"/>
          <w:numId w:val="20"/>
        </w:numPr>
      </w:pPr>
      <w:r w:rsidRPr="004F79D6">
        <w:t>LMS: Technical problems or trouble accessing: (877) 480</w:t>
      </w:r>
      <w:r w:rsidRPr="004F79D6">
        <w:t>-</w:t>
      </w:r>
      <w:r w:rsidRPr="004F79D6">
        <w:t>3201 TTY: (717) 338-2824</w:t>
      </w:r>
    </w:p>
    <w:p w:rsidR="009F5F48" w:rsidRPr="004F79D6" w:rsidP="00FD0198">
      <w:pPr>
        <w:pStyle w:val="ParaNum0"/>
        <w:numPr>
          <w:ilvl w:val="0"/>
          <w:numId w:val="20"/>
        </w:numPr>
        <w:spacing w:after="220"/>
      </w:pPr>
      <w:r w:rsidRPr="004F79D6">
        <w:t>Press</w:t>
      </w:r>
      <w:r w:rsidRPr="004F79D6">
        <w:t xml:space="preserve">:  </w:t>
      </w:r>
      <w:r w:rsidRPr="004F79D6">
        <w:t>Katie Gorscak at 202-418-2156 or Katie.Gorscak@fcc.gov</w:t>
      </w:r>
      <w:r w:rsidRPr="004F79D6">
        <w:t>.</w:t>
      </w:r>
      <w:r w:rsidRPr="004F79D6">
        <w:t xml:space="preserve">  </w:t>
      </w:r>
    </w:p>
    <w:p w:rsidR="00C711EC" w:rsidRPr="004F79D6" w:rsidP="00FD0198">
      <w:pPr>
        <w:pStyle w:val="ParaNum0"/>
      </w:pPr>
      <w:r w:rsidRPr="004F79D6">
        <w:rPr>
          <w:b/>
          <w:i/>
        </w:rPr>
        <w:t>Filings</w:t>
      </w:r>
      <w:r w:rsidRPr="004F79D6">
        <w:t xml:space="preserve">.  </w:t>
      </w:r>
      <w:r w:rsidRPr="004F79D6">
        <w:t xml:space="preserve">All </w:t>
      </w:r>
      <w:r w:rsidRPr="004F79D6">
        <w:t>applications and reports referenced in this Public N</w:t>
      </w:r>
      <w:r w:rsidRPr="004F79D6">
        <w:t xml:space="preserve">otice </w:t>
      </w:r>
      <w:r w:rsidRPr="004F79D6">
        <w:t>must be filed in LMS, including but not limited to Transition Progress Reports, Applications for License to Cover, STAs (technical and legal), and Construction Permit Extensions.  LMS filing instructions are provided in</w:t>
      </w:r>
      <w:r w:rsidRPr="004F79D6">
        <w:t xml:space="preserve"> </w:t>
      </w:r>
      <w:r>
        <w:t>Appendix</w:t>
      </w:r>
      <w:r w:rsidRPr="004F79D6">
        <w:t xml:space="preserve"> A.</w:t>
      </w:r>
      <w:r w:rsidRPr="004F79D6">
        <w:t xml:space="preserve">  Stations are also</w:t>
      </w:r>
      <w:r w:rsidRPr="004F79D6">
        <w:t xml:space="preserve"> asked to send an electronic copy of </w:t>
      </w:r>
      <w:r>
        <w:t>certain</w:t>
      </w:r>
      <w:r w:rsidRPr="004F79D6">
        <w:t xml:space="preserve"> transition-related filings</w:t>
      </w:r>
      <w:r>
        <w:t xml:space="preserve">, as indicated in </w:t>
      </w:r>
      <w:r>
        <w:t>Appendix</w:t>
      </w:r>
      <w:r>
        <w:t xml:space="preserve"> A,</w:t>
      </w:r>
      <w:r w:rsidRPr="004F79D6">
        <w:t xml:space="preserve"> via email to:  </w:t>
      </w:r>
      <w:r>
        <w:fldChar w:fldCharType="begin"/>
      </w:r>
      <w:r>
        <w:instrText xml:space="preserve"> HYPERLINK "mailto:IATransitionlicensing@fcc.gov" </w:instrText>
      </w:r>
      <w:r>
        <w:fldChar w:fldCharType="separate"/>
      </w:r>
      <w:r w:rsidRPr="004F79D6">
        <w:rPr>
          <w:rStyle w:val="Hyperlink"/>
        </w:rPr>
        <w:t>IATransitionlicensing@fcc.gov</w:t>
      </w:r>
      <w:r>
        <w:fldChar w:fldCharType="end"/>
      </w:r>
      <w:r w:rsidRPr="004F79D6">
        <w:t xml:space="preserve">. </w:t>
      </w:r>
    </w:p>
    <w:p w:rsidR="000A2B9E" w:rsidRPr="004F79D6" w:rsidP="00FD0198">
      <w:pPr>
        <w:pStyle w:val="ParaNum0"/>
      </w:pPr>
      <w:r w:rsidRPr="004F79D6">
        <w:rPr>
          <w:b/>
          <w:i/>
        </w:rPr>
        <w:t>Additional Resources.</w:t>
      </w:r>
      <w:r w:rsidRPr="004F79D6">
        <w:t xml:space="preserve">  </w:t>
      </w:r>
      <w:r w:rsidRPr="004F79D6">
        <w:t>In addition to this Public Notic</w:t>
      </w:r>
      <w:r w:rsidRPr="004F79D6">
        <w:t>e</w:t>
      </w:r>
      <w:r w:rsidRPr="004F79D6">
        <w:t>,</w:t>
      </w:r>
      <w:r w:rsidRPr="004F79D6">
        <w:t xml:space="preserve"> </w:t>
      </w:r>
      <w:r>
        <w:t>repacked s</w:t>
      </w:r>
      <w:r w:rsidRPr="004F79D6">
        <w:t xml:space="preserve">tations </w:t>
      </w:r>
      <w:r w:rsidRPr="004F79D6">
        <w:t xml:space="preserve">and other interested parties </w:t>
      </w:r>
      <w:r w:rsidRPr="004F79D6">
        <w:t xml:space="preserve">may </w:t>
      </w:r>
      <w:r w:rsidRPr="004F79D6">
        <w:t xml:space="preserve">want to </w:t>
      </w:r>
      <w:r w:rsidRPr="004F79D6">
        <w:t xml:space="preserve">visit the Commission’s broadcast transition website and/or </w:t>
      </w:r>
      <w:r w:rsidRPr="004F79D6">
        <w:t>review the following additional resources</w:t>
      </w:r>
      <w:r w:rsidRPr="004F79D6">
        <w:t xml:space="preserve"> available on the Commission’s EDOCS database</w:t>
      </w:r>
      <w:r w:rsidRPr="004F79D6">
        <w:t xml:space="preserve"> </w:t>
      </w:r>
      <w:r>
        <w:t>(</w:t>
      </w:r>
      <w:r>
        <w:fldChar w:fldCharType="begin"/>
      </w:r>
      <w:r>
        <w:instrText xml:space="preserve"> HYPERLINK "https://www.fcc.gov/edocs" </w:instrText>
      </w:r>
      <w:r>
        <w:fldChar w:fldCharType="separate"/>
      </w:r>
      <w:r w:rsidRPr="00371969">
        <w:rPr>
          <w:rStyle w:val="Hyperlink"/>
        </w:rPr>
        <w:t>https://www.fcc.gov/edocs</w:t>
      </w:r>
      <w:r>
        <w:fldChar w:fldCharType="end"/>
      </w:r>
      <w:r>
        <w:t xml:space="preserve">) </w:t>
      </w:r>
      <w:r w:rsidRPr="004F79D6">
        <w:t>for guidance concerning the post-</w:t>
      </w:r>
      <w:r>
        <w:t xml:space="preserve">incentive </w:t>
      </w:r>
      <w:r w:rsidRPr="004F79D6">
        <w:t>auction broadcast television transition:</w:t>
      </w:r>
    </w:p>
    <w:p w:rsidR="00C20526" w:rsidRPr="004F79D6" w:rsidP="00FD0198">
      <w:pPr>
        <w:pStyle w:val="ListParagraph"/>
        <w:numPr>
          <w:ilvl w:val="0"/>
          <w:numId w:val="23"/>
        </w:numPr>
        <w:contextualSpacing/>
        <w:rPr>
          <w:rStyle w:val="Hyperlink"/>
          <w:color w:val="auto"/>
        </w:rPr>
      </w:pPr>
      <w:r w:rsidRPr="004F79D6">
        <w:t xml:space="preserve">Broadcast Incentive Auction and Post-Auction Transition Website:  </w:t>
      </w:r>
      <w:r>
        <w:fldChar w:fldCharType="begin"/>
      </w:r>
      <w:r>
        <w:instrText xml:space="preserve"> HYPERLINK "https://www.fcc.gov/about-fcc/fcc-initiatives/incentive-auctions" </w:instrText>
      </w:r>
      <w:r>
        <w:fldChar w:fldCharType="separate"/>
      </w:r>
      <w:r w:rsidRPr="004F79D6">
        <w:rPr>
          <w:rStyle w:val="Hyperlink"/>
          <w:color w:val="auto"/>
        </w:rPr>
        <w:t>https://www.fcc.gov/about-fcc/fcc-initiatives/incentive-auctions</w:t>
      </w:r>
      <w:r>
        <w:fldChar w:fldCharType="end"/>
      </w:r>
    </w:p>
    <w:p w:rsidR="00DB6405" w:rsidRPr="004F79D6" w:rsidP="00FD0198">
      <w:pPr>
        <w:pStyle w:val="ListParagraph"/>
        <w:ind w:left="1440"/>
        <w:contextualSpacing/>
        <w:rPr>
          <w:lang w:val="en"/>
        </w:rPr>
      </w:pPr>
    </w:p>
    <w:p w:rsidR="000A2B9E" w:rsidRPr="004F79D6" w:rsidP="00FD0198">
      <w:pPr>
        <w:pStyle w:val="ListParagraph"/>
        <w:numPr>
          <w:ilvl w:val="0"/>
          <w:numId w:val="18"/>
        </w:numPr>
        <w:contextualSpacing/>
        <w:rPr>
          <w:lang w:val="en"/>
        </w:rPr>
      </w:pPr>
      <w:r>
        <w:fldChar w:fldCharType="begin"/>
      </w:r>
      <w:r>
        <w:instrText xml:space="preserve"> HYPERLINK "https://www.fcc.gov/document/procedures-post-incentive-auction-broadcast-transition" </w:instrText>
      </w:r>
      <w:r>
        <w:fldChar w:fldCharType="separate"/>
      </w:r>
      <w:r w:rsidRPr="004F79D6">
        <w:rPr>
          <w:u w:val="single"/>
          <w:lang w:val="en"/>
        </w:rPr>
        <w:t>Broadcast Procedures for the Post-Incentive Auction Transition</w:t>
      </w:r>
      <w:r>
        <w:fldChar w:fldCharType="end"/>
      </w:r>
      <w:r w:rsidRPr="004F79D6">
        <w:rPr>
          <w:u w:val="single"/>
          <w:lang w:val="en"/>
        </w:rPr>
        <w:t xml:space="preserve"> Public Notice</w:t>
      </w:r>
      <w:r w:rsidRPr="004F79D6">
        <w:rPr>
          <w:lang w:val="en"/>
        </w:rPr>
        <w:t xml:space="preserve"> (DA 17-1</w:t>
      </w:r>
      <w:r w:rsidRPr="004F79D6">
        <w:rPr>
          <w:lang w:val="en"/>
        </w:rPr>
        <w:t xml:space="preserve">06, </w:t>
      </w:r>
      <w:r w:rsidRPr="004F79D6">
        <w:rPr>
          <w:lang w:val="en"/>
        </w:rPr>
        <w:t xml:space="preserve">rel. </w:t>
      </w:r>
      <w:r w:rsidRPr="004F79D6">
        <w:rPr>
          <w:lang w:val="en"/>
        </w:rPr>
        <w:t>Jan. 27, 2017)</w:t>
      </w:r>
    </w:p>
    <w:p w:rsidR="000A2B9E" w:rsidRPr="004F79D6" w:rsidP="00FD0198">
      <w:pPr>
        <w:ind w:left="720"/>
        <w:rPr>
          <w:u w:val="single"/>
          <w:lang w:val="en"/>
        </w:rPr>
      </w:pPr>
    </w:p>
    <w:p w:rsidR="000A2B9E" w:rsidRPr="004F79D6" w:rsidP="00FD0198">
      <w:pPr>
        <w:pStyle w:val="ListParagraph"/>
        <w:numPr>
          <w:ilvl w:val="0"/>
          <w:numId w:val="18"/>
        </w:numPr>
        <w:contextualSpacing/>
        <w:rPr>
          <w:lang w:val="en"/>
        </w:rPr>
      </w:pPr>
      <w:r>
        <w:fldChar w:fldCharType="begin"/>
      </w:r>
      <w:r>
        <w:instrText xml:space="preserve"> HYPERLINK "https://www.fcc.gov/document/iatf-and-mb-release-post-incentive-auction-transition-scheduling-plan" </w:instrText>
      </w:r>
      <w:r>
        <w:fldChar w:fldCharType="separate"/>
      </w:r>
      <w:r w:rsidRPr="004F79D6">
        <w:rPr>
          <w:u w:val="single"/>
          <w:lang w:val="en"/>
        </w:rPr>
        <w:t>Transition Scheduling Plan</w:t>
      </w:r>
      <w:r>
        <w:fldChar w:fldCharType="end"/>
      </w:r>
      <w:r w:rsidRPr="004F79D6">
        <w:rPr>
          <w:u w:val="single"/>
          <w:lang w:val="en"/>
        </w:rPr>
        <w:t xml:space="preserve"> Adoption Public Notice</w:t>
      </w:r>
      <w:r w:rsidRPr="004F79D6">
        <w:rPr>
          <w:lang w:val="en"/>
        </w:rPr>
        <w:t xml:space="preserve"> (DA 17-107, </w:t>
      </w:r>
      <w:r w:rsidRPr="004F79D6">
        <w:rPr>
          <w:lang w:val="en"/>
        </w:rPr>
        <w:t xml:space="preserve">rel. </w:t>
      </w:r>
      <w:r w:rsidRPr="004F79D6">
        <w:rPr>
          <w:lang w:val="en"/>
        </w:rPr>
        <w:t>Jan. 27, 2017)</w:t>
      </w:r>
    </w:p>
    <w:p w:rsidR="000A2B9E" w:rsidRPr="004F79D6" w:rsidP="00FD0198">
      <w:pPr>
        <w:ind w:left="720"/>
        <w:rPr>
          <w:lang w:val="en"/>
        </w:rPr>
      </w:pPr>
    </w:p>
    <w:p w:rsidR="004A0422" w:rsidRPr="004F79D6" w:rsidP="00FD0198">
      <w:pPr>
        <w:pStyle w:val="ListParagraph"/>
        <w:numPr>
          <w:ilvl w:val="0"/>
          <w:numId w:val="18"/>
        </w:numPr>
        <w:contextualSpacing/>
        <w:rPr>
          <w:lang w:val="en"/>
        </w:rPr>
      </w:pPr>
      <w:r>
        <w:fldChar w:fldCharType="begin"/>
      </w:r>
      <w:r>
        <w:instrText xml:space="preserve"> HYPERLINK "https://www.fcc.gov/document/iatf-and-mb-release-transition-progress-report-filing-requirements" </w:instrText>
      </w:r>
      <w:r>
        <w:fldChar w:fldCharType="separate"/>
      </w:r>
      <w:r w:rsidRPr="004F79D6">
        <w:rPr>
          <w:u w:val="single"/>
          <w:lang w:val="en"/>
        </w:rPr>
        <w:t>Transition Progress Report Filing Requirements for Stations Eligible for Reimbursement Public Notice</w:t>
      </w:r>
      <w:r>
        <w:fldChar w:fldCharType="end"/>
      </w:r>
      <w:r w:rsidRPr="004F79D6">
        <w:rPr>
          <w:u w:val="single"/>
          <w:lang w:val="en"/>
        </w:rPr>
        <w:t xml:space="preserve"> </w:t>
      </w:r>
      <w:r w:rsidRPr="004F79D6">
        <w:rPr>
          <w:lang w:val="en"/>
        </w:rPr>
        <w:t>(DA 17-34, rel. Jan. 10, 2017)</w:t>
      </w:r>
    </w:p>
    <w:p w:rsidR="004A0422" w:rsidRPr="004F79D6" w:rsidP="00FD0198">
      <w:pPr>
        <w:pStyle w:val="ListParagraph"/>
      </w:pPr>
    </w:p>
    <w:p w:rsidR="00DB6405" w:rsidRPr="004F79D6" w:rsidP="00FD0198">
      <w:pPr>
        <w:pStyle w:val="ListParagraph"/>
        <w:numPr>
          <w:ilvl w:val="0"/>
          <w:numId w:val="18"/>
        </w:numPr>
        <w:contextualSpacing/>
        <w:rPr>
          <w:lang w:val="en"/>
        </w:rPr>
      </w:pPr>
      <w:r>
        <w:fldChar w:fldCharType="begin"/>
      </w:r>
      <w:r>
        <w:instrText xml:space="preserve"> HYPERLINK "https://www.fcc.gov/document/iatf-and-mb-release-transition-progress-report-filing-requirements" </w:instrText>
      </w:r>
      <w:r>
        <w:fldChar w:fldCharType="separate"/>
      </w:r>
      <w:r w:rsidRPr="004F79D6">
        <w:rPr>
          <w:u w:val="single"/>
          <w:lang w:val="en"/>
        </w:rPr>
        <w:t xml:space="preserve">Transition Progress Report Filing Requirements </w:t>
      </w:r>
      <w:r w:rsidRPr="004F79D6">
        <w:rPr>
          <w:u w:val="single"/>
          <w:lang w:val="en"/>
        </w:rPr>
        <w:t xml:space="preserve">for Non-Reimbursement Eligible Stations </w:t>
      </w:r>
      <w:r w:rsidRPr="004F79D6">
        <w:rPr>
          <w:u w:val="single"/>
          <w:lang w:val="en"/>
        </w:rPr>
        <w:t>Public Notice</w:t>
      </w:r>
      <w:r>
        <w:fldChar w:fldCharType="end"/>
      </w:r>
      <w:r w:rsidRPr="004F79D6">
        <w:rPr>
          <w:lang w:val="en"/>
        </w:rPr>
        <w:t xml:space="preserve"> (DA 17-484,</w:t>
      </w:r>
      <w:r w:rsidRPr="004F79D6">
        <w:rPr>
          <w:lang w:val="en"/>
        </w:rPr>
        <w:t xml:space="preserve"> rel.</w:t>
      </w:r>
      <w:r w:rsidRPr="004F79D6">
        <w:rPr>
          <w:lang w:val="en"/>
        </w:rPr>
        <w:t xml:space="preserve"> May 18, 2017)</w:t>
      </w:r>
    </w:p>
    <w:p w:rsidR="00DB6405" w:rsidRPr="004F79D6" w:rsidP="00FD0198">
      <w:pPr>
        <w:pStyle w:val="ListParagraph"/>
      </w:pPr>
    </w:p>
    <w:p w:rsidR="00DB6405" w:rsidRPr="004F79D6" w:rsidP="00FD0198">
      <w:pPr>
        <w:pStyle w:val="ListParagraph"/>
        <w:numPr>
          <w:ilvl w:val="0"/>
          <w:numId w:val="18"/>
        </w:numPr>
        <w:contextualSpacing/>
        <w:rPr>
          <w:lang w:val="en"/>
        </w:rPr>
      </w:pPr>
      <w:r>
        <w:fldChar w:fldCharType="begin"/>
      </w:r>
      <w:r>
        <w:instrText xml:space="preserve"> HYPERLINK "https://www.fcc.gov/document/incentive-auction-closing-and-channel-reassignment-public-notice" </w:instrText>
      </w:r>
      <w:r>
        <w:fldChar w:fldCharType="separate"/>
      </w:r>
      <w:r w:rsidRPr="004F79D6">
        <w:rPr>
          <w:u w:val="single"/>
          <w:lang w:val="en"/>
        </w:rPr>
        <w:t>Incentive Auction Closing and Channel Reassignment</w:t>
      </w:r>
      <w:r w:rsidRPr="004F79D6">
        <w:rPr>
          <w:u w:val="single"/>
          <w:lang w:val="en"/>
        </w:rPr>
        <w:t xml:space="preserve"> </w:t>
      </w:r>
      <w:r w:rsidRPr="004F79D6">
        <w:rPr>
          <w:u w:val="single"/>
          <w:lang w:val="en"/>
        </w:rPr>
        <w:t>Public Notice</w:t>
      </w:r>
      <w:r>
        <w:fldChar w:fldCharType="end"/>
      </w:r>
      <w:r w:rsidRPr="004F79D6">
        <w:rPr>
          <w:lang w:val="en"/>
        </w:rPr>
        <w:t xml:space="preserve"> (DA 17-314, </w:t>
      </w:r>
      <w:r w:rsidRPr="004F79D6">
        <w:rPr>
          <w:lang w:val="en"/>
        </w:rPr>
        <w:t xml:space="preserve">rel. </w:t>
      </w:r>
      <w:r w:rsidRPr="004F79D6">
        <w:rPr>
          <w:lang w:val="en"/>
        </w:rPr>
        <w:t>Apr. 13, 2017)</w:t>
      </w:r>
    </w:p>
    <w:p w:rsidR="000A2B9E" w:rsidRPr="004F79D6" w:rsidP="00FD0198">
      <w:pPr>
        <w:ind w:left="720"/>
      </w:pPr>
    </w:p>
    <w:p w:rsidR="000C5BC0" w:rsidRPr="004F79D6" w:rsidP="00FD0198">
      <w:pPr>
        <w:pStyle w:val="ParaNum0"/>
      </w:pPr>
      <w:r w:rsidRPr="004F79D6">
        <w:t>This action is taken by the Chief, Media Bureau,</w:t>
      </w:r>
      <w:r w:rsidRPr="004F79D6">
        <w:t xml:space="preserve"> pursuant to authority delegated by 47 CFR § 0.</w:t>
      </w:r>
      <w:r>
        <w:t>61</w:t>
      </w:r>
      <w:r w:rsidRPr="004F79D6">
        <w:t xml:space="preserve">.  </w:t>
      </w:r>
    </w:p>
    <w:p w:rsidR="00474463" w:rsidP="009F5F48">
      <w:pPr>
        <w:widowControl/>
        <w:spacing w:before="120" w:after="120"/>
        <w:jc w:val="center"/>
        <w:rPr>
          <w:b/>
          <w:szCs w:val="22"/>
        </w:rPr>
      </w:pPr>
    </w:p>
    <w:p w:rsidR="009F090D" w:rsidP="009F5F48">
      <w:pPr>
        <w:widowControl/>
        <w:spacing w:before="120" w:after="120"/>
        <w:jc w:val="center"/>
        <w:rPr>
          <w:b/>
          <w:szCs w:val="22"/>
        </w:rPr>
      </w:pPr>
      <w:r w:rsidRPr="004F79D6">
        <w:rPr>
          <w:b/>
          <w:szCs w:val="22"/>
        </w:rPr>
        <w:t>–FCC–</w:t>
      </w:r>
      <w:r>
        <w:rPr>
          <w:b/>
          <w:szCs w:val="22"/>
        </w:rPr>
        <w:br w:type="page"/>
      </w:r>
    </w:p>
    <w:p w:rsidR="009F090D" w:rsidP="009F090D">
      <w:pPr>
        <w:widowControl/>
        <w:jc w:val="center"/>
        <w:rPr>
          <w:rFonts w:eastAsia="Calibri"/>
          <w:b/>
          <w:snapToGrid/>
          <w:kern w:val="0"/>
          <w:szCs w:val="22"/>
        </w:rPr>
      </w:pPr>
      <w:r w:rsidRPr="006A66A2">
        <w:rPr>
          <w:rFonts w:eastAsia="Calibri"/>
          <w:b/>
          <w:snapToGrid/>
          <w:kern w:val="0"/>
          <w:szCs w:val="22"/>
        </w:rPr>
        <w:t>APPENDIX A</w:t>
      </w:r>
    </w:p>
    <w:p w:rsidR="009F090D" w:rsidRPr="006A66A2" w:rsidP="009F090D">
      <w:pPr>
        <w:widowControl/>
        <w:jc w:val="center"/>
        <w:rPr>
          <w:rFonts w:eastAsia="Calibri"/>
          <w:b/>
          <w:snapToGrid/>
          <w:kern w:val="0"/>
          <w:szCs w:val="22"/>
        </w:rPr>
      </w:pPr>
    </w:p>
    <w:p w:rsidR="009F090D" w:rsidRPr="006A66A2" w:rsidP="009F090D">
      <w:pPr>
        <w:widowControl/>
        <w:jc w:val="center"/>
        <w:rPr>
          <w:rFonts w:eastAsia="Calibri"/>
          <w:b/>
          <w:snapToGrid/>
          <w:kern w:val="0"/>
          <w:szCs w:val="22"/>
        </w:rPr>
      </w:pPr>
      <w:r w:rsidRPr="006A66A2">
        <w:rPr>
          <w:rFonts w:eastAsia="Calibri"/>
          <w:b/>
          <w:snapToGrid/>
          <w:kern w:val="0"/>
          <w:szCs w:val="22"/>
        </w:rPr>
        <w:t>INSTRUCTIONS FOR ACCESSING AND FILING ON LMS</w:t>
      </w:r>
    </w:p>
    <w:p w:rsidR="009F090D" w:rsidRPr="006A66A2" w:rsidP="009F090D">
      <w:pPr>
        <w:widowControl/>
        <w:jc w:val="center"/>
        <w:rPr>
          <w:rFonts w:eastAsia="Calibri"/>
          <w:b/>
          <w:snapToGrid/>
          <w:kern w:val="0"/>
          <w:szCs w:val="22"/>
        </w:rPr>
      </w:pPr>
    </w:p>
    <w:p w:rsidR="009F090D" w:rsidRPr="006A66A2" w:rsidP="009F090D">
      <w:pPr>
        <w:widowControl/>
        <w:jc w:val="center"/>
        <w:rPr>
          <w:rFonts w:eastAsia="Calibri"/>
          <w:b/>
          <w:snapToGrid/>
          <w:kern w:val="0"/>
          <w:szCs w:val="22"/>
        </w:rPr>
      </w:pPr>
    </w:p>
    <w:p w:rsidR="009F090D" w:rsidRPr="006A66A2" w:rsidP="009F090D">
      <w:pPr>
        <w:widowControl/>
        <w:spacing w:after="160"/>
        <w:rPr>
          <w:rFonts w:eastAsia="Calibri"/>
          <w:b/>
          <w:snapToGrid/>
          <w:kern w:val="0"/>
          <w:szCs w:val="22"/>
          <w:u w:val="single"/>
        </w:rPr>
      </w:pPr>
      <w:r w:rsidRPr="006A66A2">
        <w:rPr>
          <w:rFonts w:eastAsia="Calibri"/>
          <w:b/>
          <w:snapToGrid/>
          <w:kern w:val="0"/>
          <w:szCs w:val="22"/>
          <w:u w:val="single"/>
        </w:rPr>
        <w:t>General LMS Log-in Instructions</w:t>
      </w:r>
    </w:p>
    <w:p w:rsidR="009F090D" w:rsidRPr="006A66A2" w:rsidP="009F090D">
      <w:pPr>
        <w:widowControl/>
        <w:numPr>
          <w:ilvl w:val="0"/>
          <w:numId w:val="27"/>
        </w:numPr>
        <w:spacing w:after="120" w:line="259" w:lineRule="auto"/>
        <w:ind w:left="360"/>
        <w:rPr>
          <w:rFonts w:eastAsia="Calibri"/>
          <w:snapToGrid/>
          <w:kern w:val="0"/>
          <w:szCs w:val="22"/>
        </w:rPr>
      </w:pPr>
      <w:r w:rsidRPr="006A66A2">
        <w:rPr>
          <w:rFonts w:eastAsia="Calibri"/>
          <w:snapToGrid/>
          <w:kern w:val="0"/>
          <w:szCs w:val="22"/>
        </w:rPr>
        <w:t xml:space="preserve">Access the LMS applicant data entry home page here:  </w:t>
      </w:r>
      <w:r>
        <w:fldChar w:fldCharType="begin"/>
      </w:r>
      <w:r>
        <w:instrText xml:space="preserve"> HYPERLINK "https://enterpriseefiling.fcc.gov/dataentry/login.html" </w:instrText>
      </w:r>
      <w:r>
        <w:fldChar w:fldCharType="separate"/>
      </w:r>
      <w:r w:rsidRPr="006A66A2">
        <w:rPr>
          <w:rFonts w:eastAsia="Calibri"/>
          <w:snapToGrid/>
          <w:color w:val="0563C1"/>
          <w:kern w:val="0"/>
          <w:szCs w:val="22"/>
          <w:u w:val="single"/>
        </w:rPr>
        <w:t>https://enterpriseefiling.fcc.gov/dataentry/login.html</w:t>
      </w:r>
      <w:r>
        <w:fldChar w:fldCharType="end"/>
      </w:r>
    </w:p>
    <w:p w:rsidR="009F090D" w:rsidRPr="006A66A2" w:rsidP="009F090D">
      <w:pPr>
        <w:widowControl/>
        <w:numPr>
          <w:ilvl w:val="0"/>
          <w:numId w:val="27"/>
        </w:numPr>
        <w:spacing w:after="120" w:line="259" w:lineRule="auto"/>
        <w:ind w:left="360"/>
        <w:rPr>
          <w:rFonts w:eastAsia="Calibri"/>
          <w:snapToGrid/>
          <w:kern w:val="0"/>
          <w:szCs w:val="22"/>
        </w:rPr>
      </w:pPr>
      <w:r w:rsidRPr="006A66A2">
        <w:rPr>
          <w:rFonts w:eastAsia="Calibri"/>
          <w:snapToGrid/>
          <w:kern w:val="0"/>
          <w:szCs w:val="22"/>
        </w:rPr>
        <w:t xml:space="preserve">Log-in using the FRN associated with the station.  </w:t>
      </w:r>
    </w:p>
    <w:p w:rsidR="009F090D" w:rsidRPr="006A66A2" w:rsidP="009F090D">
      <w:pPr>
        <w:widowControl/>
        <w:numPr>
          <w:ilvl w:val="0"/>
          <w:numId w:val="27"/>
        </w:numPr>
        <w:spacing w:after="360" w:line="259" w:lineRule="auto"/>
        <w:ind w:left="360"/>
        <w:rPr>
          <w:rFonts w:eastAsia="Calibri"/>
          <w:snapToGrid/>
          <w:kern w:val="0"/>
          <w:szCs w:val="22"/>
        </w:rPr>
      </w:pPr>
      <w:r w:rsidRPr="006A66A2">
        <w:rPr>
          <w:rFonts w:eastAsia="Calibri"/>
          <w:snapToGrid/>
          <w:kern w:val="0"/>
          <w:szCs w:val="22"/>
        </w:rPr>
        <w:t>For more information and help using the LMS system, contact:  (877) 480-3201 T</w:t>
      </w:r>
      <w:r w:rsidRPr="006A66A2">
        <w:rPr>
          <w:rFonts w:eastAsia="Calibri"/>
          <w:snapToGrid/>
          <w:kern w:val="0"/>
          <w:szCs w:val="22"/>
        </w:rPr>
        <w:t>TY, or (717) 333-2824.</w:t>
      </w:r>
    </w:p>
    <w:p w:rsidR="009F090D" w:rsidRPr="006A66A2" w:rsidP="009F090D">
      <w:pPr>
        <w:widowControl/>
        <w:spacing w:after="160"/>
        <w:rPr>
          <w:rFonts w:eastAsia="Calibri"/>
          <w:b/>
          <w:snapToGrid/>
          <w:kern w:val="0"/>
          <w:szCs w:val="22"/>
          <w:u w:val="single"/>
        </w:rPr>
      </w:pPr>
      <w:r w:rsidRPr="006A66A2">
        <w:rPr>
          <w:rFonts w:eastAsia="Calibri"/>
          <w:b/>
          <w:snapToGrid/>
          <w:kern w:val="0"/>
          <w:szCs w:val="22"/>
          <w:u w:val="single"/>
        </w:rPr>
        <w:t>Instructions for Specific Filings</w:t>
      </w:r>
    </w:p>
    <w:p w:rsidR="009F090D" w:rsidRPr="006A66A2" w:rsidP="009F090D">
      <w:pPr>
        <w:widowControl/>
        <w:spacing w:after="160"/>
        <w:rPr>
          <w:rFonts w:eastAsia="Calibri"/>
          <w:snapToGrid/>
          <w:kern w:val="0"/>
          <w:szCs w:val="22"/>
        </w:rPr>
      </w:pPr>
      <w:r w:rsidRPr="006A66A2">
        <w:rPr>
          <w:rFonts w:eastAsia="Calibri"/>
          <w:snapToGrid/>
          <w:kern w:val="0"/>
          <w:szCs w:val="22"/>
        </w:rPr>
        <w:t>After logging into LMS, follow these instructions for the particular type of filing.  Applicants must pay the requisite filing fee where applicable. Applicants may request a fee exemption for the fil</w:t>
      </w:r>
      <w:r w:rsidRPr="006A66A2">
        <w:rPr>
          <w:rFonts w:eastAsia="Calibri"/>
          <w:snapToGrid/>
          <w:kern w:val="0"/>
          <w:szCs w:val="22"/>
        </w:rPr>
        <w:t>ing of their initial minor change construction permit by selecting “Yes” in the “Fees, Waivers and Exemption” section of Form 2100 and indicating “Section 1.1116(a)/Incentive Auction Filing Requirement” as the reason for the fee exemption.</w:t>
      </w:r>
    </w:p>
    <w:p w:rsidR="009F090D" w:rsidRPr="006A66A2" w:rsidP="009F090D">
      <w:pPr>
        <w:widowControl/>
        <w:spacing w:after="160"/>
        <w:rPr>
          <w:rFonts w:eastAsia="Calibri"/>
          <w:snapToGrid/>
          <w:kern w:val="0"/>
          <w:szCs w:val="22"/>
          <w:u w:val="single"/>
        </w:rPr>
      </w:pPr>
      <w:r w:rsidRPr="006A66A2">
        <w:rPr>
          <w:rFonts w:eastAsia="Calibri"/>
          <w:snapToGrid/>
          <w:kern w:val="0"/>
          <w:szCs w:val="22"/>
          <w:u w:val="single"/>
        </w:rPr>
        <w:t>FCC Form 21</w:t>
      </w:r>
      <w:r>
        <w:rPr>
          <w:rFonts w:eastAsia="Calibri"/>
          <w:snapToGrid/>
          <w:kern w:val="0"/>
          <w:szCs w:val="22"/>
          <w:u w:val="single"/>
        </w:rPr>
        <w:t xml:space="preserve">00 – </w:t>
      </w:r>
      <w:r>
        <w:rPr>
          <w:rFonts w:eastAsia="Calibri"/>
          <w:snapToGrid/>
          <w:kern w:val="0"/>
          <w:szCs w:val="22"/>
          <w:u w:val="single"/>
        </w:rPr>
        <w:t>Schedule A and Schedule E (Construction permit)</w:t>
      </w:r>
    </w:p>
    <w:p w:rsidR="009F090D" w:rsidRPr="006A66A2" w:rsidP="009F090D">
      <w:pPr>
        <w:widowControl/>
        <w:numPr>
          <w:ilvl w:val="0"/>
          <w:numId w:val="26"/>
        </w:numPr>
        <w:spacing w:after="120" w:line="259" w:lineRule="auto"/>
        <w:rPr>
          <w:rFonts w:eastAsia="Calibri"/>
          <w:snapToGrid/>
          <w:kern w:val="0"/>
          <w:szCs w:val="22"/>
        </w:rPr>
      </w:pPr>
      <w:r w:rsidRPr="006A66A2">
        <w:rPr>
          <w:rFonts w:eastAsia="Calibri"/>
          <w:snapToGrid/>
          <w:kern w:val="0"/>
          <w:szCs w:val="22"/>
        </w:rPr>
        <w:t xml:space="preserve">Click on “Authorizations” tab on the left top of the page. </w:t>
      </w:r>
    </w:p>
    <w:p w:rsidR="009F090D" w:rsidRPr="006A66A2" w:rsidP="009F090D">
      <w:pPr>
        <w:widowControl/>
        <w:numPr>
          <w:ilvl w:val="0"/>
          <w:numId w:val="26"/>
        </w:numPr>
        <w:spacing w:after="120" w:line="259" w:lineRule="auto"/>
        <w:rPr>
          <w:rFonts w:eastAsia="Calibri"/>
          <w:snapToGrid/>
          <w:kern w:val="0"/>
          <w:szCs w:val="22"/>
        </w:rPr>
      </w:pPr>
      <w:r w:rsidRPr="006A66A2">
        <w:rPr>
          <w:rFonts w:eastAsia="Calibri"/>
          <w:snapToGrid/>
          <w:kern w:val="0"/>
          <w:szCs w:val="22"/>
        </w:rPr>
        <w:t xml:space="preserve">Click on the license authorization file number of the station. </w:t>
      </w:r>
    </w:p>
    <w:p w:rsidR="009F090D" w:rsidRPr="006A66A2" w:rsidP="009F090D">
      <w:pPr>
        <w:widowControl/>
        <w:numPr>
          <w:ilvl w:val="0"/>
          <w:numId w:val="26"/>
        </w:numPr>
        <w:spacing w:after="120" w:line="259" w:lineRule="auto"/>
        <w:rPr>
          <w:rFonts w:eastAsia="Calibri"/>
          <w:snapToGrid/>
          <w:kern w:val="0"/>
          <w:szCs w:val="22"/>
        </w:rPr>
      </w:pPr>
      <w:r w:rsidRPr="006A66A2">
        <w:rPr>
          <w:rFonts w:eastAsia="Calibri"/>
          <w:snapToGrid/>
          <w:kern w:val="0"/>
          <w:szCs w:val="22"/>
        </w:rPr>
        <w:t xml:space="preserve">Click on “File an Application” button. </w:t>
      </w:r>
    </w:p>
    <w:p w:rsidR="009F090D" w:rsidRPr="006A66A2" w:rsidP="009F090D">
      <w:pPr>
        <w:widowControl/>
        <w:numPr>
          <w:ilvl w:val="0"/>
          <w:numId w:val="26"/>
        </w:numPr>
        <w:spacing w:after="120" w:line="259" w:lineRule="auto"/>
        <w:rPr>
          <w:rFonts w:eastAsia="Calibri"/>
          <w:snapToGrid/>
          <w:kern w:val="0"/>
          <w:szCs w:val="22"/>
        </w:rPr>
      </w:pPr>
      <w:r w:rsidRPr="006A66A2">
        <w:rPr>
          <w:rFonts w:eastAsia="Calibri"/>
          <w:snapToGrid/>
          <w:kern w:val="0"/>
          <w:szCs w:val="22"/>
        </w:rPr>
        <w:t>Select appropriate Schedule from the drop do</w:t>
      </w:r>
      <w:r w:rsidRPr="006A66A2">
        <w:rPr>
          <w:rFonts w:eastAsia="Calibri"/>
          <w:snapToGrid/>
          <w:kern w:val="0"/>
          <w:szCs w:val="22"/>
        </w:rPr>
        <w:t xml:space="preserve">wn menu. </w:t>
      </w:r>
    </w:p>
    <w:p w:rsidR="009F090D" w:rsidRPr="006A66A2" w:rsidP="009F090D">
      <w:pPr>
        <w:widowControl/>
        <w:numPr>
          <w:ilvl w:val="0"/>
          <w:numId w:val="26"/>
        </w:numPr>
        <w:spacing w:after="360" w:line="259" w:lineRule="auto"/>
        <w:rPr>
          <w:rFonts w:eastAsia="Calibri"/>
          <w:snapToGrid/>
          <w:kern w:val="0"/>
          <w:szCs w:val="22"/>
        </w:rPr>
      </w:pPr>
      <w:r w:rsidRPr="006A66A2">
        <w:rPr>
          <w:rFonts w:eastAsia="Calibri"/>
          <w:snapToGrid/>
          <w:kern w:val="0"/>
          <w:szCs w:val="22"/>
        </w:rPr>
        <w:t>Complete the application and click “Submit.”</w:t>
      </w:r>
    </w:p>
    <w:p w:rsidR="009F090D" w:rsidRPr="006A66A2" w:rsidP="009F090D">
      <w:pPr>
        <w:widowControl/>
        <w:spacing w:after="160"/>
        <w:rPr>
          <w:rFonts w:eastAsia="Calibri"/>
          <w:snapToGrid/>
          <w:kern w:val="0"/>
          <w:szCs w:val="22"/>
          <w:u w:val="single"/>
        </w:rPr>
      </w:pPr>
      <w:r w:rsidRPr="006A66A2">
        <w:rPr>
          <w:rFonts w:eastAsia="Calibri"/>
          <w:snapToGrid/>
          <w:kern w:val="0"/>
          <w:szCs w:val="22"/>
          <w:u w:val="single"/>
        </w:rPr>
        <w:t>FCC</w:t>
      </w:r>
      <w:r>
        <w:rPr>
          <w:rFonts w:eastAsia="Calibri"/>
          <w:snapToGrid/>
          <w:kern w:val="0"/>
          <w:szCs w:val="22"/>
          <w:u w:val="single"/>
        </w:rPr>
        <w:t xml:space="preserve"> Form 2100 – Schedule B and F (</w:t>
      </w:r>
      <w:r w:rsidRPr="006A66A2">
        <w:rPr>
          <w:rFonts w:eastAsia="Calibri"/>
          <w:snapToGrid/>
          <w:kern w:val="0"/>
          <w:szCs w:val="22"/>
          <w:u w:val="single"/>
        </w:rPr>
        <w:t>Application for License</w:t>
      </w:r>
      <w:r>
        <w:rPr>
          <w:rFonts w:eastAsia="Calibri"/>
          <w:snapToGrid/>
          <w:kern w:val="0"/>
          <w:szCs w:val="22"/>
          <w:u w:val="single"/>
        </w:rPr>
        <w:t>)</w:t>
      </w:r>
    </w:p>
    <w:p w:rsidR="009F090D" w:rsidRPr="006A66A2" w:rsidP="009F090D">
      <w:pPr>
        <w:widowControl/>
        <w:spacing w:after="120"/>
        <w:rPr>
          <w:rFonts w:eastAsia="Calibri"/>
          <w:snapToGrid/>
          <w:kern w:val="0"/>
          <w:szCs w:val="22"/>
        </w:rPr>
      </w:pPr>
      <w:r w:rsidRPr="006A66A2">
        <w:rPr>
          <w:rFonts w:eastAsia="Calibri"/>
          <w:snapToGrid/>
          <w:kern w:val="0"/>
          <w:szCs w:val="22"/>
        </w:rPr>
        <w:t>1.</w:t>
      </w:r>
      <w:r w:rsidRPr="006A66A2">
        <w:rPr>
          <w:rFonts w:eastAsia="Calibri"/>
          <w:snapToGrid/>
          <w:kern w:val="0"/>
          <w:szCs w:val="22"/>
        </w:rPr>
        <w:tab/>
        <w:t>Click on “Authorizations” tab on the left top of the page.</w:t>
      </w:r>
    </w:p>
    <w:p w:rsidR="009F090D" w:rsidRPr="006A66A2" w:rsidP="009F090D">
      <w:pPr>
        <w:widowControl/>
        <w:spacing w:after="120"/>
        <w:rPr>
          <w:rFonts w:eastAsia="Calibri"/>
          <w:snapToGrid/>
          <w:kern w:val="0"/>
          <w:szCs w:val="22"/>
        </w:rPr>
      </w:pPr>
      <w:r w:rsidRPr="006A66A2">
        <w:rPr>
          <w:rFonts w:eastAsia="Calibri"/>
          <w:snapToGrid/>
          <w:kern w:val="0"/>
          <w:szCs w:val="22"/>
        </w:rPr>
        <w:t>2.</w:t>
      </w:r>
      <w:r w:rsidRPr="006A66A2">
        <w:rPr>
          <w:rFonts w:eastAsia="Calibri"/>
          <w:snapToGrid/>
          <w:kern w:val="0"/>
          <w:szCs w:val="22"/>
        </w:rPr>
        <w:tab/>
        <w:t>Click on construction permit authorization.</w:t>
      </w:r>
    </w:p>
    <w:p w:rsidR="009F090D" w:rsidRPr="006A66A2" w:rsidP="009F090D">
      <w:pPr>
        <w:widowControl/>
        <w:spacing w:after="120"/>
        <w:rPr>
          <w:rFonts w:eastAsia="Calibri"/>
          <w:snapToGrid/>
          <w:kern w:val="0"/>
          <w:szCs w:val="22"/>
        </w:rPr>
      </w:pPr>
      <w:r w:rsidRPr="006A66A2">
        <w:rPr>
          <w:rFonts w:eastAsia="Calibri"/>
          <w:snapToGrid/>
          <w:kern w:val="0"/>
          <w:szCs w:val="22"/>
        </w:rPr>
        <w:t>3.</w:t>
      </w:r>
      <w:r w:rsidRPr="006A66A2">
        <w:rPr>
          <w:rFonts w:eastAsia="Calibri"/>
          <w:snapToGrid/>
          <w:kern w:val="0"/>
          <w:szCs w:val="22"/>
        </w:rPr>
        <w:tab/>
        <w:t>Click on “File an Application”</w:t>
      </w:r>
      <w:r w:rsidRPr="006A66A2">
        <w:rPr>
          <w:rFonts w:eastAsia="Calibri"/>
          <w:snapToGrid/>
          <w:kern w:val="0"/>
          <w:szCs w:val="22"/>
        </w:rPr>
        <w:t xml:space="preserve"> button.</w:t>
      </w:r>
    </w:p>
    <w:p w:rsidR="009F090D" w:rsidRPr="006A66A2" w:rsidP="009F090D">
      <w:pPr>
        <w:widowControl/>
        <w:spacing w:after="120"/>
        <w:rPr>
          <w:rFonts w:eastAsia="Calibri"/>
          <w:snapToGrid/>
          <w:kern w:val="0"/>
          <w:szCs w:val="22"/>
        </w:rPr>
      </w:pPr>
      <w:r w:rsidRPr="006A66A2">
        <w:rPr>
          <w:rFonts w:eastAsia="Calibri"/>
          <w:snapToGrid/>
          <w:kern w:val="0"/>
          <w:szCs w:val="22"/>
        </w:rPr>
        <w:t>4.</w:t>
      </w:r>
      <w:r w:rsidRPr="006A66A2">
        <w:rPr>
          <w:rFonts w:eastAsia="Calibri"/>
          <w:snapToGrid/>
          <w:kern w:val="0"/>
          <w:szCs w:val="22"/>
        </w:rPr>
        <w:tab/>
        <w:t>Select “license to cover” from drop down menu.</w:t>
      </w:r>
    </w:p>
    <w:p w:rsidR="009F090D" w:rsidRPr="006A66A2" w:rsidP="009F090D">
      <w:pPr>
        <w:widowControl/>
        <w:spacing w:after="360"/>
        <w:rPr>
          <w:rFonts w:eastAsia="Calibri"/>
          <w:snapToGrid/>
          <w:kern w:val="0"/>
          <w:szCs w:val="22"/>
        </w:rPr>
      </w:pPr>
      <w:r w:rsidRPr="006A66A2">
        <w:rPr>
          <w:rFonts w:eastAsia="Calibri"/>
          <w:snapToGrid/>
          <w:kern w:val="0"/>
          <w:szCs w:val="22"/>
        </w:rPr>
        <w:t>5.</w:t>
      </w:r>
      <w:r w:rsidRPr="006A66A2">
        <w:rPr>
          <w:rFonts w:eastAsia="Calibri"/>
          <w:snapToGrid/>
          <w:kern w:val="0"/>
          <w:szCs w:val="22"/>
        </w:rPr>
        <w:tab/>
        <w:t>Complete the application and click “Submit.”</w:t>
      </w:r>
    </w:p>
    <w:p w:rsidR="009F090D" w:rsidRPr="006A66A2" w:rsidP="009F090D">
      <w:pPr>
        <w:widowControl/>
        <w:spacing w:after="160"/>
        <w:rPr>
          <w:rFonts w:eastAsia="Calibri"/>
          <w:snapToGrid/>
          <w:kern w:val="0"/>
          <w:szCs w:val="22"/>
          <w:u w:val="single"/>
        </w:rPr>
      </w:pPr>
      <w:r w:rsidRPr="006A66A2">
        <w:rPr>
          <w:rFonts w:eastAsia="Calibri"/>
          <w:snapToGrid/>
          <w:kern w:val="0"/>
          <w:szCs w:val="22"/>
          <w:u w:val="single"/>
        </w:rPr>
        <w:t>Engineering, Legal, and Silent STAs</w:t>
      </w:r>
    </w:p>
    <w:p w:rsidR="009F090D" w:rsidRPr="006A66A2" w:rsidP="009F090D">
      <w:pPr>
        <w:widowControl/>
        <w:spacing w:after="120"/>
        <w:rPr>
          <w:rFonts w:eastAsia="Calibri"/>
          <w:snapToGrid/>
          <w:kern w:val="0"/>
          <w:szCs w:val="22"/>
        </w:rPr>
      </w:pPr>
      <w:r w:rsidRPr="006A66A2">
        <w:rPr>
          <w:rFonts w:eastAsia="Calibri"/>
          <w:snapToGrid/>
          <w:kern w:val="0"/>
          <w:szCs w:val="22"/>
        </w:rPr>
        <w:t>1.</w:t>
      </w:r>
      <w:r w:rsidRPr="006A66A2">
        <w:rPr>
          <w:rFonts w:eastAsia="Calibri"/>
          <w:snapToGrid/>
          <w:kern w:val="0"/>
          <w:szCs w:val="22"/>
        </w:rPr>
        <w:tab/>
        <w:t xml:space="preserve">Click on “Facilities” tab on the left top of the page. </w:t>
      </w:r>
    </w:p>
    <w:p w:rsidR="009F090D" w:rsidRPr="006A66A2" w:rsidP="009F090D">
      <w:pPr>
        <w:widowControl/>
        <w:spacing w:after="120"/>
        <w:rPr>
          <w:rFonts w:eastAsia="Calibri"/>
          <w:snapToGrid/>
          <w:kern w:val="0"/>
          <w:szCs w:val="22"/>
        </w:rPr>
      </w:pPr>
      <w:r w:rsidRPr="006A66A2">
        <w:rPr>
          <w:rFonts w:eastAsia="Calibri"/>
          <w:snapToGrid/>
          <w:kern w:val="0"/>
          <w:szCs w:val="22"/>
        </w:rPr>
        <w:t>2.</w:t>
      </w:r>
      <w:r w:rsidRPr="006A66A2">
        <w:rPr>
          <w:rFonts w:eastAsia="Calibri"/>
          <w:snapToGrid/>
          <w:kern w:val="0"/>
          <w:szCs w:val="22"/>
        </w:rPr>
        <w:tab/>
        <w:t>Click on Facility ID of the station.</w:t>
      </w:r>
    </w:p>
    <w:p w:rsidR="009F090D" w:rsidRPr="006A66A2" w:rsidP="009F090D">
      <w:pPr>
        <w:widowControl/>
        <w:spacing w:after="120"/>
        <w:rPr>
          <w:rFonts w:eastAsia="Calibri"/>
          <w:snapToGrid/>
          <w:kern w:val="0"/>
          <w:szCs w:val="22"/>
        </w:rPr>
      </w:pPr>
      <w:r w:rsidRPr="006A66A2">
        <w:rPr>
          <w:rFonts w:eastAsia="Calibri"/>
          <w:snapToGrid/>
          <w:kern w:val="0"/>
          <w:szCs w:val="22"/>
        </w:rPr>
        <w:t>3.</w:t>
      </w:r>
      <w:r w:rsidRPr="006A66A2">
        <w:rPr>
          <w:rFonts w:eastAsia="Calibri"/>
          <w:snapToGrid/>
          <w:kern w:val="0"/>
          <w:szCs w:val="22"/>
        </w:rPr>
        <w:tab/>
        <w:t>Click on “F</w:t>
      </w:r>
      <w:r w:rsidRPr="006A66A2">
        <w:rPr>
          <w:rFonts w:eastAsia="Calibri"/>
          <w:snapToGrid/>
          <w:kern w:val="0"/>
          <w:szCs w:val="22"/>
        </w:rPr>
        <w:t>ile an Application” button.</w:t>
      </w:r>
    </w:p>
    <w:p w:rsidR="009F090D" w:rsidRPr="006A66A2" w:rsidP="009F090D">
      <w:pPr>
        <w:widowControl/>
        <w:spacing w:after="120"/>
        <w:rPr>
          <w:rFonts w:eastAsia="Calibri"/>
          <w:snapToGrid/>
          <w:kern w:val="0"/>
          <w:szCs w:val="22"/>
        </w:rPr>
      </w:pPr>
      <w:r w:rsidRPr="006A66A2">
        <w:rPr>
          <w:rFonts w:eastAsia="Calibri"/>
          <w:snapToGrid/>
          <w:kern w:val="0"/>
          <w:szCs w:val="22"/>
        </w:rPr>
        <w:t>4.</w:t>
      </w:r>
      <w:r w:rsidRPr="006A66A2">
        <w:rPr>
          <w:rFonts w:eastAsia="Calibri"/>
          <w:snapToGrid/>
          <w:kern w:val="0"/>
          <w:szCs w:val="22"/>
        </w:rPr>
        <w:tab/>
        <w:t>Select “STA – engineering, legal or silent” from the drop down menu.</w:t>
      </w:r>
    </w:p>
    <w:p w:rsidR="009F090D" w:rsidRPr="006A66A2" w:rsidP="009F090D">
      <w:pPr>
        <w:widowControl/>
        <w:spacing w:after="120"/>
        <w:rPr>
          <w:rFonts w:eastAsia="Calibri"/>
          <w:snapToGrid/>
          <w:kern w:val="0"/>
          <w:szCs w:val="22"/>
        </w:rPr>
      </w:pPr>
      <w:r w:rsidRPr="006A66A2">
        <w:rPr>
          <w:rFonts w:eastAsia="Calibri"/>
          <w:snapToGrid/>
          <w:kern w:val="0"/>
          <w:szCs w:val="22"/>
        </w:rPr>
        <w:t>5.</w:t>
      </w:r>
      <w:r w:rsidRPr="006A66A2">
        <w:rPr>
          <w:rFonts w:eastAsia="Calibri"/>
          <w:snapToGrid/>
          <w:kern w:val="0"/>
          <w:szCs w:val="22"/>
        </w:rPr>
        <w:tab/>
        <w:t>Complete the application and click “Submit.”</w:t>
      </w:r>
    </w:p>
    <w:p w:rsidR="009F090D" w:rsidRPr="006A66A2" w:rsidP="009F090D">
      <w:pPr>
        <w:widowControl/>
        <w:spacing w:after="120"/>
        <w:rPr>
          <w:rFonts w:eastAsia="Calibri"/>
          <w:snapToGrid/>
          <w:kern w:val="0"/>
          <w:szCs w:val="22"/>
        </w:rPr>
      </w:pPr>
      <w:r w:rsidRPr="006A66A2">
        <w:rPr>
          <w:rFonts w:eastAsia="Calibri"/>
          <w:snapToGrid/>
          <w:kern w:val="0"/>
          <w:szCs w:val="22"/>
        </w:rPr>
        <w:t>6.</w:t>
      </w:r>
      <w:r w:rsidRPr="006A66A2">
        <w:rPr>
          <w:rFonts w:eastAsia="Calibri"/>
          <w:snapToGrid/>
          <w:kern w:val="0"/>
          <w:szCs w:val="22"/>
        </w:rPr>
        <w:tab/>
        <w:t xml:space="preserve">Download the Reference copy and e-mail to </w:t>
      </w:r>
      <w:r>
        <w:fldChar w:fldCharType="begin"/>
      </w:r>
      <w:r>
        <w:instrText xml:space="preserve"> HYPERLINK "mailto:IATransitionlicensing@fcc.gov" </w:instrText>
      </w:r>
      <w:r>
        <w:fldChar w:fldCharType="separate"/>
      </w:r>
      <w:r w:rsidRPr="006A66A2">
        <w:rPr>
          <w:rFonts w:eastAsia="Calibri"/>
          <w:snapToGrid/>
          <w:color w:val="0563C1"/>
          <w:kern w:val="0"/>
          <w:szCs w:val="22"/>
          <w:u w:val="single"/>
        </w:rPr>
        <w:t>IATransitionlicensing@fcc.gov</w:t>
      </w:r>
      <w:r>
        <w:fldChar w:fldCharType="end"/>
      </w:r>
      <w:r w:rsidRPr="006A66A2">
        <w:rPr>
          <w:rFonts w:eastAsia="Calibri"/>
          <w:snapToGrid/>
          <w:kern w:val="0"/>
          <w:szCs w:val="22"/>
        </w:rPr>
        <w:t xml:space="preserve">. </w:t>
      </w:r>
    </w:p>
    <w:p w:rsidR="009F090D" w:rsidRPr="006A66A2" w:rsidP="009F090D">
      <w:pPr>
        <w:keepNext/>
        <w:keepLines/>
        <w:widowControl/>
        <w:spacing w:after="120"/>
        <w:rPr>
          <w:rFonts w:eastAsia="Calibri"/>
          <w:snapToGrid/>
          <w:kern w:val="0"/>
          <w:szCs w:val="22"/>
          <w:u w:val="single"/>
        </w:rPr>
      </w:pPr>
      <w:r w:rsidRPr="006A66A2">
        <w:rPr>
          <w:rFonts w:eastAsia="Calibri"/>
          <w:snapToGrid/>
          <w:kern w:val="0"/>
          <w:szCs w:val="22"/>
          <w:u w:val="single"/>
        </w:rPr>
        <w:t xml:space="preserve">Suspension of Operations Notification </w:t>
      </w:r>
    </w:p>
    <w:p w:rsidR="009F090D" w:rsidRPr="006A66A2" w:rsidP="009F090D">
      <w:pPr>
        <w:keepNext/>
        <w:keepLines/>
        <w:widowControl/>
        <w:numPr>
          <w:ilvl w:val="0"/>
          <w:numId w:val="28"/>
        </w:numPr>
        <w:spacing w:after="120" w:line="259" w:lineRule="auto"/>
        <w:rPr>
          <w:rFonts w:eastAsia="Calibri"/>
          <w:snapToGrid/>
          <w:kern w:val="0"/>
          <w:szCs w:val="22"/>
        </w:rPr>
      </w:pPr>
      <w:r w:rsidRPr="006A66A2">
        <w:rPr>
          <w:rFonts w:eastAsia="Calibri"/>
          <w:snapToGrid/>
          <w:kern w:val="0"/>
          <w:szCs w:val="22"/>
        </w:rPr>
        <w:t xml:space="preserve">Click on “Facility” tab on the left top of the page. </w:t>
      </w:r>
    </w:p>
    <w:p w:rsidR="009F090D" w:rsidRPr="006A66A2" w:rsidP="009F090D">
      <w:pPr>
        <w:keepNext/>
        <w:keepLines/>
        <w:widowControl/>
        <w:numPr>
          <w:ilvl w:val="0"/>
          <w:numId w:val="28"/>
        </w:numPr>
        <w:spacing w:after="120" w:line="259" w:lineRule="auto"/>
        <w:rPr>
          <w:rFonts w:eastAsia="Calibri"/>
          <w:snapToGrid/>
          <w:kern w:val="0"/>
          <w:szCs w:val="22"/>
        </w:rPr>
      </w:pPr>
      <w:r w:rsidRPr="006A66A2">
        <w:rPr>
          <w:rFonts w:eastAsia="Calibri"/>
          <w:snapToGrid/>
          <w:kern w:val="0"/>
          <w:szCs w:val="22"/>
        </w:rPr>
        <w:t xml:space="preserve">Click on facility ID of the station. </w:t>
      </w:r>
    </w:p>
    <w:p w:rsidR="009F090D" w:rsidRPr="006A66A2" w:rsidP="009F090D">
      <w:pPr>
        <w:keepNext/>
        <w:keepLines/>
        <w:widowControl/>
        <w:numPr>
          <w:ilvl w:val="0"/>
          <w:numId w:val="28"/>
        </w:numPr>
        <w:spacing w:after="120" w:line="259" w:lineRule="auto"/>
        <w:rPr>
          <w:rFonts w:eastAsia="Calibri"/>
          <w:snapToGrid/>
          <w:kern w:val="0"/>
          <w:szCs w:val="22"/>
        </w:rPr>
      </w:pPr>
      <w:r w:rsidRPr="006A66A2">
        <w:rPr>
          <w:rFonts w:eastAsia="Calibri"/>
          <w:snapToGrid/>
          <w:kern w:val="0"/>
          <w:szCs w:val="22"/>
        </w:rPr>
        <w:t xml:space="preserve">Click on “File an Application” button. </w:t>
      </w:r>
    </w:p>
    <w:p w:rsidR="009F090D" w:rsidRPr="006A66A2" w:rsidP="009F090D">
      <w:pPr>
        <w:keepNext/>
        <w:keepLines/>
        <w:widowControl/>
        <w:numPr>
          <w:ilvl w:val="0"/>
          <w:numId w:val="28"/>
        </w:numPr>
        <w:spacing w:after="120" w:line="259" w:lineRule="auto"/>
        <w:rPr>
          <w:rFonts w:eastAsia="Calibri"/>
          <w:snapToGrid/>
          <w:kern w:val="0"/>
          <w:szCs w:val="22"/>
        </w:rPr>
      </w:pPr>
      <w:r w:rsidRPr="006A66A2">
        <w:rPr>
          <w:rFonts w:eastAsia="Calibri"/>
          <w:snapToGrid/>
          <w:kern w:val="0"/>
          <w:szCs w:val="22"/>
        </w:rPr>
        <w:t>Select “Suspension of Operations Notification” fro</w:t>
      </w:r>
      <w:r w:rsidRPr="006A66A2">
        <w:rPr>
          <w:rFonts w:eastAsia="Calibri"/>
          <w:snapToGrid/>
          <w:kern w:val="0"/>
          <w:szCs w:val="22"/>
        </w:rPr>
        <w:t xml:space="preserve">m the drop down menu. </w:t>
      </w:r>
    </w:p>
    <w:p w:rsidR="009F090D" w:rsidRPr="006A66A2" w:rsidP="00F313DA">
      <w:pPr>
        <w:widowControl/>
        <w:numPr>
          <w:ilvl w:val="0"/>
          <w:numId w:val="28"/>
        </w:numPr>
        <w:spacing w:after="360" w:line="259" w:lineRule="auto"/>
        <w:rPr>
          <w:rFonts w:eastAsia="Calibri"/>
          <w:snapToGrid/>
          <w:kern w:val="0"/>
          <w:szCs w:val="22"/>
        </w:rPr>
      </w:pPr>
      <w:r w:rsidRPr="006A66A2">
        <w:rPr>
          <w:rFonts w:eastAsia="Calibri"/>
          <w:snapToGrid/>
          <w:kern w:val="0"/>
          <w:szCs w:val="22"/>
        </w:rPr>
        <w:t xml:space="preserve">Download the Reference copy and e-mail to </w:t>
      </w:r>
      <w:r>
        <w:fldChar w:fldCharType="begin"/>
      </w:r>
      <w:r>
        <w:instrText xml:space="preserve"> HYPERLINK "mailto:IATransitionlicensing@fcc.gov" </w:instrText>
      </w:r>
      <w:r>
        <w:fldChar w:fldCharType="separate"/>
      </w:r>
      <w:r w:rsidRPr="006A66A2">
        <w:rPr>
          <w:rFonts w:eastAsia="Calibri"/>
          <w:snapToGrid/>
          <w:color w:val="0563C1"/>
          <w:kern w:val="0"/>
          <w:szCs w:val="22"/>
          <w:u w:val="single"/>
        </w:rPr>
        <w:t>IATransitionlicensing@fcc.gov</w:t>
      </w:r>
      <w:r>
        <w:fldChar w:fldCharType="end"/>
      </w:r>
      <w:r>
        <w:rPr>
          <w:rFonts w:eastAsia="Calibri"/>
          <w:snapToGrid/>
          <w:color w:val="0563C1"/>
          <w:kern w:val="0"/>
          <w:szCs w:val="22"/>
        </w:rPr>
        <w:t xml:space="preserve">.  </w:t>
      </w:r>
    </w:p>
    <w:p w:rsidR="009F090D" w:rsidRPr="006A66A2" w:rsidP="009F090D">
      <w:pPr>
        <w:widowControl/>
        <w:spacing w:after="160"/>
        <w:rPr>
          <w:rFonts w:eastAsia="Calibri"/>
          <w:snapToGrid/>
          <w:kern w:val="0"/>
          <w:szCs w:val="22"/>
          <w:u w:val="single"/>
        </w:rPr>
      </w:pPr>
      <w:r w:rsidRPr="006A66A2">
        <w:rPr>
          <w:rFonts w:eastAsia="Calibri"/>
          <w:snapToGrid/>
          <w:kern w:val="0"/>
          <w:szCs w:val="22"/>
          <w:u w:val="single"/>
        </w:rPr>
        <w:t>FCC Form 2100 – Schedule 337 – Application for Extension of Time</w:t>
      </w:r>
    </w:p>
    <w:p w:rsidR="009F090D" w:rsidRPr="006A66A2" w:rsidP="009F090D">
      <w:pPr>
        <w:widowControl/>
        <w:spacing w:after="120"/>
        <w:rPr>
          <w:rFonts w:eastAsia="Calibri"/>
          <w:snapToGrid/>
          <w:kern w:val="0"/>
          <w:szCs w:val="22"/>
        </w:rPr>
      </w:pPr>
      <w:r w:rsidRPr="006A66A2">
        <w:rPr>
          <w:rFonts w:eastAsia="Calibri"/>
          <w:snapToGrid/>
          <w:kern w:val="0"/>
          <w:szCs w:val="22"/>
        </w:rPr>
        <w:t>1.</w:t>
      </w:r>
      <w:r w:rsidRPr="006A66A2">
        <w:rPr>
          <w:rFonts w:eastAsia="Calibri"/>
          <w:snapToGrid/>
          <w:kern w:val="0"/>
          <w:szCs w:val="22"/>
        </w:rPr>
        <w:tab/>
        <w:t xml:space="preserve">Click on “Authorization” tab on the </w:t>
      </w:r>
      <w:r w:rsidRPr="006A66A2">
        <w:rPr>
          <w:rFonts w:eastAsia="Calibri"/>
          <w:snapToGrid/>
          <w:kern w:val="0"/>
          <w:szCs w:val="22"/>
        </w:rPr>
        <w:t>left top of the page.</w:t>
      </w:r>
    </w:p>
    <w:p w:rsidR="009F090D" w:rsidRPr="006A66A2" w:rsidP="009F090D">
      <w:pPr>
        <w:widowControl/>
        <w:spacing w:after="120"/>
        <w:rPr>
          <w:rFonts w:eastAsia="Calibri"/>
          <w:snapToGrid/>
          <w:kern w:val="0"/>
          <w:szCs w:val="22"/>
        </w:rPr>
      </w:pPr>
      <w:r w:rsidRPr="006A66A2">
        <w:rPr>
          <w:rFonts w:eastAsia="Calibri"/>
          <w:snapToGrid/>
          <w:kern w:val="0"/>
          <w:szCs w:val="22"/>
        </w:rPr>
        <w:t>2.</w:t>
      </w:r>
      <w:r w:rsidRPr="006A66A2">
        <w:rPr>
          <w:rFonts w:eastAsia="Calibri"/>
          <w:snapToGrid/>
          <w:kern w:val="0"/>
          <w:szCs w:val="22"/>
        </w:rPr>
        <w:tab/>
        <w:t>Click on construction permit authorization.</w:t>
      </w:r>
    </w:p>
    <w:p w:rsidR="009F090D" w:rsidRPr="006A66A2" w:rsidP="009F090D">
      <w:pPr>
        <w:widowControl/>
        <w:spacing w:after="120"/>
        <w:rPr>
          <w:rFonts w:eastAsia="Calibri"/>
          <w:snapToGrid/>
          <w:kern w:val="0"/>
          <w:szCs w:val="22"/>
        </w:rPr>
      </w:pPr>
      <w:r w:rsidRPr="006A66A2">
        <w:rPr>
          <w:rFonts w:eastAsia="Calibri"/>
          <w:snapToGrid/>
          <w:kern w:val="0"/>
          <w:szCs w:val="22"/>
        </w:rPr>
        <w:t>3.</w:t>
      </w:r>
      <w:r w:rsidRPr="006A66A2">
        <w:rPr>
          <w:rFonts w:eastAsia="Calibri"/>
          <w:snapToGrid/>
          <w:kern w:val="0"/>
          <w:szCs w:val="22"/>
        </w:rPr>
        <w:tab/>
        <w:t>Click on “File an Application” button.</w:t>
      </w:r>
    </w:p>
    <w:p w:rsidR="009F090D" w:rsidRPr="006A66A2" w:rsidP="009F090D">
      <w:pPr>
        <w:widowControl/>
        <w:spacing w:after="120"/>
        <w:rPr>
          <w:rFonts w:eastAsia="Calibri"/>
          <w:snapToGrid/>
          <w:kern w:val="0"/>
          <w:szCs w:val="22"/>
        </w:rPr>
      </w:pPr>
      <w:r w:rsidRPr="006A66A2">
        <w:rPr>
          <w:rFonts w:eastAsia="Calibri"/>
          <w:snapToGrid/>
          <w:kern w:val="0"/>
          <w:szCs w:val="22"/>
        </w:rPr>
        <w:t>4.</w:t>
      </w:r>
      <w:r w:rsidRPr="006A66A2">
        <w:rPr>
          <w:rFonts w:eastAsia="Calibri"/>
          <w:snapToGrid/>
          <w:kern w:val="0"/>
          <w:szCs w:val="22"/>
        </w:rPr>
        <w:tab/>
        <w:t>Select “Schedule 337” from the drop down menu.</w:t>
      </w:r>
    </w:p>
    <w:p w:rsidR="009F090D" w:rsidRPr="006A66A2" w:rsidP="009F090D">
      <w:pPr>
        <w:widowControl/>
        <w:spacing w:after="120"/>
        <w:rPr>
          <w:rFonts w:eastAsia="Calibri"/>
          <w:snapToGrid/>
          <w:kern w:val="0"/>
          <w:szCs w:val="22"/>
        </w:rPr>
      </w:pPr>
      <w:r w:rsidRPr="006A66A2">
        <w:rPr>
          <w:rFonts w:eastAsia="Calibri"/>
          <w:snapToGrid/>
          <w:kern w:val="0"/>
          <w:szCs w:val="22"/>
        </w:rPr>
        <w:t>5.</w:t>
      </w:r>
      <w:r w:rsidRPr="006A66A2">
        <w:rPr>
          <w:rFonts w:eastAsia="Calibri"/>
          <w:snapToGrid/>
          <w:kern w:val="0"/>
          <w:szCs w:val="22"/>
        </w:rPr>
        <w:tab/>
        <w:t>Complete the application and click “Submit”</w:t>
      </w:r>
    </w:p>
    <w:p w:rsidR="009F090D" w:rsidRPr="006A66A2" w:rsidP="009F090D">
      <w:pPr>
        <w:widowControl/>
        <w:spacing w:after="360"/>
        <w:rPr>
          <w:rFonts w:eastAsia="Calibri"/>
          <w:snapToGrid/>
          <w:kern w:val="0"/>
          <w:szCs w:val="22"/>
        </w:rPr>
      </w:pPr>
      <w:r w:rsidRPr="006A66A2">
        <w:rPr>
          <w:rFonts w:eastAsia="Calibri"/>
          <w:snapToGrid/>
          <w:kern w:val="0"/>
          <w:szCs w:val="22"/>
        </w:rPr>
        <w:t>6.</w:t>
      </w:r>
      <w:r w:rsidRPr="006A66A2">
        <w:rPr>
          <w:rFonts w:eastAsia="Calibri"/>
          <w:snapToGrid/>
          <w:kern w:val="0"/>
          <w:szCs w:val="22"/>
        </w:rPr>
        <w:tab/>
        <w:t xml:space="preserve">Download the Reference copy and e-mail to </w:t>
      </w:r>
      <w:r>
        <w:fldChar w:fldCharType="begin"/>
      </w:r>
      <w:r>
        <w:instrText xml:space="preserve"> HYPERLINK "mailto:IATransitionlicensing@fcc.gov" </w:instrText>
      </w:r>
      <w:r>
        <w:fldChar w:fldCharType="separate"/>
      </w:r>
      <w:r w:rsidRPr="006A66A2">
        <w:rPr>
          <w:rFonts w:eastAsia="Calibri"/>
          <w:snapToGrid/>
          <w:color w:val="0563C1"/>
          <w:kern w:val="0"/>
          <w:szCs w:val="22"/>
          <w:u w:val="single"/>
        </w:rPr>
        <w:t>IATransitionlicensing@fcc.gov</w:t>
      </w:r>
      <w:r>
        <w:fldChar w:fldCharType="end"/>
      </w:r>
      <w:r w:rsidRPr="006A66A2">
        <w:rPr>
          <w:rFonts w:eastAsia="Calibri"/>
          <w:snapToGrid/>
          <w:kern w:val="0"/>
          <w:szCs w:val="22"/>
        </w:rPr>
        <w:t xml:space="preserve">. </w:t>
      </w:r>
    </w:p>
    <w:p w:rsidR="009F090D" w:rsidRPr="006A66A2" w:rsidP="009F090D">
      <w:pPr>
        <w:widowControl/>
        <w:spacing w:after="160"/>
        <w:rPr>
          <w:rFonts w:eastAsia="Calibri"/>
          <w:snapToGrid/>
          <w:kern w:val="0"/>
          <w:szCs w:val="22"/>
          <w:u w:val="single"/>
        </w:rPr>
      </w:pPr>
      <w:r w:rsidRPr="006A66A2">
        <w:rPr>
          <w:rFonts w:eastAsia="Calibri"/>
          <w:snapToGrid/>
          <w:kern w:val="0"/>
          <w:szCs w:val="22"/>
          <w:u w:val="single"/>
        </w:rPr>
        <w:t>FCC Form 2100 – Schedule Tolling – Application for Tolling or Waiver of Tolling Rule</w:t>
      </w:r>
    </w:p>
    <w:p w:rsidR="009F090D" w:rsidRPr="006A66A2" w:rsidP="009F090D">
      <w:pPr>
        <w:widowControl/>
        <w:spacing w:after="120"/>
        <w:rPr>
          <w:rFonts w:eastAsia="Calibri"/>
          <w:snapToGrid/>
          <w:kern w:val="0"/>
          <w:szCs w:val="22"/>
        </w:rPr>
      </w:pPr>
      <w:r w:rsidRPr="006A66A2">
        <w:rPr>
          <w:rFonts w:eastAsia="Calibri"/>
          <w:snapToGrid/>
          <w:kern w:val="0"/>
          <w:szCs w:val="22"/>
        </w:rPr>
        <w:t>1.</w:t>
      </w:r>
      <w:r w:rsidRPr="006A66A2">
        <w:rPr>
          <w:rFonts w:eastAsia="Calibri"/>
          <w:snapToGrid/>
          <w:kern w:val="0"/>
          <w:szCs w:val="22"/>
        </w:rPr>
        <w:tab/>
        <w:t>Click on “Authorizations” tab on the left top of the page.</w:t>
      </w:r>
    </w:p>
    <w:p w:rsidR="009F090D" w:rsidRPr="006A66A2" w:rsidP="009F090D">
      <w:pPr>
        <w:widowControl/>
        <w:spacing w:after="120"/>
        <w:rPr>
          <w:rFonts w:eastAsia="Calibri"/>
          <w:snapToGrid/>
          <w:kern w:val="0"/>
          <w:szCs w:val="22"/>
        </w:rPr>
      </w:pPr>
      <w:r w:rsidRPr="006A66A2">
        <w:rPr>
          <w:rFonts w:eastAsia="Calibri"/>
          <w:snapToGrid/>
          <w:kern w:val="0"/>
          <w:szCs w:val="22"/>
        </w:rPr>
        <w:t>2.</w:t>
      </w:r>
      <w:r w:rsidRPr="006A66A2">
        <w:rPr>
          <w:rFonts w:eastAsia="Calibri"/>
          <w:snapToGrid/>
          <w:kern w:val="0"/>
          <w:szCs w:val="22"/>
        </w:rPr>
        <w:tab/>
        <w:t>Click on construction pe</w:t>
      </w:r>
      <w:r w:rsidRPr="006A66A2">
        <w:rPr>
          <w:rFonts w:eastAsia="Calibri"/>
          <w:snapToGrid/>
          <w:kern w:val="0"/>
          <w:szCs w:val="22"/>
        </w:rPr>
        <w:t>rmit authorization.</w:t>
      </w:r>
    </w:p>
    <w:p w:rsidR="009F090D" w:rsidRPr="006A66A2" w:rsidP="009F090D">
      <w:pPr>
        <w:widowControl/>
        <w:spacing w:after="120"/>
        <w:rPr>
          <w:rFonts w:eastAsia="Calibri"/>
          <w:snapToGrid/>
          <w:kern w:val="0"/>
          <w:szCs w:val="22"/>
        </w:rPr>
      </w:pPr>
      <w:r w:rsidRPr="006A66A2">
        <w:rPr>
          <w:rFonts w:eastAsia="Calibri"/>
          <w:snapToGrid/>
          <w:kern w:val="0"/>
          <w:szCs w:val="22"/>
        </w:rPr>
        <w:t>3.</w:t>
      </w:r>
      <w:r w:rsidRPr="006A66A2">
        <w:rPr>
          <w:rFonts w:eastAsia="Calibri"/>
          <w:snapToGrid/>
          <w:kern w:val="0"/>
          <w:szCs w:val="22"/>
        </w:rPr>
        <w:tab/>
        <w:t>Select “File an Application” button.</w:t>
      </w:r>
      <w:r w:rsidRPr="006A66A2">
        <w:rPr>
          <w:rFonts w:eastAsia="Calibri"/>
          <w:snapToGrid/>
          <w:kern w:val="0"/>
          <w:szCs w:val="22"/>
        </w:rPr>
        <w:tab/>
      </w:r>
    </w:p>
    <w:p w:rsidR="009F090D" w:rsidRPr="006A66A2" w:rsidP="009F090D">
      <w:pPr>
        <w:widowControl/>
        <w:spacing w:after="120"/>
        <w:rPr>
          <w:rFonts w:eastAsia="Calibri"/>
          <w:snapToGrid/>
          <w:kern w:val="0"/>
          <w:szCs w:val="22"/>
        </w:rPr>
      </w:pPr>
      <w:r w:rsidRPr="006A66A2">
        <w:rPr>
          <w:rFonts w:eastAsia="Calibri"/>
          <w:snapToGrid/>
          <w:kern w:val="0"/>
          <w:szCs w:val="22"/>
        </w:rPr>
        <w:t>4.</w:t>
      </w:r>
      <w:r w:rsidRPr="006A66A2">
        <w:rPr>
          <w:rFonts w:eastAsia="Calibri"/>
          <w:snapToGrid/>
          <w:kern w:val="0"/>
          <w:szCs w:val="22"/>
        </w:rPr>
        <w:tab/>
        <w:t>Select “Tolling” from the drop down menu.</w:t>
      </w:r>
    </w:p>
    <w:p w:rsidR="009F090D" w:rsidRPr="006A66A2" w:rsidP="009F090D">
      <w:pPr>
        <w:widowControl/>
        <w:spacing w:after="120"/>
        <w:rPr>
          <w:rFonts w:eastAsia="Calibri"/>
          <w:snapToGrid/>
          <w:kern w:val="0"/>
          <w:szCs w:val="22"/>
        </w:rPr>
      </w:pPr>
      <w:r w:rsidRPr="006A66A2">
        <w:rPr>
          <w:rFonts w:eastAsia="Calibri"/>
          <w:snapToGrid/>
          <w:kern w:val="0"/>
          <w:szCs w:val="22"/>
        </w:rPr>
        <w:t>5.</w:t>
      </w:r>
      <w:r w:rsidRPr="006A66A2">
        <w:rPr>
          <w:rFonts w:eastAsia="Calibri"/>
          <w:snapToGrid/>
          <w:kern w:val="0"/>
          <w:szCs w:val="22"/>
        </w:rPr>
        <w:tab/>
        <w:t>Complete the application and click “Submit.”</w:t>
      </w:r>
    </w:p>
    <w:p w:rsidR="009F090D" w:rsidRPr="006A66A2" w:rsidP="009F090D">
      <w:pPr>
        <w:widowControl/>
        <w:spacing w:after="360"/>
        <w:rPr>
          <w:rFonts w:eastAsia="Calibri"/>
          <w:snapToGrid/>
          <w:kern w:val="0"/>
          <w:szCs w:val="22"/>
        </w:rPr>
      </w:pPr>
      <w:r w:rsidRPr="006A66A2">
        <w:rPr>
          <w:rFonts w:eastAsia="Calibri"/>
          <w:snapToGrid/>
          <w:kern w:val="0"/>
          <w:szCs w:val="22"/>
        </w:rPr>
        <w:t>6.</w:t>
      </w:r>
      <w:r w:rsidRPr="006A66A2">
        <w:rPr>
          <w:rFonts w:eastAsia="Calibri"/>
          <w:snapToGrid/>
          <w:kern w:val="0"/>
          <w:szCs w:val="22"/>
        </w:rPr>
        <w:tab/>
        <w:t xml:space="preserve">Download the Reference copy and e-mail to </w:t>
      </w:r>
      <w:r>
        <w:fldChar w:fldCharType="begin"/>
      </w:r>
      <w:r>
        <w:instrText xml:space="preserve"> HYPERLINK "mailto:IATransitionlicensing@fcc.gov" </w:instrText>
      </w:r>
      <w:r>
        <w:fldChar w:fldCharType="separate"/>
      </w:r>
      <w:r w:rsidRPr="006A66A2">
        <w:rPr>
          <w:rFonts w:eastAsia="Calibri"/>
          <w:snapToGrid/>
          <w:color w:val="0563C1"/>
          <w:kern w:val="0"/>
          <w:szCs w:val="22"/>
          <w:u w:val="single"/>
        </w:rPr>
        <w:t>IATrans</w:t>
      </w:r>
      <w:r w:rsidRPr="006A66A2">
        <w:rPr>
          <w:rFonts w:eastAsia="Calibri"/>
          <w:snapToGrid/>
          <w:color w:val="0563C1"/>
          <w:kern w:val="0"/>
          <w:szCs w:val="22"/>
          <w:u w:val="single"/>
        </w:rPr>
        <w:t>itionlicensing@fcc.gov</w:t>
      </w:r>
      <w:r>
        <w:fldChar w:fldCharType="end"/>
      </w:r>
      <w:r w:rsidRPr="006A66A2">
        <w:rPr>
          <w:rFonts w:eastAsia="Calibri"/>
          <w:snapToGrid/>
          <w:kern w:val="0"/>
          <w:szCs w:val="22"/>
        </w:rPr>
        <w:t>.</w:t>
      </w:r>
    </w:p>
    <w:p w:rsidR="009F090D" w:rsidRPr="006A66A2" w:rsidP="009F090D">
      <w:pPr>
        <w:widowControl/>
        <w:spacing w:after="160"/>
        <w:rPr>
          <w:rFonts w:eastAsia="Calibri"/>
          <w:snapToGrid/>
          <w:kern w:val="0"/>
          <w:szCs w:val="22"/>
          <w:u w:val="single"/>
        </w:rPr>
      </w:pPr>
      <w:r w:rsidRPr="006A66A2">
        <w:rPr>
          <w:rFonts w:eastAsia="Calibri"/>
          <w:snapToGrid/>
          <w:kern w:val="0"/>
          <w:szCs w:val="22"/>
          <w:u w:val="single"/>
        </w:rPr>
        <w:t>FCC Form 2100, Schedule 387- Transition Progress Report:</w:t>
      </w:r>
    </w:p>
    <w:p w:rsidR="009F090D" w:rsidRPr="006A66A2" w:rsidP="009F090D">
      <w:pPr>
        <w:widowControl/>
        <w:numPr>
          <w:ilvl w:val="0"/>
          <w:numId w:val="25"/>
        </w:numPr>
        <w:spacing w:after="120" w:line="259" w:lineRule="auto"/>
        <w:rPr>
          <w:rFonts w:eastAsia="Calibri"/>
          <w:snapToGrid/>
          <w:kern w:val="0"/>
          <w:szCs w:val="22"/>
        </w:rPr>
      </w:pPr>
      <w:r w:rsidRPr="006A66A2">
        <w:rPr>
          <w:rFonts w:eastAsia="Calibri"/>
          <w:snapToGrid/>
          <w:kern w:val="0"/>
          <w:szCs w:val="22"/>
        </w:rPr>
        <w:t>Click on the “Authorization” tab on the top left corner of the landing page</w:t>
      </w:r>
    </w:p>
    <w:p w:rsidR="009F090D" w:rsidRPr="006A66A2" w:rsidP="009F090D">
      <w:pPr>
        <w:widowControl/>
        <w:numPr>
          <w:ilvl w:val="0"/>
          <w:numId w:val="25"/>
        </w:numPr>
        <w:spacing w:after="120" w:line="259" w:lineRule="auto"/>
        <w:rPr>
          <w:rFonts w:eastAsia="Calibri"/>
          <w:snapToGrid/>
          <w:kern w:val="0"/>
          <w:szCs w:val="22"/>
        </w:rPr>
      </w:pPr>
      <w:r w:rsidRPr="006A66A2">
        <w:rPr>
          <w:rFonts w:eastAsia="Calibri"/>
          <w:snapToGrid/>
          <w:kern w:val="0"/>
          <w:szCs w:val="22"/>
        </w:rPr>
        <w:t>On the next page click on the license authorization of the station for which the schedule is bei</w:t>
      </w:r>
      <w:r w:rsidRPr="006A66A2">
        <w:rPr>
          <w:rFonts w:eastAsia="Calibri"/>
          <w:snapToGrid/>
          <w:kern w:val="0"/>
          <w:szCs w:val="22"/>
        </w:rPr>
        <w:t>ng submitted (</w:t>
      </w:r>
      <w:r w:rsidRPr="006A66A2">
        <w:rPr>
          <w:rFonts w:eastAsia="Calibri"/>
          <w:i/>
          <w:snapToGrid/>
          <w:kern w:val="0"/>
          <w:szCs w:val="22"/>
        </w:rPr>
        <w:t>i.e.,</w:t>
      </w:r>
      <w:r w:rsidRPr="006A66A2">
        <w:rPr>
          <w:rFonts w:eastAsia="Calibri"/>
          <w:snapToGrid/>
          <w:kern w:val="0"/>
          <w:szCs w:val="22"/>
        </w:rPr>
        <w:t xml:space="preserve"> Quarterly Report, 10-Week Report, Construction Completion Report, Pre-Auction Termination Report).</w:t>
      </w:r>
    </w:p>
    <w:p w:rsidR="009F090D" w:rsidRPr="006A66A2" w:rsidP="009F090D">
      <w:pPr>
        <w:widowControl/>
        <w:numPr>
          <w:ilvl w:val="0"/>
          <w:numId w:val="25"/>
        </w:numPr>
        <w:spacing w:after="120" w:line="259" w:lineRule="auto"/>
        <w:rPr>
          <w:rFonts w:eastAsia="Calibri"/>
          <w:snapToGrid/>
          <w:kern w:val="0"/>
          <w:szCs w:val="22"/>
        </w:rPr>
      </w:pPr>
      <w:r w:rsidRPr="006A66A2">
        <w:rPr>
          <w:rFonts w:eastAsia="Calibri"/>
          <w:snapToGrid/>
          <w:kern w:val="0"/>
          <w:szCs w:val="22"/>
        </w:rPr>
        <w:t>Click on File an Application on the next page</w:t>
      </w:r>
    </w:p>
    <w:p w:rsidR="009F090D" w:rsidRPr="006A66A2" w:rsidP="009F090D">
      <w:pPr>
        <w:widowControl/>
        <w:numPr>
          <w:ilvl w:val="0"/>
          <w:numId w:val="25"/>
        </w:numPr>
        <w:spacing w:after="120" w:line="259" w:lineRule="auto"/>
        <w:rPr>
          <w:rFonts w:eastAsia="Calibri"/>
          <w:snapToGrid/>
          <w:kern w:val="0"/>
          <w:szCs w:val="22"/>
        </w:rPr>
      </w:pPr>
      <w:r w:rsidRPr="006A66A2">
        <w:rPr>
          <w:rFonts w:eastAsia="Calibri"/>
          <w:snapToGrid/>
          <w:kern w:val="0"/>
          <w:szCs w:val="22"/>
        </w:rPr>
        <w:t>Click on Transition Progress Report from the options</w:t>
      </w:r>
    </w:p>
    <w:p w:rsidR="009B0DA3" w:rsidRPr="009F090D" w:rsidP="009F090D">
      <w:pPr>
        <w:widowControl/>
        <w:numPr>
          <w:ilvl w:val="0"/>
          <w:numId w:val="25"/>
        </w:numPr>
        <w:spacing w:after="120" w:line="259" w:lineRule="auto"/>
        <w:rPr>
          <w:rFonts w:eastAsia="Calibri"/>
          <w:snapToGrid/>
          <w:kern w:val="0"/>
          <w:szCs w:val="22"/>
        </w:rPr>
      </w:pPr>
      <w:r w:rsidRPr="006A66A2">
        <w:rPr>
          <w:rFonts w:eastAsia="Calibri"/>
          <w:snapToGrid/>
          <w:kern w:val="0"/>
          <w:szCs w:val="22"/>
        </w:rPr>
        <w:t xml:space="preserve">Proceed to fill out the sections and </w:t>
      </w:r>
      <w:r w:rsidRPr="006A66A2">
        <w:rPr>
          <w:rFonts w:eastAsia="Calibri"/>
          <w:snapToGrid/>
          <w:kern w:val="0"/>
          <w:szCs w:val="22"/>
        </w:rPr>
        <w:t>submit the application.</w:t>
      </w:r>
    </w:p>
    <w:sectPr w:rsidSect="001B101F">
      <w:headerReference w:type="default" r:id="rId5"/>
      <w:footerReference w:type="default" r:id="rId6"/>
      <w:headerReference w:type="first" r:id="rId7"/>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4B8"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04B8">
      <w:r>
        <w:separator/>
      </w:r>
    </w:p>
  </w:footnote>
  <w:footnote w:type="continuationSeparator" w:id="1">
    <w:p w:rsidR="00BE04B8">
      <w:r>
        <w:continuationSeparator/>
      </w:r>
    </w:p>
  </w:footnote>
  <w:footnote w:type="continuationNotice" w:id="2">
    <w:p w:rsidR="00BE04B8" w:rsidRPr="00A574E4" w:rsidP="00A574E4">
      <w:pPr>
        <w:pStyle w:val="Footer"/>
      </w:pPr>
    </w:p>
  </w:footnote>
  <w:footnote w:id="3">
    <w:p w:rsidR="00DC32C9" w:rsidRPr="009B3506" w:rsidP="009B3506">
      <w:pPr>
        <w:pStyle w:val="FootnoteText"/>
      </w:pPr>
      <w:r w:rsidRPr="009B3506">
        <w:rPr>
          <w:rStyle w:val="FootnoteReference"/>
          <w:sz w:val="20"/>
        </w:rPr>
        <w:footnoteRef/>
      </w:r>
      <w:r w:rsidRPr="009B3506">
        <w:t xml:space="preserve"> </w:t>
      </w:r>
      <w:r w:rsidRPr="009B3506">
        <w:rPr>
          <w:i/>
        </w:rPr>
        <w:t>See Incentive Auction Closing and Channel Reassignment Public Notice: The Broadcast Television Incentive Auction Closes; Reverse Auction and Forward Auction Result</w:t>
      </w:r>
      <w:r w:rsidRPr="009B3506">
        <w:rPr>
          <w:i/>
        </w:rPr>
        <w:t>s Announced; Final Television Band Channel Assignments Announced; Post-Auction Deadlines Announced</w:t>
      </w:r>
      <w:r w:rsidRPr="009B3506">
        <w:t>, Public Notice, 32 FCC Rcd 2786, 2806, para. 64 (WTB &amp; MB 2017) (</w:t>
      </w:r>
      <w:r w:rsidRPr="009B3506">
        <w:rPr>
          <w:i/>
        </w:rPr>
        <w:t>Closing and Channel Reassignment Public Notice</w:t>
      </w:r>
      <w:r w:rsidRPr="009B3506">
        <w:t xml:space="preserve">).  </w:t>
      </w:r>
    </w:p>
  </w:footnote>
  <w:footnote w:id="4">
    <w:p w:rsidR="00BE04B8" w:rsidRPr="009B3506" w:rsidP="009B3506">
      <w:pPr>
        <w:pStyle w:val="FootnoteText"/>
        <w:widowControl w:val="0"/>
      </w:pPr>
      <w:r w:rsidRPr="009B3506">
        <w:rPr>
          <w:rStyle w:val="FootnoteReference"/>
          <w:sz w:val="20"/>
        </w:rPr>
        <w:footnoteRef/>
      </w:r>
      <w:r w:rsidRPr="009B3506">
        <w:t xml:space="preserve"> For purposes of this Public Notice</w:t>
      </w:r>
      <w:r>
        <w:t>,</w:t>
      </w:r>
      <w:r w:rsidRPr="009B3506">
        <w:t xml:space="preserve"> a “</w:t>
      </w:r>
      <w:r w:rsidRPr="009B3506">
        <w:t xml:space="preserve">repacked station” means a full power or Class A broadcast television station that was assigned both a new channel and to a post-auction transition phase in the </w:t>
      </w:r>
      <w:r w:rsidRPr="009B3506">
        <w:rPr>
          <w:i/>
        </w:rPr>
        <w:t>Incentive Auction Closing and Channel Reassignment Public Notice</w:t>
      </w:r>
      <w:r w:rsidRPr="009B3506">
        <w:t>.  This includes stations that s</w:t>
      </w:r>
      <w:r w:rsidRPr="009B3506">
        <w:t xml:space="preserve">ubmitted a winning bid to move from the </w:t>
      </w:r>
      <w:r w:rsidRPr="009B3506">
        <w:t>ultra-high</w:t>
      </w:r>
      <w:r w:rsidRPr="009B3506">
        <w:t xml:space="preserve"> frequency (UHF) band to the very</w:t>
      </w:r>
      <w:r>
        <w:t>-</w:t>
      </w:r>
      <w:r w:rsidRPr="009B3506">
        <w:t>high frequency (VHF) band, or from the high VHF band to the low VHF band (</w:t>
      </w:r>
      <w:r w:rsidRPr="009B3506">
        <w:rPr>
          <w:i/>
        </w:rPr>
        <w:t>i.e.,</w:t>
      </w:r>
      <w:r w:rsidRPr="009B3506">
        <w:t xml:space="preserve"> band changers)</w:t>
      </w:r>
      <w:r w:rsidRPr="009B3506">
        <w:t>.  Unless otherwise specified, “repacked station” also includes channel sharee</w:t>
      </w:r>
      <w:r w:rsidRPr="009B3506">
        <w:t xml:space="preserve"> stations that are channel sharing with a repacked station.  </w:t>
      </w:r>
      <w:r w:rsidRPr="009B3506">
        <w:rPr>
          <w:i/>
        </w:rPr>
        <w:t>Infra</w:t>
      </w:r>
      <w:r w:rsidRPr="009B3506">
        <w:t>, para. 1</w:t>
      </w:r>
      <w:r>
        <w:t>9</w:t>
      </w:r>
      <w:r w:rsidRPr="009B3506">
        <w:t xml:space="preserve">.  </w:t>
      </w:r>
      <w:r w:rsidRPr="009B3506">
        <w:t xml:space="preserve">This Public Notice does not address the obligations of displaced low power television and translator stations, non-repacked full power or Class A television stations with </w:t>
      </w:r>
      <w:r w:rsidRPr="009B3506">
        <w:t>unbuilt construction permits, or the small number of Class A television stations that were not protected during the repacking process.</w:t>
      </w:r>
      <w:r w:rsidRPr="009B3506">
        <w:t xml:space="preserve">  </w:t>
      </w:r>
    </w:p>
  </w:footnote>
  <w:footnote w:id="5">
    <w:p w:rsidR="00186D82" w:rsidRPr="009B3506" w:rsidP="009B3506">
      <w:pPr>
        <w:pStyle w:val="FootnoteText"/>
      </w:pPr>
      <w:r w:rsidRPr="009B3506">
        <w:rPr>
          <w:rStyle w:val="FootnoteReference"/>
          <w:sz w:val="20"/>
        </w:rPr>
        <w:footnoteRef/>
      </w:r>
      <w:r w:rsidRPr="009B3506">
        <w:t xml:space="preserve"> </w:t>
      </w:r>
      <w:r w:rsidRPr="009B3506">
        <w:rPr>
          <w:i/>
        </w:rPr>
        <w:t>See</w:t>
      </w:r>
      <w:r w:rsidRPr="009B3506">
        <w:rPr>
          <w:i/>
        </w:rPr>
        <w:t xml:space="preserve"> generally</w:t>
      </w:r>
      <w:r w:rsidRPr="009B3506">
        <w:rPr>
          <w:i/>
        </w:rPr>
        <w:t xml:space="preserve"> Incentive Auction Task Force and Media Bureau Announce Procedures for the Post-Incentive Auction Broadcast Transition</w:t>
      </w:r>
      <w:r w:rsidRPr="009B3506">
        <w:t>, Public notice, 32 FCC Rcd 858 (MB 2017) (</w:t>
      </w:r>
      <w:r w:rsidRPr="009B3506">
        <w:rPr>
          <w:i/>
        </w:rPr>
        <w:t>Broadcast Transition Procedures Public Notice</w:t>
      </w:r>
      <w:r w:rsidRPr="009B3506">
        <w:t>)</w:t>
      </w:r>
      <w:r w:rsidRPr="009B3506">
        <w:t xml:space="preserve"> (summarizing and clarifying the transition proce</w:t>
      </w:r>
      <w:r w:rsidRPr="009B3506">
        <w:t>ss established in decisions throughout the broadcast television incentive auction proceeding)</w:t>
      </w:r>
      <w:r w:rsidRPr="009B3506">
        <w:t>.</w:t>
      </w:r>
    </w:p>
  </w:footnote>
  <w:footnote w:id="6">
    <w:p w:rsidR="00B0596A" w:rsidRPr="009B3506" w:rsidP="009B3506">
      <w:pPr>
        <w:pStyle w:val="FootnoteText"/>
        <w:widowControl w:val="0"/>
      </w:pPr>
      <w:r w:rsidRPr="009B3506">
        <w:rPr>
          <w:rStyle w:val="FootnoteReference"/>
          <w:sz w:val="20"/>
        </w:rPr>
        <w:footnoteRef/>
      </w:r>
      <w:r w:rsidRPr="009B3506">
        <w:t xml:space="preserve"> </w:t>
      </w:r>
      <w:r w:rsidRPr="009B3506">
        <w:rPr>
          <w:i/>
        </w:rPr>
        <w:t>See Closing and Channel Reassignment Public Notice</w:t>
      </w:r>
      <w:r w:rsidRPr="009B3506">
        <w:t>, 32 FCC Rcd at 2806, para. 64.  The Bureau</w:t>
      </w:r>
      <w:r w:rsidRPr="009B3506">
        <w:rPr>
          <w:i/>
        </w:rPr>
        <w:t xml:space="preserve"> </w:t>
      </w:r>
      <w:r w:rsidRPr="009B3506">
        <w:t>adopted a methodology for organizing an orderly, managed transiti</w:t>
      </w:r>
      <w:r w:rsidRPr="009B3506">
        <w:t xml:space="preserve">on process and used two computer-based tools (the Phase Assignment Tool and Phase Scheduling Tool) to establish a phased transition schedule and assign stations construction deadlines.  </w:t>
      </w:r>
      <w:r w:rsidRPr="009B3506">
        <w:rPr>
          <w:i/>
        </w:rPr>
        <w:t>See generally</w:t>
      </w:r>
      <w:r w:rsidRPr="009B3506">
        <w:t xml:space="preserve"> </w:t>
      </w:r>
      <w:r w:rsidRPr="009B3506">
        <w:rPr>
          <w:i/>
        </w:rPr>
        <w:t>Incentive Auction Task Force and Media Bureau Adopt Post</w:t>
      </w:r>
      <w:r w:rsidRPr="009B3506">
        <w:rPr>
          <w:i/>
        </w:rPr>
        <w:t>-Incentive Auction Transition Scheduling Plan</w:t>
      </w:r>
      <w:r w:rsidRPr="009B3506">
        <w:t>, Public Notice, 32 FCC Rcd 890 (MB 2017) (</w:t>
      </w:r>
      <w:r w:rsidRPr="009B3506">
        <w:rPr>
          <w:i/>
        </w:rPr>
        <w:t>Transition Scheduling Adoption Public Notice</w:t>
      </w:r>
      <w:r w:rsidRPr="009B3506">
        <w:t xml:space="preserve">).  </w:t>
      </w:r>
    </w:p>
  </w:footnote>
  <w:footnote w:id="7">
    <w:p w:rsidR="00F34FFA" w:rsidRPr="009B3506" w:rsidP="009B3506">
      <w:pPr>
        <w:pStyle w:val="FootnoteText"/>
      </w:pPr>
      <w:r w:rsidRPr="009B3506">
        <w:rPr>
          <w:rStyle w:val="FootnoteReference"/>
          <w:sz w:val="20"/>
        </w:rPr>
        <w:footnoteRef/>
      </w:r>
      <w:r w:rsidRPr="009B3506">
        <w:t xml:space="preserve"> </w:t>
      </w:r>
      <w:r w:rsidRPr="009B3506">
        <w:rPr>
          <w:i/>
        </w:rPr>
        <w:t>Closing and Channel Reassignment Public Notice</w:t>
      </w:r>
      <w:r w:rsidRPr="009B3506">
        <w:t>, 32 FCC Rcd at 2806, para 64</w:t>
      </w:r>
      <w:r w:rsidRPr="009B3506">
        <w:t>.</w:t>
      </w:r>
    </w:p>
  </w:footnote>
  <w:footnote w:id="8">
    <w:p w:rsidR="00B0596A" w:rsidRPr="009B3506" w:rsidP="009B3506">
      <w:pPr>
        <w:pStyle w:val="FootnoteText"/>
      </w:pPr>
      <w:r w:rsidRPr="009B3506">
        <w:rPr>
          <w:rStyle w:val="FootnoteReference"/>
          <w:sz w:val="20"/>
        </w:rPr>
        <w:footnoteRef/>
      </w:r>
      <w:r w:rsidRPr="009B3506">
        <w:t xml:space="preserve"> </w:t>
      </w:r>
      <w:r w:rsidRPr="009B3506">
        <w:rPr>
          <w:i/>
        </w:rPr>
        <w:t>Id.</w:t>
      </w:r>
    </w:p>
  </w:footnote>
  <w:footnote w:id="9">
    <w:p w:rsidR="00BE04B8" w:rsidRPr="009B3506" w:rsidP="009B3506">
      <w:pPr>
        <w:pStyle w:val="FootnoteText"/>
      </w:pPr>
      <w:r w:rsidRPr="009B3506">
        <w:rPr>
          <w:rStyle w:val="FootnoteReference"/>
          <w:sz w:val="20"/>
        </w:rPr>
        <w:footnoteRef/>
      </w:r>
      <w:r w:rsidRPr="009B3506">
        <w:t xml:space="preserve"> To access a station’s “facility </w:t>
      </w:r>
      <w:r w:rsidRPr="009B3506">
        <w:t>page,” perform a “Facility Search” by call sign in LMS and then click on the station’s Facility ID number.</w:t>
      </w:r>
    </w:p>
  </w:footnote>
  <w:footnote w:id="10">
    <w:p w:rsidR="00BE04B8" w:rsidRPr="009B3506" w:rsidP="009B3506">
      <w:pPr>
        <w:pStyle w:val="FootnoteText"/>
        <w:widowControl w:val="0"/>
      </w:pPr>
      <w:r w:rsidRPr="009B3506">
        <w:rPr>
          <w:rStyle w:val="FootnoteReference"/>
          <w:sz w:val="20"/>
        </w:rPr>
        <w:footnoteRef/>
      </w:r>
      <w:r w:rsidRPr="009B3506">
        <w:t xml:space="preserve"> To be clear, transmitting any signal (a test signal or otherwise) on a repacked station’s post-auction channel prior to its testing period start da</w:t>
      </w:r>
      <w:r w:rsidRPr="009B3506">
        <w:t>te without express authority from the Commission to do so would be a violation of the Commission’s regulations concerning the post-auction transition and amount to unauthorized operation.  Unless expressly stated in a repacked station’s construction permit</w:t>
      </w:r>
      <w:r w:rsidRPr="009B3506">
        <w:t xml:space="preserve"> or necessitated by being part of a linked-station set, Commission consent is not required to commence testing or post-auction operation starting at 12:01 AM (local time) on a repacked </w:t>
      </w:r>
      <w:r w:rsidRPr="009B3506">
        <w:t>station’s</w:t>
      </w:r>
      <w:r w:rsidRPr="009B3506">
        <w:t xml:space="preserve"> testing period start date. </w:t>
      </w:r>
    </w:p>
  </w:footnote>
  <w:footnote w:id="11">
    <w:p w:rsidR="00BE04B8" w:rsidRPr="009B3506" w:rsidP="009B3506">
      <w:pPr>
        <w:pStyle w:val="FootnoteText"/>
        <w:widowControl w:val="0"/>
      </w:pPr>
      <w:r w:rsidRPr="009B3506">
        <w:rPr>
          <w:rStyle w:val="FootnoteReference"/>
          <w:sz w:val="20"/>
        </w:rPr>
        <w:footnoteRef/>
      </w:r>
      <w:r w:rsidRPr="009B3506">
        <w:t xml:space="preserve"> </w:t>
      </w:r>
      <w:r w:rsidRPr="009B3506">
        <w:rPr>
          <w:i/>
        </w:rPr>
        <w:t>See, e.g.,</w:t>
      </w:r>
      <w:r w:rsidRPr="009B3506">
        <w:t xml:space="preserve"> 47 CFR § 73.1610.</w:t>
      </w:r>
    </w:p>
  </w:footnote>
  <w:footnote w:id="12">
    <w:p w:rsidR="00BE04B8" w:rsidRPr="009B3506" w:rsidP="009B3506">
      <w:pPr>
        <w:widowControl/>
        <w:spacing w:after="120"/>
        <w:rPr>
          <w:sz w:val="20"/>
        </w:rPr>
      </w:pPr>
      <w:r w:rsidRPr="009B3506">
        <w:rPr>
          <w:rStyle w:val="FootnoteReference"/>
          <w:sz w:val="20"/>
        </w:rPr>
        <w:footnoteRef/>
      </w:r>
      <w:r w:rsidRPr="009B3506">
        <w:rPr>
          <w:sz w:val="20"/>
        </w:rPr>
        <w:t xml:space="preserve"> </w:t>
      </w:r>
      <w:r w:rsidRPr="009B3506">
        <w:rPr>
          <w:i/>
          <w:sz w:val="20"/>
        </w:rPr>
        <w:t>See</w:t>
      </w:r>
      <w:r w:rsidRPr="009B3506">
        <w:rPr>
          <w:sz w:val="20"/>
        </w:rPr>
        <w:t xml:space="preserve"> 47 CFR § 73.1620.   </w:t>
      </w:r>
    </w:p>
  </w:footnote>
  <w:footnote w:id="13">
    <w:p w:rsidR="0019520B">
      <w:pPr>
        <w:pStyle w:val="FootnoteText"/>
      </w:pPr>
      <w:r>
        <w:rPr>
          <w:rStyle w:val="FootnoteReference"/>
        </w:rPr>
        <w:footnoteRef/>
      </w:r>
      <w:r w:rsidRPr="00FD0198">
        <w:rPr>
          <w:i/>
        </w:rPr>
        <w:t xml:space="preserve"> See</w:t>
      </w:r>
      <w:r w:rsidRPr="0019520B">
        <w:t xml:space="preserve"> 47 CFR § 73.687(e)(4)(ii).  </w:t>
      </w:r>
    </w:p>
  </w:footnote>
  <w:footnote w:id="14">
    <w:p w:rsidR="00E82579" w:rsidRPr="009B3506" w:rsidP="009B3506">
      <w:pPr>
        <w:pStyle w:val="FootnoteText"/>
        <w:widowControl w:val="0"/>
      </w:pPr>
      <w:r w:rsidRPr="009B3506">
        <w:rPr>
          <w:rStyle w:val="FootnoteReference"/>
          <w:sz w:val="20"/>
        </w:rPr>
        <w:footnoteRef/>
      </w:r>
      <w:r w:rsidRPr="009B3506">
        <w:t xml:space="preserve"> Stations in a linked station-set are linked through direct dependencies.  An “upstream” station in a linked-station set is one that must transition to its post-auction channel prior to another station(s) in the set (</w:t>
      </w:r>
      <w:r>
        <w:t xml:space="preserve">the </w:t>
      </w:r>
      <w:r w:rsidRPr="009B3506">
        <w:t>“downstream” station) in order to a</w:t>
      </w:r>
      <w:r w:rsidRPr="009B3506">
        <w:t xml:space="preserve">void interference.  </w:t>
      </w:r>
      <w:r w:rsidRPr="009B3506">
        <w:t>I</w:t>
      </w:r>
      <w:r w:rsidRPr="009B3506">
        <w:t xml:space="preserve">f </w:t>
      </w:r>
      <w:r w:rsidRPr="009B3506">
        <w:t>a</w:t>
      </w:r>
      <w:r w:rsidRPr="009B3506">
        <w:t xml:space="preserve"> “downstream” station </w:t>
      </w:r>
      <w:r w:rsidRPr="009B3506">
        <w:t>was</w:t>
      </w:r>
      <w:r w:rsidRPr="009B3506">
        <w:t xml:space="preserve"> to test or operate on its post-auction channel while the “upstream” station continued to operate on its pre-auction channel</w:t>
      </w:r>
      <w:r w:rsidRPr="009B3506">
        <w:t>, one or both of the stations would receive interference from the other</w:t>
      </w:r>
      <w:r w:rsidRPr="009B3506">
        <w:t xml:space="preserve">.  </w:t>
      </w:r>
      <w:r w:rsidRPr="009B3506">
        <w:rPr>
          <w:i/>
        </w:rPr>
        <w:t>See Trans</w:t>
      </w:r>
      <w:r w:rsidRPr="009B3506">
        <w:rPr>
          <w:i/>
        </w:rPr>
        <w:t>ition Scheduling Adoption Public Notice</w:t>
      </w:r>
      <w:r w:rsidRPr="009B3506">
        <w:t>, 32 FCC Rcd at 928-931, paras. 7-18 (Appx. A) (explaining the dependencies and interference relationships among</w:t>
      </w:r>
      <w:r w:rsidRPr="009B3506">
        <w:t xml:space="preserve"> transitioning</w:t>
      </w:r>
      <w:r w:rsidRPr="009B3506">
        <w:t xml:space="preserve"> broadcast stations).</w:t>
      </w:r>
    </w:p>
  </w:footnote>
  <w:footnote w:id="15">
    <w:p w:rsidR="00BE04B8" w:rsidRPr="009B3506" w:rsidP="009B3506">
      <w:pPr>
        <w:pStyle w:val="FootnoteText"/>
        <w:widowControl w:val="0"/>
      </w:pPr>
      <w:r w:rsidRPr="009B3506">
        <w:rPr>
          <w:rStyle w:val="FootnoteReference"/>
          <w:sz w:val="20"/>
        </w:rPr>
        <w:footnoteRef/>
      </w:r>
      <w:r w:rsidRPr="009B3506">
        <w:t xml:space="preserve"> </w:t>
      </w:r>
      <w:r w:rsidRPr="009B3506">
        <w:rPr>
          <w:i/>
        </w:rPr>
        <w:t>Id.</w:t>
      </w:r>
      <w:r w:rsidRPr="009B3506">
        <w:t xml:space="preserve"> at 897, para. 16.</w:t>
      </w:r>
    </w:p>
  </w:footnote>
  <w:footnote w:id="16">
    <w:p w:rsidR="00BE04B8" w:rsidRPr="009B3506" w:rsidP="009B3506">
      <w:pPr>
        <w:pStyle w:val="FootnoteText"/>
        <w:widowControl w:val="0"/>
      </w:pPr>
      <w:r w:rsidRPr="009B3506">
        <w:rPr>
          <w:rStyle w:val="FootnoteReference"/>
          <w:sz w:val="20"/>
        </w:rPr>
        <w:footnoteRef/>
      </w:r>
      <w:r w:rsidRPr="009B3506">
        <w:t xml:space="preserve"> </w:t>
      </w:r>
      <w:r w:rsidRPr="009B3506">
        <w:rPr>
          <w:i/>
        </w:rPr>
        <w:t>Broadcast Transition Procedures Public Noti</w:t>
      </w:r>
      <w:r w:rsidRPr="009B3506">
        <w:rPr>
          <w:i/>
        </w:rPr>
        <w:t>ce</w:t>
      </w:r>
      <w:r w:rsidRPr="009B3506">
        <w:t>, 32 FCC Rcd at 872, para. 46.</w:t>
      </w:r>
    </w:p>
  </w:footnote>
  <w:footnote w:id="17">
    <w:p w:rsidR="00F529F7" w:rsidRPr="009B3506" w:rsidP="009B3506">
      <w:pPr>
        <w:pStyle w:val="FootnoteText"/>
      </w:pPr>
      <w:r w:rsidRPr="009B3506">
        <w:rPr>
          <w:rStyle w:val="FootnoteReference"/>
          <w:sz w:val="20"/>
        </w:rPr>
        <w:footnoteRef/>
      </w:r>
      <w:r w:rsidRPr="009B3506">
        <w:t xml:space="preserve"> A station could also conduct such operations without an STA if it were commencing operation using a licensed auxiliary facility.</w:t>
      </w:r>
    </w:p>
  </w:footnote>
  <w:footnote w:id="18">
    <w:p w:rsidR="00BE04B8" w:rsidRPr="009B3506" w:rsidP="009B3506">
      <w:pPr>
        <w:pStyle w:val="FootnoteText"/>
      </w:pPr>
      <w:r w:rsidRPr="009B3506">
        <w:rPr>
          <w:rStyle w:val="FootnoteReference"/>
          <w:sz w:val="20"/>
        </w:rPr>
        <w:footnoteRef/>
      </w:r>
      <w:r w:rsidRPr="009B3506">
        <w:t xml:space="preserve"> Authorization of use of an individual temporary channel will be restricted to replicating </w:t>
      </w:r>
      <w:r w:rsidRPr="009B3506">
        <w:t>a station’s pre-auction coverage area and population served.  While we will consider requests to temporarily operate in the new wireless band, we will require broadcasters to demonstrate that there is no reasonable alternative available and provide consent</w:t>
      </w:r>
      <w:r w:rsidRPr="009B3506">
        <w:t xml:space="preserve"> from potentially impacted wireless licensee(s)</w:t>
      </w:r>
      <w:r w:rsidRPr="009B3506">
        <w:t xml:space="preserve">.  </w:t>
      </w:r>
      <w:r w:rsidRPr="009B3506">
        <w:rPr>
          <w:i/>
        </w:rPr>
        <w:t>Transition Scheduling Adoption Public Notice</w:t>
      </w:r>
      <w:r w:rsidRPr="009B3506">
        <w:t>, 32 FCC Rcd at 916-17, paras. 56-57.</w:t>
      </w:r>
    </w:p>
  </w:footnote>
  <w:footnote w:id="19">
    <w:p w:rsidR="00BE04B8" w:rsidRPr="009B3506" w:rsidP="009B3506">
      <w:pPr>
        <w:pStyle w:val="FootnoteText"/>
        <w:widowControl w:val="0"/>
      </w:pPr>
      <w:r w:rsidRPr="009B3506">
        <w:rPr>
          <w:rStyle w:val="FootnoteReference"/>
          <w:sz w:val="20"/>
        </w:rPr>
        <w:footnoteRef/>
      </w:r>
      <w:r w:rsidRPr="009B3506">
        <w:t xml:space="preserve"> </w:t>
      </w:r>
      <w:r w:rsidRPr="009B3506">
        <w:rPr>
          <w:rFonts w:eastAsia="TimesNewRoman"/>
        </w:rPr>
        <w:t xml:space="preserve">In the case of a request for temporary joint use of a </w:t>
      </w:r>
      <w:r w:rsidRPr="009B3506">
        <w:t>channel,</w:t>
      </w:r>
      <w:r w:rsidRPr="009B3506">
        <w:rPr>
          <w:rFonts w:eastAsia="TimesNewRoman"/>
        </w:rPr>
        <w:t xml:space="preserve"> the applicant (joint user) must include with its request a </w:t>
      </w:r>
      <w:r w:rsidRPr="009B3506">
        <w:rPr>
          <w:rFonts w:eastAsia="TimesNewRoman"/>
        </w:rPr>
        <w:t xml:space="preserve">written authorization from the licensee of the host station.  Commercial and noncommercial educational (NCE) stations as well as full power and Class A stations may request to engage in temporary joint use of a channel.  </w:t>
      </w:r>
      <w:r w:rsidRPr="009B3506">
        <w:rPr>
          <w:rFonts w:eastAsia="TimesNewRoman"/>
          <w:i/>
        </w:rPr>
        <w:t>Id.</w:t>
      </w:r>
      <w:r w:rsidRPr="009B3506">
        <w:rPr>
          <w:rFonts w:eastAsia="TimesNewRoman"/>
        </w:rPr>
        <w:t xml:space="preserve"> at 917, para. 58-59.</w:t>
      </w:r>
    </w:p>
  </w:footnote>
  <w:footnote w:id="20">
    <w:p w:rsidR="00DE6991" w:rsidRPr="009B3506" w:rsidP="009B3506">
      <w:pPr>
        <w:pStyle w:val="FootnoteText"/>
        <w:keepNext/>
        <w:keepLines/>
      </w:pPr>
      <w:r w:rsidRPr="009B3506">
        <w:rPr>
          <w:rStyle w:val="FootnoteReference"/>
          <w:sz w:val="20"/>
        </w:rPr>
        <w:footnoteRef/>
      </w:r>
      <w:r w:rsidRPr="009B3506">
        <w:t xml:space="preserve"> </w:t>
      </w:r>
      <w:r w:rsidRPr="009B3506">
        <w:rPr>
          <w:i/>
        </w:rPr>
        <w:t>Broadcaster Transition Procedures Public Notice</w:t>
      </w:r>
      <w:r w:rsidRPr="009B3506">
        <w:t xml:space="preserve">, 32 FCC Rcd at </w:t>
      </w:r>
      <w:r>
        <w:t xml:space="preserve">873 </w:t>
      </w:r>
      <w:r w:rsidRPr="009B3506">
        <w:t>para. 47.</w:t>
      </w:r>
      <w:r w:rsidRPr="009B3506">
        <w:t xml:space="preserve">  </w:t>
      </w:r>
      <w:r>
        <w:t>We clarify</w:t>
      </w:r>
      <w:r>
        <w:t xml:space="preserve"> that</w:t>
      </w:r>
      <w:r>
        <w:t xml:space="preserve"> STA</w:t>
      </w:r>
      <w:r w:rsidRPr="009B3506">
        <w:t xml:space="preserve"> request</w:t>
      </w:r>
      <w:r>
        <w:t>s</w:t>
      </w:r>
      <w:r w:rsidRPr="009B3506">
        <w:t xml:space="preserve"> </w:t>
      </w:r>
      <w:r>
        <w:t xml:space="preserve">to continue operating on a station’s pre-auction channel </w:t>
      </w:r>
      <w:r w:rsidRPr="009B3506">
        <w:t xml:space="preserve">should not be </w:t>
      </w:r>
      <w:r>
        <w:t xml:space="preserve">made in lieu of </w:t>
      </w:r>
      <w:r w:rsidRPr="009B3506">
        <w:t xml:space="preserve">filing for a </w:t>
      </w:r>
      <w:r>
        <w:t xml:space="preserve">phase change.  </w:t>
      </w:r>
      <w:r>
        <w:rPr>
          <w:i/>
        </w:rPr>
        <w:t xml:space="preserve">See </w:t>
      </w:r>
      <w:r w:rsidRPr="009B3506">
        <w:rPr>
          <w:i/>
        </w:rPr>
        <w:t>infra</w:t>
      </w:r>
      <w:r w:rsidRPr="009B3506">
        <w:rPr>
          <w:i/>
        </w:rPr>
        <w:t xml:space="preserve">, </w:t>
      </w:r>
      <w:r w:rsidRPr="009B3506">
        <w:t>para. 1</w:t>
      </w:r>
      <w:r>
        <w:t>4</w:t>
      </w:r>
      <w:r>
        <w:t>.  We e</w:t>
      </w:r>
      <w:r w:rsidRPr="009B3506">
        <w:t xml:space="preserve">nvision </w:t>
      </w:r>
      <w:r>
        <w:t xml:space="preserve">such requests would be filed </w:t>
      </w:r>
      <w:r w:rsidRPr="009B3506">
        <w:t>when a</w:t>
      </w:r>
      <w:r w:rsidRPr="009B3506">
        <w:t xml:space="preserve"> station </w:t>
      </w:r>
      <w:r w:rsidRPr="009B3506">
        <w:t>discovers at the last-minute</w:t>
      </w:r>
      <w:r>
        <w:t xml:space="preserve"> that</w:t>
      </w:r>
      <w:r w:rsidRPr="009B3506">
        <w:t>, due to unforeseen circumstances beyond its control, it will be unable to commence operation on its post-auction channel by its phase completion date and is left with no reasonab</w:t>
      </w:r>
      <w:r w:rsidRPr="009B3506">
        <w:t xml:space="preserve">le alternative other than </w:t>
      </w:r>
      <w:r>
        <w:t xml:space="preserve">going silent.  Authority </w:t>
      </w:r>
      <w:r>
        <w:t xml:space="preserve">for a station </w:t>
      </w:r>
      <w:r>
        <w:t xml:space="preserve">to continue to operate on </w:t>
      </w:r>
      <w:r>
        <w:t xml:space="preserve">its </w:t>
      </w:r>
      <w:r>
        <w:t>pre-auction channel after its phase completion date may only be possible at reduced power.</w:t>
      </w:r>
    </w:p>
  </w:footnote>
  <w:footnote w:id="21">
    <w:p w:rsidR="004F4393">
      <w:pPr>
        <w:pStyle w:val="FootnoteText"/>
      </w:pPr>
      <w:r>
        <w:rPr>
          <w:rStyle w:val="FootnoteReference"/>
        </w:rPr>
        <w:footnoteRef/>
      </w:r>
      <w:r>
        <w:t xml:space="preserve"> </w:t>
      </w:r>
      <w:r w:rsidRPr="00476FBA">
        <w:rPr>
          <w:i/>
        </w:rPr>
        <w:t>Id.</w:t>
      </w:r>
    </w:p>
  </w:footnote>
  <w:footnote w:id="22">
    <w:p w:rsidR="00BE04B8" w:rsidRPr="009B3506" w:rsidP="009B3506">
      <w:pPr>
        <w:spacing w:after="120"/>
        <w:rPr>
          <w:snapToGrid/>
          <w:kern w:val="0"/>
          <w:sz w:val="20"/>
        </w:rPr>
      </w:pPr>
      <w:r w:rsidRPr="009B3506">
        <w:rPr>
          <w:rStyle w:val="FootnoteReference"/>
          <w:sz w:val="20"/>
        </w:rPr>
        <w:footnoteRef/>
      </w:r>
      <w:r w:rsidRPr="009B3506">
        <w:rPr>
          <w:sz w:val="20"/>
        </w:rPr>
        <w:t xml:space="preserve"> </w:t>
      </w:r>
      <w:r w:rsidRPr="009B3506">
        <w:rPr>
          <w:i/>
          <w:sz w:val="20"/>
        </w:rPr>
        <w:t>Id</w:t>
      </w:r>
      <w:r w:rsidRPr="009B3506">
        <w:rPr>
          <w:sz w:val="20"/>
        </w:rPr>
        <w:t>.</w:t>
      </w:r>
    </w:p>
  </w:footnote>
  <w:footnote w:id="23">
    <w:p w:rsidR="00186D82" w:rsidRPr="009B3506" w:rsidP="009B3506">
      <w:pPr>
        <w:pStyle w:val="FootnoteText"/>
      </w:pPr>
      <w:r w:rsidRPr="009B3506">
        <w:rPr>
          <w:rStyle w:val="FootnoteReference"/>
          <w:sz w:val="20"/>
        </w:rPr>
        <w:footnoteRef/>
      </w:r>
      <w:r w:rsidRPr="009B3506">
        <w:t xml:space="preserve"> </w:t>
      </w:r>
      <w:r w:rsidRPr="009B3506">
        <w:rPr>
          <w:i/>
        </w:rPr>
        <w:t xml:space="preserve">See Incentive Auction Task Force and Media Bureau </w:t>
      </w:r>
      <w:r w:rsidRPr="009B3506">
        <w:rPr>
          <w:i/>
        </w:rPr>
        <w:t>Announce the Initial Reimbursement Allocation for Eligible Broadcasters and MVPDs</w:t>
      </w:r>
      <w:r w:rsidRPr="009B3506">
        <w:t xml:space="preserve">, Public Notice, 32 FCC Rcd 7556, 7559-60 (IATF/MB 2017); </w:t>
      </w:r>
      <w:r w:rsidRPr="009B3506">
        <w:rPr>
          <w:i/>
        </w:rPr>
        <w:t>Incentive Auction Task Force and Media Bureau Announce a Further Reimbursement Allocation for Eligible Broadcasters a</w:t>
      </w:r>
      <w:r w:rsidRPr="009B3506">
        <w:rPr>
          <w:i/>
        </w:rPr>
        <w:t>nd MVPDs</w:t>
      </w:r>
      <w:r w:rsidRPr="009B3506">
        <w:t>, Public Notice, DA 18-372, 5 (rel. Apr. 16, 2018).</w:t>
      </w:r>
    </w:p>
  </w:footnote>
  <w:footnote w:id="24">
    <w:p w:rsidR="00BE04B8" w:rsidRPr="009B3506" w:rsidP="009B3506">
      <w:pPr>
        <w:pStyle w:val="FootnoteText"/>
        <w:widowControl w:val="0"/>
      </w:pPr>
      <w:r w:rsidRPr="009B3506">
        <w:rPr>
          <w:rStyle w:val="FootnoteReference"/>
          <w:sz w:val="20"/>
        </w:rPr>
        <w:footnoteRef/>
      </w:r>
      <w:r w:rsidRPr="009B3506">
        <w:t xml:space="preserve"> 47 CFR § 73.1635.</w:t>
      </w:r>
      <w:r w:rsidRPr="009B3506">
        <w:t xml:space="preserve">  In addition, the Bureau may modify or cancel an STA at any time, without prior notice or right to hearing.  47 CFR § 73.1635(b)</w:t>
      </w:r>
    </w:p>
  </w:footnote>
  <w:footnote w:id="25">
    <w:p w:rsidR="00DC32C9" w:rsidRPr="009B3506" w:rsidP="009B3506">
      <w:pPr>
        <w:pStyle w:val="FootnoteText"/>
      </w:pPr>
      <w:r w:rsidRPr="009B3506">
        <w:rPr>
          <w:rStyle w:val="FootnoteReference"/>
          <w:sz w:val="20"/>
        </w:rPr>
        <w:footnoteRef/>
      </w:r>
      <w:r w:rsidRPr="009B3506">
        <w:t xml:space="preserve"> </w:t>
      </w:r>
      <w:r w:rsidRPr="009B3506">
        <w:rPr>
          <w:i/>
        </w:rPr>
        <w:t xml:space="preserve">See </w:t>
      </w:r>
      <w:r w:rsidRPr="009B3506">
        <w:t>47 CFR 73.1740(a)(4).</w:t>
      </w:r>
    </w:p>
  </w:footnote>
  <w:footnote w:id="26">
    <w:p w:rsidR="00DC32C9" w:rsidRPr="00F313DA" w:rsidP="009B3506">
      <w:pPr>
        <w:pStyle w:val="FootnoteText"/>
      </w:pPr>
      <w:r w:rsidRPr="009B3506">
        <w:rPr>
          <w:rStyle w:val="FootnoteReference"/>
          <w:sz w:val="20"/>
        </w:rPr>
        <w:footnoteRef/>
      </w:r>
      <w:r w:rsidRPr="009B3506">
        <w:t xml:space="preserve"> </w:t>
      </w:r>
      <w:r w:rsidRPr="009B3506">
        <w:rPr>
          <w:i/>
        </w:rPr>
        <w:t>Id.</w:t>
      </w:r>
    </w:p>
  </w:footnote>
  <w:footnote w:id="27">
    <w:p w:rsidR="00BE04B8" w:rsidRPr="009B3506" w:rsidP="009B3506">
      <w:pPr>
        <w:pStyle w:val="FootnoteText"/>
      </w:pPr>
      <w:r w:rsidRPr="009B3506">
        <w:rPr>
          <w:rStyle w:val="FootnoteReference"/>
          <w:sz w:val="20"/>
        </w:rPr>
        <w:footnoteRef/>
      </w:r>
      <w:r w:rsidRPr="009B3506">
        <w:t xml:space="preserve"> </w:t>
      </w:r>
      <w:r w:rsidRPr="009B3506">
        <w:rPr>
          <w:i/>
        </w:rPr>
        <w:t>Id.</w:t>
      </w:r>
      <w:r w:rsidRPr="009B3506">
        <w:t xml:space="preserve"> </w:t>
      </w:r>
      <w:r w:rsidRPr="009B3506">
        <w:t>We remi</w:t>
      </w:r>
      <w:r w:rsidRPr="009B3506">
        <w:t xml:space="preserve">nd stations that the license of any station that remains silent for any consecutive 12-month period expires automatically at the end of that period, by operation of law, except that the Commission can extend or </w:t>
      </w:r>
      <w:bookmarkStart w:id="3" w:name="_Hlk522270178"/>
      <w:r w:rsidRPr="009B3506">
        <w:t>reinstate such a license “to promote equity a</w:t>
      </w:r>
      <w:r w:rsidRPr="009B3506">
        <w:t xml:space="preserve">nd fairness.”  </w:t>
      </w:r>
      <w:bookmarkEnd w:id="3"/>
      <w:r w:rsidRPr="009B3506">
        <w:t>47 U.S.C. § 312(g).  In considering requests to extend or reinstate a license, we will examine whether the station has demonstrated that its silence is the result of compelling reasons beyond the station’s control, s</w:t>
      </w:r>
      <w:r w:rsidRPr="009B3506">
        <w:rPr>
          <w:i/>
        </w:rPr>
        <w:t>ee, e.g., Christian Broad</w:t>
      </w:r>
      <w:r w:rsidRPr="009B3506">
        <w:rPr>
          <w:i/>
        </w:rPr>
        <w:t>casting of East Point, Inc.</w:t>
      </w:r>
      <w:r w:rsidRPr="009B3506">
        <w:t xml:space="preserve">, 30 FCC Rcd 13975, 13976-77, para. 4 (2015), including facts that relate to the post-auction transition process.    </w:t>
      </w:r>
    </w:p>
  </w:footnote>
  <w:footnote w:id="28">
    <w:p w:rsidR="00BE04B8" w:rsidRPr="009B3506" w:rsidP="009B3506">
      <w:pPr>
        <w:pStyle w:val="FootnoteText"/>
      </w:pPr>
      <w:r w:rsidRPr="009B3506">
        <w:rPr>
          <w:rStyle w:val="FootnoteReference"/>
          <w:sz w:val="20"/>
        </w:rPr>
        <w:footnoteRef/>
      </w:r>
      <w:r w:rsidRPr="009B3506">
        <w:t xml:space="preserve"> </w:t>
      </w:r>
      <w:r w:rsidRPr="009B3506">
        <w:rPr>
          <w:i/>
        </w:rPr>
        <w:t>Infra</w:t>
      </w:r>
      <w:r w:rsidRPr="009B3506">
        <w:rPr>
          <w:i/>
        </w:rPr>
        <w:t>,</w:t>
      </w:r>
      <w:r w:rsidRPr="009B3506">
        <w:t xml:space="preserve"> para. 2</w:t>
      </w:r>
      <w:r>
        <w:t>1</w:t>
      </w:r>
      <w:r w:rsidRPr="009B3506">
        <w:t>.</w:t>
      </w:r>
    </w:p>
  </w:footnote>
  <w:footnote w:id="29">
    <w:p w:rsidR="00BE04B8" w:rsidRPr="009B3506" w:rsidP="009B3506">
      <w:pPr>
        <w:pStyle w:val="FootnoteText"/>
        <w:widowControl w:val="0"/>
      </w:pPr>
      <w:r w:rsidRPr="009B3506">
        <w:rPr>
          <w:rStyle w:val="FootnoteReference"/>
          <w:sz w:val="20"/>
        </w:rPr>
        <w:footnoteRef/>
      </w:r>
      <w:r w:rsidRPr="009B3506">
        <w:t xml:space="preserve"> </w:t>
      </w:r>
      <w:r w:rsidRPr="009B3506">
        <w:rPr>
          <w:i/>
        </w:rPr>
        <w:t>See</w:t>
      </w:r>
      <w:r w:rsidRPr="009B3506">
        <w:t xml:space="preserve"> 47 CFR § 73.1620.</w:t>
      </w:r>
    </w:p>
  </w:footnote>
  <w:footnote w:id="30">
    <w:p w:rsidR="00F313DA">
      <w:pPr>
        <w:pStyle w:val="FootnoteText"/>
      </w:pPr>
      <w:r>
        <w:rPr>
          <w:rStyle w:val="FootnoteReference"/>
        </w:rPr>
        <w:footnoteRef/>
      </w:r>
      <w:r>
        <w:t xml:space="preserve"> </w:t>
      </w:r>
      <w:r w:rsidRPr="00F313DA">
        <w:t xml:space="preserve">Repacked stations </w:t>
      </w:r>
      <w:r>
        <w:t xml:space="preserve">are not required to </w:t>
      </w:r>
      <w:r w:rsidRPr="00F313DA">
        <w:t xml:space="preserve">file a Suspension of </w:t>
      </w:r>
      <w:r w:rsidRPr="00F313DA">
        <w:t>Operations Notice when they transition from their pre-auction to their post-auction channel.</w:t>
      </w:r>
      <w:r>
        <w:t xml:space="preserve">  A Suspension of Operations Notice is only required if a repacked station </w:t>
      </w:r>
      <w:r w:rsidRPr="00F313DA">
        <w:t>remain</w:t>
      </w:r>
      <w:r>
        <w:t>s</w:t>
      </w:r>
      <w:r w:rsidRPr="00F313DA">
        <w:t xml:space="preserve"> silent for more than 10 days.  </w:t>
      </w:r>
      <w:r w:rsidRPr="00F313DA">
        <w:rPr>
          <w:i/>
        </w:rPr>
        <w:t>See supra.</w:t>
      </w:r>
      <w:r>
        <w:t xml:space="preserve">, para. </w:t>
      </w:r>
      <w:r>
        <w:t>9</w:t>
      </w:r>
      <w:r>
        <w:t>.</w:t>
      </w:r>
    </w:p>
  </w:footnote>
  <w:footnote w:id="31">
    <w:p w:rsidR="00BE04B8" w:rsidRPr="009B3506" w:rsidP="009B3506">
      <w:pPr>
        <w:pStyle w:val="FootnoteText"/>
        <w:widowControl w:val="0"/>
      </w:pPr>
      <w:r w:rsidRPr="009B3506">
        <w:rPr>
          <w:rStyle w:val="FootnoteReference"/>
          <w:sz w:val="20"/>
        </w:rPr>
        <w:footnoteRef/>
      </w:r>
      <w:r w:rsidRPr="009B3506">
        <w:t xml:space="preserve"> </w:t>
      </w:r>
      <w:r w:rsidRPr="009B3506">
        <w:rPr>
          <w:rFonts w:eastAsia="TimesNewRoman"/>
        </w:rPr>
        <w:t xml:space="preserve">47 CFR § 73.3700(b)(5). </w:t>
      </w:r>
    </w:p>
  </w:footnote>
  <w:footnote w:id="32">
    <w:p w:rsidR="00BE04B8" w:rsidRPr="009B3506" w:rsidP="009B3506">
      <w:pPr>
        <w:pStyle w:val="FootnoteText"/>
        <w:widowControl w:val="0"/>
      </w:pPr>
      <w:r w:rsidRPr="009B3506">
        <w:rPr>
          <w:rStyle w:val="FootnoteReference"/>
          <w:sz w:val="20"/>
        </w:rPr>
        <w:footnoteRef/>
      </w:r>
      <w:r w:rsidRPr="009B3506">
        <w:t xml:space="preserve"> 47 CFR § 73.3700(b)(5)(iv).</w:t>
      </w:r>
    </w:p>
  </w:footnote>
  <w:footnote w:id="33">
    <w:p w:rsidR="00BE04B8" w:rsidRPr="009B3506" w:rsidP="009B3506">
      <w:pPr>
        <w:pStyle w:val="FootnoteText"/>
        <w:widowControl w:val="0"/>
      </w:pPr>
      <w:r w:rsidRPr="009B3506">
        <w:rPr>
          <w:rStyle w:val="FootnoteReference"/>
          <w:sz w:val="20"/>
        </w:rPr>
        <w:footnoteRef/>
      </w:r>
      <w:r w:rsidRPr="009B3506">
        <w:t xml:space="preserve"> </w:t>
      </w:r>
      <w:r w:rsidRPr="009B3506">
        <w:rPr>
          <w:i/>
        </w:rPr>
        <w:t>See Expanding the Economic and Innovation Opportunities of Spectrum Through Incentive Auctions</w:t>
      </w:r>
      <w:r w:rsidRPr="009B3506">
        <w:t>, Report and Order, 29 FCC Rcd 6567, 6804-05, paras. 581-82 (2014) (</w:t>
      </w:r>
      <w:r w:rsidRPr="009B3506">
        <w:rPr>
          <w:i/>
        </w:rPr>
        <w:t>Incentive Auction R&amp;O</w:t>
      </w:r>
      <w:r w:rsidRPr="009B3506">
        <w:t>) (subsequent citations omitted); 47 CFR §</w:t>
      </w:r>
      <w:r w:rsidRPr="009B3506">
        <w:t xml:space="preserve"> 73.3700(b)(5)(ii) and (iii).</w:t>
      </w:r>
    </w:p>
  </w:footnote>
  <w:footnote w:id="34">
    <w:p w:rsidR="009902FB" w:rsidRPr="009B3506" w:rsidP="009B3506">
      <w:pPr>
        <w:pStyle w:val="FootnoteText"/>
      </w:pPr>
      <w:r w:rsidRPr="009B3506">
        <w:rPr>
          <w:rStyle w:val="FootnoteReference"/>
          <w:sz w:val="20"/>
        </w:rPr>
        <w:footnoteRef/>
      </w:r>
      <w:r w:rsidRPr="009B3506">
        <w:t xml:space="preserve"> </w:t>
      </w:r>
      <w:r w:rsidRPr="009B3506">
        <w:rPr>
          <w:i/>
        </w:rPr>
        <w:t>See</w:t>
      </w:r>
      <w:r w:rsidRPr="009B3506">
        <w:t xml:space="preserve"> </w:t>
      </w:r>
      <w:r w:rsidRPr="009B3506">
        <w:rPr>
          <w:i/>
        </w:rPr>
        <w:t>Broadcast Transition Procedures Public Notice</w:t>
      </w:r>
      <w:r w:rsidRPr="009B3506">
        <w:t>, 32 FCC Rcd at 872, para. 45</w:t>
      </w:r>
    </w:p>
  </w:footnote>
  <w:footnote w:id="35">
    <w:p w:rsidR="006A6A6B" w:rsidRPr="009B3506" w:rsidP="009B3506">
      <w:pPr>
        <w:pStyle w:val="FootnoteText"/>
      </w:pPr>
      <w:r w:rsidRPr="009B3506">
        <w:rPr>
          <w:rStyle w:val="FootnoteReference"/>
          <w:sz w:val="20"/>
        </w:rPr>
        <w:footnoteRef/>
      </w:r>
      <w:r w:rsidRPr="009B3506">
        <w:t xml:space="preserve"> </w:t>
      </w:r>
      <w:r w:rsidRPr="009B3506">
        <w:rPr>
          <w:i/>
        </w:rPr>
        <w:t xml:space="preserve">See </w:t>
      </w:r>
      <w:r>
        <w:rPr>
          <w:i/>
        </w:rPr>
        <w:t>Id. at</w:t>
      </w:r>
      <w:r w:rsidRPr="009B3506">
        <w:t xml:space="preserve"> 872, para. 44.</w:t>
      </w:r>
    </w:p>
  </w:footnote>
  <w:footnote w:id="36">
    <w:p w:rsidR="00BE04B8" w:rsidRPr="009B3506" w:rsidP="009B3506">
      <w:pPr>
        <w:pStyle w:val="FootnoteText"/>
        <w:widowControl w:val="0"/>
      </w:pPr>
      <w:r w:rsidRPr="009B3506">
        <w:rPr>
          <w:rStyle w:val="FootnoteReference"/>
          <w:sz w:val="20"/>
        </w:rPr>
        <w:footnoteRef/>
      </w:r>
      <w:r w:rsidRPr="009B3506">
        <w:t xml:space="preserve"> </w:t>
      </w:r>
      <w:r w:rsidRPr="009B3506">
        <w:rPr>
          <w:i/>
        </w:rPr>
        <w:t>See</w:t>
      </w:r>
      <w:r w:rsidRPr="009B3506">
        <w:t xml:space="preserve"> 47 CFR § 73.3700(b)(5)(i); </w:t>
      </w:r>
      <w:r w:rsidRPr="009B3506">
        <w:rPr>
          <w:i/>
        </w:rPr>
        <w:t>Incentive Auction R&amp;O</w:t>
      </w:r>
      <w:r w:rsidRPr="009B3506">
        <w:t xml:space="preserve">, 29 FCC Rcd at 6805-06, para. 583.  The tolling rule provides </w:t>
      </w:r>
      <w:r w:rsidRPr="009B3506">
        <w:t xml:space="preserve">that a construction permit deadline may be tolled only for specific circumstances not under the licensee’s control, such as acts of God or delays due to administrative or judicial review.  </w:t>
      </w:r>
      <w:r w:rsidRPr="009B3506">
        <w:rPr>
          <w:i/>
        </w:rPr>
        <w:t>See</w:t>
      </w:r>
      <w:r w:rsidRPr="009B3506">
        <w:t xml:space="preserve"> 47 CFR §73.3598(b).  Stations may also seek a waiver of the tol</w:t>
      </w:r>
      <w:r w:rsidRPr="009B3506">
        <w:t>ling rule to receive additional time to constru</w:t>
      </w:r>
      <w:r w:rsidRPr="009B3506">
        <w:t>ct</w:t>
      </w:r>
      <w:r w:rsidRPr="009B3506">
        <w:t xml:space="preserve"> in the case where “rare or exceptional circumstances” prevent construction.  </w:t>
      </w:r>
      <w:r w:rsidRPr="009B3506">
        <w:rPr>
          <w:i/>
        </w:rPr>
        <w:t>1998 Regulatory Review -</w:t>
      </w:r>
      <w:r w:rsidRPr="009B3506">
        <w:rPr>
          <w:i/>
        </w:rPr>
        <w:t xml:space="preserve"> </w:t>
      </w:r>
      <w:r w:rsidRPr="009B3506">
        <w:rPr>
          <w:i/>
        </w:rPr>
        <w:t>Streamlining of Mass Media Applications, Rules and Processes, Memorandum Opinion and Order</w:t>
      </w:r>
      <w:r w:rsidRPr="009B3506">
        <w:t>, 14 FCC Rcd 1</w:t>
      </w:r>
      <w:r w:rsidRPr="009B3506">
        <w:t>7525, 17536, para. 42 (1999)</w:t>
      </w:r>
      <w:r w:rsidRPr="009B3506">
        <w:rPr>
          <w:i/>
        </w:rPr>
        <w:t xml:space="preserve">. </w:t>
      </w:r>
      <w:r w:rsidRPr="009B3506">
        <w:t xml:space="preserve">Stations are reminded to follow the reporting procedures set forth in the rule, which require notification to the Commission within 30 days of any pertinent event covered by the tolling rule.  </w:t>
      </w:r>
      <w:r w:rsidRPr="009B3506">
        <w:rPr>
          <w:i/>
        </w:rPr>
        <w:t>See</w:t>
      </w:r>
      <w:r w:rsidRPr="009B3506">
        <w:t xml:space="preserve"> 47 CFR §73.3598(b).</w:t>
      </w:r>
    </w:p>
  </w:footnote>
  <w:footnote w:id="37">
    <w:p w:rsidR="00F238DE" w:rsidRPr="009B3506" w:rsidP="009B3506">
      <w:pPr>
        <w:pStyle w:val="FootnoteText"/>
      </w:pPr>
      <w:r w:rsidRPr="009B3506">
        <w:rPr>
          <w:rStyle w:val="FootnoteReference"/>
          <w:sz w:val="20"/>
        </w:rPr>
        <w:footnoteRef/>
      </w:r>
      <w:r w:rsidRPr="009B3506">
        <w:t xml:space="preserve"> </w:t>
      </w:r>
      <w:r w:rsidRPr="009B3506">
        <w:rPr>
          <w:i/>
        </w:rPr>
        <w:t>See Nor</w:t>
      </w:r>
      <w:r w:rsidRPr="009B3506">
        <w:rPr>
          <w:i/>
        </w:rPr>
        <w:t>theast Cellular Telephone Co. v. FCC</w:t>
      </w:r>
      <w:r w:rsidRPr="009B3506">
        <w:t xml:space="preserve">, 897 F.2d 1164, 1166 (D.C. Cir. 1990); </w:t>
      </w:r>
      <w:r w:rsidRPr="009B3506">
        <w:rPr>
          <w:i/>
        </w:rPr>
        <w:t>WAIT Radio v. FCC</w:t>
      </w:r>
      <w:r w:rsidRPr="009B3506">
        <w:t xml:space="preserve">, 418 F.2d 1153, 1159 (D.C. Cir. 1969); 47 CFR § 1.3 (waiver for good cause shown).  </w:t>
      </w:r>
    </w:p>
  </w:footnote>
  <w:footnote w:id="38">
    <w:p w:rsidR="00BE04B8" w:rsidRPr="009B3506" w:rsidP="009B3506">
      <w:pPr>
        <w:pStyle w:val="FootnoteText"/>
      </w:pPr>
      <w:r w:rsidRPr="009B3506">
        <w:rPr>
          <w:rStyle w:val="FootnoteReference"/>
          <w:sz w:val="20"/>
        </w:rPr>
        <w:footnoteRef/>
      </w:r>
      <w:r w:rsidRPr="009B3506">
        <w:t xml:space="preserve"> </w:t>
      </w:r>
      <w:r w:rsidRPr="009B3506">
        <w:rPr>
          <w:i/>
        </w:rPr>
        <w:t xml:space="preserve">See </w:t>
      </w:r>
      <w:r w:rsidRPr="009B3506">
        <w:rPr>
          <w:i/>
        </w:rPr>
        <w:t>Transition Scheduling Adoption Public Notice</w:t>
      </w:r>
      <w:r w:rsidRPr="009B3506">
        <w:t>, 32 FCC Rcd at 913-14, par</w:t>
      </w:r>
      <w:r w:rsidRPr="009B3506">
        <w:t xml:space="preserve">a. 51 and n.171.  </w:t>
      </w:r>
      <w:r w:rsidRPr="009B3506">
        <w:t xml:space="preserve">Such requests should be filed in LMS as a Legal STA.  </w:t>
      </w:r>
    </w:p>
  </w:footnote>
  <w:footnote w:id="39">
    <w:p w:rsidR="00DE6991" w:rsidRPr="009B3506" w:rsidP="009B3506">
      <w:pPr>
        <w:pStyle w:val="FootnoteText"/>
      </w:pPr>
      <w:r w:rsidRPr="009B3506">
        <w:rPr>
          <w:rStyle w:val="FootnoteReference"/>
          <w:sz w:val="20"/>
        </w:rPr>
        <w:footnoteRef/>
      </w:r>
      <w:r w:rsidRPr="009B3506">
        <w:t xml:space="preserve"> </w:t>
      </w:r>
      <w:r w:rsidRPr="009B3506">
        <w:rPr>
          <w:i/>
        </w:rPr>
        <w:t>Id.</w:t>
      </w:r>
    </w:p>
  </w:footnote>
  <w:footnote w:id="40">
    <w:p w:rsidR="00DE6991" w:rsidRPr="009B3506" w:rsidP="009B3506">
      <w:pPr>
        <w:pStyle w:val="FootnoteText"/>
        <w:widowControl w:val="0"/>
      </w:pPr>
      <w:r w:rsidRPr="009B3506">
        <w:rPr>
          <w:rStyle w:val="FootnoteReference"/>
          <w:sz w:val="20"/>
        </w:rPr>
        <w:footnoteRef/>
      </w:r>
      <w:r w:rsidRPr="009B3506">
        <w:t xml:space="preserve"> </w:t>
      </w:r>
      <w:r w:rsidRPr="009B3506">
        <w:rPr>
          <w:i/>
        </w:rPr>
        <w:t>See Transition Scheduling Adoption Public Notice</w:t>
      </w:r>
      <w:r w:rsidRPr="009B3506">
        <w:t xml:space="preserve">, 32 FCC Rcd at 912-14, paras. 49-52; </w:t>
      </w:r>
      <w:r w:rsidRPr="009B3506">
        <w:rPr>
          <w:i/>
        </w:rPr>
        <w:t>Broadcast Transition Procedures Public Notice</w:t>
      </w:r>
      <w:r w:rsidRPr="009B3506">
        <w:t>, 32 FCC Rcd 881-82, para 73.</w:t>
      </w:r>
    </w:p>
  </w:footnote>
  <w:footnote w:id="41">
    <w:p w:rsidR="00E400A9" w:rsidRPr="009B3506" w:rsidP="009B3506">
      <w:pPr>
        <w:pStyle w:val="FootnoteText"/>
      </w:pPr>
      <w:r w:rsidRPr="009B3506">
        <w:rPr>
          <w:rStyle w:val="FootnoteReference"/>
          <w:sz w:val="20"/>
        </w:rPr>
        <w:footnoteRef/>
      </w:r>
      <w:r w:rsidRPr="009B3506">
        <w:t xml:space="preserve"> The testing period start date for each phase has been set as the day following the prior phase’s phase completion date.  </w:t>
      </w:r>
      <w:r w:rsidRPr="009B3506">
        <w:rPr>
          <w:i/>
        </w:rPr>
        <w:t>See</w:t>
      </w:r>
      <w:r w:rsidRPr="009B3506">
        <w:t xml:space="preserve"> </w:t>
      </w:r>
      <w:r w:rsidRPr="009B3506">
        <w:rPr>
          <w:i/>
        </w:rPr>
        <w:t>Closing and Channel Reassignment Public Notice</w:t>
      </w:r>
      <w:r w:rsidRPr="009B3506">
        <w:t>, 32 FCC Rcd 2786, 2806, para. 64.</w:t>
      </w:r>
    </w:p>
  </w:footnote>
  <w:footnote w:id="42">
    <w:p w:rsidR="00BE04B8" w:rsidRPr="009B3506" w:rsidP="00F313DA">
      <w:pPr>
        <w:pStyle w:val="FootnoteText"/>
        <w:keepNext/>
        <w:keepLines/>
      </w:pPr>
      <w:r w:rsidRPr="009B3506">
        <w:rPr>
          <w:rStyle w:val="FootnoteReference"/>
          <w:sz w:val="20"/>
        </w:rPr>
        <w:footnoteRef/>
      </w:r>
      <w:r w:rsidRPr="009B3506">
        <w:t xml:space="preserve"> In particular</w:t>
      </w:r>
      <w:r w:rsidRPr="009B3506">
        <w:t>,</w:t>
      </w:r>
      <w:r w:rsidRPr="009B3506">
        <w:t xml:space="preserve"> we must do all that is possible </w:t>
      </w:r>
      <w:r w:rsidRPr="009B3506">
        <w:t>to ensure limited resources (for instance structural engineers, tower crews</w:t>
      </w:r>
      <w:r>
        <w:t>,</w:t>
      </w:r>
      <w:r w:rsidRPr="009B3506">
        <w:t xml:space="preserve"> and equipment manufacturers, among others) are available to repacked stations and must be mindful of the additional burdens on viewers that some phase changes impose when the chan</w:t>
      </w:r>
      <w:r w:rsidRPr="009B3506">
        <w:t>ge would increase the number of rescan periods in an area.  That is why we limited the number of rescan periods per DMA to a maximum of two</w:t>
      </w:r>
      <w:r w:rsidRPr="00E35E5E">
        <w:t xml:space="preserve"> </w:t>
      </w:r>
      <w:r w:rsidRPr="009B3506">
        <w:t xml:space="preserve">when </w:t>
      </w:r>
      <w:r>
        <w:t xml:space="preserve">we </w:t>
      </w:r>
      <w:r w:rsidRPr="009B3506">
        <w:t>established the phased transition schedule</w:t>
      </w:r>
      <w:r w:rsidRPr="009B3506">
        <w:t xml:space="preserve">.  </w:t>
      </w:r>
      <w:r>
        <w:rPr>
          <w:i/>
        </w:rPr>
        <w:t xml:space="preserve">Transition Scheduling Adoption Public Notice, </w:t>
      </w:r>
      <w:r>
        <w:t>32 FCC Rcd</w:t>
      </w:r>
      <w:r w:rsidRPr="009B3506">
        <w:rPr>
          <w:i/>
        </w:rPr>
        <w:t>.</w:t>
      </w:r>
      <w:r w:rsidRPr="009B3506">
        <w:t xml:space="preserve"> at </w:t>
      </w:r>
      <w:r w:rsidRPr="009B3506">
        <w:t>89</w:t>
      </w:r>
      <w:r w:rsidRPr="009B3506">
        <w:t>8-99, paras.</w:t>
      </w:r>
      <w:r w:rsidRPr="009B3506">
        <w:t xml:space="preserve"> 20-21</w:t>
      </w:r>
      <w:r w:rsidRPr="009B3506">
        <w:t>. Furthermore, when setting the testing period start date and phase completion date for each phase, we took into account time and resource estimates</w:t>
      </w:r>
      <w:r w:rsidRPr="009B3506">
        <w:t xml:space="preserve"> </w:t>
      </w:r>
      <w:r w:rsidRPr="009B3506">
        <w:t xml:space="preserve">based </w:t>
      </w:r>
      <w:r w:rsidRPr="009B3506">
        <w:t xml:space="preserve">on </w:t>
      </w:r>
      <w:r w:rsidRPr="009B3506">
        <w:t xml:space="preserve">information collected through notice and comment, to estimate how long it would </w:t>
      </w:r>
      <w:r w:rsidRPr="009B3506">
        <w:t xml:space="preserve">take all the stations in each phase to obtain access to limited resources and complete their transitions. </w:t>
      </w:r>
      <w:r w:rsidRPr="009B3506">
        <w:rPr>
          <w:i/>
        </w:rPr>
        <w:t>Id.</w:t>
      </w:r>
      <w:r w:rsidRPr="009B3506">
        <w:t xml:space="preserve"> at 902-909, paras. 29-41</w:t>
      </w:r>
      <w:r w:rsidRPr="009B3506">
        <w:t>.</w:t>
      </w:r>
      <w:r w:rsidRPr="009B3506">
        <w:t xml:space="preserve"> </w:t>
      </w:r>
      <w:r w:rsidRPr="009B3506">
        <w:t xml:space="preserve"> </w:t>
      </w:r>
      <w:r w:rsidRPr="009B3506">
        <w:t>We note that a</w:t>
      </w:r>
      <w:r w:rsidRPr="009B3506">
        <w:t xml:space="preserve"> vast majority of </w:t>
      </w:r>
      <w:r w:rsidRPr="009B3506">
        <w:t>phase changes to date</w:t>
      </w:r>
      <w:r w:rsidRPr="009B3506">
        <w:t xml:space="preserve"> </w:t>
      </w:r>
      <w:r w:rsidRPr="009B3506">
        <w:t>have involved stations receiving authority to</w:t>
      </w:r>
      <w:r w:rsidRPr="009B3506">
        <w:t xml:space="preserve"> transition </w:t>
      </w:r>
      <w:r w:rsidRPr="009B3506">
        <w:t xml:space="preserve">to their post-auction channel </w:t>
      </w:r>
      <w:r w:rsidRPr="009B3506">
        <w:t xml:space="preserve">in the period prior to Phase 1.  </w:t>
      </w:r>
      <w:r w:rsidRPr="009B3506">
        <w:t>These “early” transition cases in particular presented facts and circumstances that may no longer be applicable or have the same benefit after the testing period start date for Phase 1 commence</w:t>
      </w:r>
      <w:r w:rsidRPr="009B3506">
        <w:t xml:space="preserve">s on September 14, 2018.  </w:t>
      </w:r>
    </w:p>
  </w:footnote>
  <w:footnote w:id="43">
    <w:p w:rsidR="00361C82" w:rsidRPr="009B3506" w:rsidP="009B3506">
      <w:pPr>
        <w:pStyle w:val="FootnoteText"/>
        <w:widowControl w:val="0"/>
      </w:pPr>
      <w:r w:rsidRPr="009B3506">
        <w:rPr>
          <w:rStyle w:val="FootnoteReference"/>
          <w:sz w:val="20"/>
        </w:rPr>
        <w:footnoteRef/>
      </w:r>
      <w:r w:rsidRPr="009B3506">
        <w:t xml:space="preserve"> 47 CFR § 73.3700(c)(3).  If a station’s anticipated transition date changes, licensees are expected to promptly provide updated notifications to viewers reflecting the date change.  To the extent a station is not able to comply</w:t>
      </w:r>
      <w:r w:rsidRPr="009B3506">
        <w:t xml:space="preserve"> with its consumer education requirements, it must file a request for waiver of 47 CFR § 73.3700(c) as a Legal STA in LMS.  All waiver requests will be evaluated on a case-by-case basis in accordance with the Commission waiver standard, 47 CFR § 1.3, and m</w:t>
      </w:r>
      <w:r w:rsidRPr="009B3506">
        <w:t xml:space="preserve">ust include the following information: (1) an explanation describing why the station is unable to comply with the existing consumer education requirements; (2) an alternative but comparable means the station will use to notify viewers of the station’s new </w:t>
      </w:r>
      <w:r w:rsidRPr="009B3506">
        <w:t>channel;  and (3) why grant of the waiver request complies with the Commission’s general waiver standard.  A station may propose to provide alternative notification to viewers through, for example, local newspaper, radio, other in-market television station</w:t>
      </w:r>
      <w:r w:rsidRPr="009B3506">
        <w:t>s, and/or digital and social media.  Depending on the proposal, the Bureau may require a combination of alternative notification efforts.</w:t>
      </w:r>
    </w:p>
  </w:footnote>
  <w:footnote w:id="44">
    <w:p w:rsidR="00BE04B8" w:rsidRPr="009B3506" w:rsidP="009B3506">
      <w:pPr>
        <w:pStyle w:val="FootnoteText"/>
        <w:widowControl w:val="0"/>
      </w:pPr>
      <w:r w:rsidRPr="009B3506">
        <w:rPr>
          <w:rStyle w:val="FootnoteReference"/>
          <w:sz w:val="20"/>
        </w:rPr>
        <w:footnoteRef/>
      </w:r>
      <w:r w:rsidRPr="009B3506">
        <w:t xml:space="preserve"> </w:t>
      </w:r>
      <w:r w:rsidRPr="009B3506">
        <w:t>47 CFR § 73.3700(c)(4) and (5).</w:t>
      </w:r>
    </w:p>
  </w:footnote>
  <w:footnote w:id="45">
    <w:p w:rsidR="00BE04B8" w:rsidRPr="009B3506" w:rsidP="009B3506">
      <w:pPr>
        <w:pStyle w:val="FootnoteText"/>
        <w:widowControl w:val="0"/>
      </w:pPr>
      <w:r w:rsidRPr="009B3506">
        <w:rPr>
          <w:rStyle w:val="FootnoteReference"/>
          <w:sz w:val="20"/>
        </w:rPr>
        <w:footnoteRef/>
      </w:r>
      <w:r w:rsidRPr="009B3506">
        <w:t xml:space="preserve"> 47 CFR § 73.3700(</w:t>
      </w:r>
      <w:r w:rsidRPr="009B3506">
        <w:t>c</w:t>
      </w:r>
      <w:r w:rsidRPr="009B3506">
        <w:t>)(6).</w:t>
      </w:r>
      <w:r w:rsidRPr="009B3506">
        <w:t xml:space="preserve">  </w:t>
      </w:r>
      <w:bookmarkStart w:id="7" w:name="_Hlk522187001"/>
      <w:r w:rsidRPr="009B3506">
        <w:t xml:space="preserve">Stations should upload a copy of this certification into </w:t>
      </w:r>
      <w:r w:rsidRPr="009B3506">
        <w:t xml:space="preserve">the folder in their online local public inspection file entitled “Auction Transition Consumer Certification.” Instructions for accessing and uploading documents to a station’s online local public inspection file can be found at:  </w:t>
      </w:r>
      <w:r>
        <w:fldChar w:fldCharType="begin"/>
      </w:r>
      <w:r>
        <w:instrText xml:space="preserve"> HYPERLINK "https://publicfiles.fcc.gov/faq/" </w:instrText>
      </w:r>
      <w:r>
        <w:fldChar w:fldCharType="separate"/>
      </w:r>
      <w:r w:rsidRPr="009B3506">
        <w:rPr>
          <w:rStyle w:val="Hyperlink"/>
        </w:rPr>
        <w:t>https://publicfiles.fcc.gov/faq/</w:t>
      </w:r>
      <w:r>
        <w:fldChar w:fldCharType="end"/>
      </w:r>
      <w:r w:rsidRPr="009B3506">
        <w:t xml:space="preserve">. </w:t>
      </w:r>
      <w:bookmarkEnd w:id="7"/>
    </w:p>
  </w:footnote>
  <w:footnote w:id="46">
    <w:p w:rsidR="003434B0" w:rsidRPr="009B3506" w:rsidP="009B3506">
      <w:pPr>
        <w:pStyle w:val="FootnoteText"/>
      </w:pPr>
      <w:r w:rsidRPr="009B3506">
        <w:rPr>
          <w:rStyle w:val="FootnoteReference"/>
          <w:sz w:val="20"/>
        </w:rPr>
        <w:footnoteRef/>
      </w:r>
      <w:r w:rsidRPr="009B3506">
        <w:t xml:space="preserve"> 47 CFR § 73.3700(d).  If a station’s anticipated transition date changes</w:t>
      </w:r>
      <w:r>
        <w:t>,</w:t>
      </w:r>
      <w:r w:rsidRPr="009B3506">
        <w:t xml:space="preserve"> the licensee must send a further notice to the affected MVPD informing them of the new anticipated date.  47 CFR 73.3700(d</w:t>
      </w:r>
      <w:r w:rsidRPr="009B3506">
        <w:t xml:space="preserve">)(5)(v). </w:t>
      </w:r>
    </w:p>
  </w:footnote>
  <w:footnote w:id="47">
    <w:p w:rsidR="00474463">
      <w:pPr>
        <w:pStyle w:val="FootnoteText"/>
      </w:pPr>
      <w:r>
        <w:rPr>
          <w:rStyle w:val="FootnoteReference"/>
        </w:rPr>
        <w:footnoteRef/>
      </w:r>
      <w:r>
        <w:t xml:space="preserve"> </w:t>
      </w:r>
      <w:r w:rsidRPr="00FD0198">
        <w:rPr>
          <w:i/>
        </w:rPr>
        <w:t>See</w:t>
      </w:r>
      <w:r w:rsidRPr="00474463">
        <w:t xml:space="preserve"> 47 CFR § 15.242(a)(1)</w:t>
      </w:r>
      <w:r>
        <w:t>.</w:t>
      </w:r>
    </w:p>
  </w:footnote>
  <w:footnote w:id="48">
    <w:p w:rsidR="00BE04B8" w:rsidRPr="009B3506" w:rsidP="009B3506">
      <w:pPr>
        <w:pStyle w:val="FootnoteText"/>
        <w:widowControl w:val="0"/>
      </w:pPr>
      <w:r w:rsidRPr="009B3506">
        <w:rPr>
          <w:rStyle w:val="FootnoteReference"/>
          <w:sz w:val="20"/>
        </w:rPr>
        <w:footnoteRef/>
      </w:r>
      <w:r w:rsidRPr="009B3506">
        <w:t xml:space="preserve"> </w:t>
      </w:r>
      <w:r w:rsidRPr="009B3506">
        <w:rPr>
          <w:i/>
        </w:rPr>
        <w:t>See</w:t>
      </w:r>
      <w:r w:rsidRPr="009B3506">
        <w:t xml:space="preserve"> 47 CFR § 73.3700(e)(5).  Transition Progress Report obligations were established for both reimbursable repacked stations and non-reimbursable repacked stations (</w:t>
      </w:r>
      <w:r w:rsidRPr="009B3506">
        <w:rPr>
          <w:i/>
        </w:rPr>
        <w:t>i.e.</w:t>
      </w:r>
      <w:r w:rsidRPr="009B3506">
        <w:rPr>
          <w:i/>
        </w:rPr>
        <w:t>,</w:t>
      </w:r>
      <w:r w:rsidRPr="009B3506">
        <w:t xml:space="preserve"> band changers).  </w:t>
      </w:r>
      <w:r w:rsidRPr="009B3506">
        <w:rPr>
          <w:i/>
        </w:rPr>
        <w:t>See</w:t>
      </w:r>
      <w:r w:rsidRPr="009B3506">
        <w:t xml:space="preserve"> </w:t>
      </w:r>
      <w:r w:rsidRPr="009B3506">
        <w:rPr>
          <w:i/>
        </w:rPr>
        <w:t>The Incentive Auction T</w:t>
      </w:r>
      <w:r w:rsidRPr="009B3506">
        <w:rPr>
          <w:i/>
        </w:rPr>
        <w:t>ask Force and Media Bureau Release Transition Progress Report Form and Filing Requirements for Stations Eligible for Reimbursement from the TV Broadcast Relocation Fund and Seek Comment on the Filing of the Report by Non-Reimbursable Stations</w:t>
      </w:r>
      <w:r w:rsidRPr="009B3506">
        <w:t>, Public Notic</w:t>
      </w:r>
      <w:r w:rsidRPr="009B3506">
        <w:t>e, 32 FCC Rcd 256 (MB 2017)</w:t>
      </w:r>
      <w:r>
        <w:t xml:space="preserve"> (</w:t>
      </w:r>
      <w:r w:rsidRPr="005718E4">
        <w:rPr>
          <w:i/>
        </w:rPr>
        <w:t>Transition Progress Reports for Reimbursable Stations Public Notice</w:t>
      </w:r>
      <w:r>
        <w:t>)</w:t>
      </w:r>
      <w:r w:rsidRPr="009B3506">
        <w:t xml:space="preserve">; </w:t>
      </w:r>
      <w:r w:rsidRPr="009B3506">
        <w:rPr>
          <w:i/>
        </w:rPr>
        <w:t xml:space="preserve">The Incentive Auction Task Force and Media Bureau Adopt Filing Requirements For the Transition Progress Report Form By Stations that are Not Eligible for </w:t>
      </w:r>
      <w:r w:rsidRPr="009B3506">
        <w:rPr>
          <w:i/>
        </w:rPr>
        <w:t>Reimbursement from the TV Broadcast Relocation Fund</w:t>
      </w:r>
      <w:r w:rsidRPr="009B3506">
        <w:t>, Public Notice, 32 FCC Rcd 4029 (MB 2017)</w:t>
      </w:r>
      <w:r w:rsidRPr="009B3506">
        <w:t xml:space="preserve"> (</w:t>
      </w:r>
      <w:r w:rsidRPr="009B3506">
        <w:rPr>
          <w:i/>
        </w:rPr>
        <w:t>Transition Progress Report</w:t>
      </w:r>
      <w:r>
        <w:rPr>
          <w:i/>
        </w:rPr>
        <w:t>s For Non-Reimbursable Stations</w:t>
      </w:r>
      <w:r w:rsidRPr="009B3506">
        <w:rPr>
          <w:i/>
        </w:rPr>
        <w:t xml:space="preserve"> Public Notice</w:t>
      </w:r>
      <w:r w:rsidRPr="009B3506">
        <w:t>)</w:t>
      </w:r>
      <w:r w:rsidRPr="009B3506">
        <w:t>.</w:t>
      </w:r>
    </w:p>
  </w:footnote>
  <w:footnote w:id="49">
    <w:p w:rsidR="00BE04B8" w:rsidRPr="009B3506" w:rsidP="009B3506">
      <w:pPr>
        <w:pStyle w:val="FootnoteText"/>
        <w:widowControl w:val="0"/>
      </w:pPr>
      <w:r w:rsidRPr="009B3506">
        <w:rPr>
          <w:rStyle w:val="FootnoteReference"/>
          <w:sz w:val="20"/>
        </w:rPr>
        <w:footnoteRef/>
      </w:r>
      <w:r w:rsidRPr="009B3506">
        <w:t xml:space="preserve"> Each report reflects information for the preceding quarter:  January 10 for the </w:t>
      </w:r>
      <w:r>
        <w:t>fourt</w:t>
      </w:r>
      <w:r>
        <w:t>h</w:t>
      </w:r>
      <w:r w:rsidRPr="009B3506">
        <w:t xml:space="preserve"> quarter of the previous year (October-December), April 10 for the first quarter (January-March), July 10 for the second quarter (April-June), and October 10 for the third quarter (July-September).  </w:t>
      </w:r>
    </w:p>
  </w:footnote>
  <w:footnote w:id="50">
    <w:p w:rsidR="008B142C" w:rsidRPr="009B3506" w:rsidP="009B3506">
      <w:pPr>
        <w:pStyle w:val="FootnoteText"/>
      </w:pPr>
      <w:r w:rsidRPr="009B3506">
        <w:rPr>
          <w:rStyle w:val="FootnoteReference"/>
          <w:sz w:val="20"/>
        </w:rPr>
        <w:footnoteRef/>
      </w:r>
      <w:r w:rsidRPr="009B3506">
        <w:t xml:space="preserve"> </w:t>
      </w:r>
      <w:r w:rsidRPr="009B3506">
        <w:rPr>
          <w:i/>
        </w:rPr>
        <w:t>See</w:t>
      </w:r>
      <w:r w:rsidRPr="009B3506">
        <w:t xml:space="preserve"> </w:t>
      </w:r>
      <w:r w:rsidRPr="009B3506">
        <w:rPr>
          <w:i/>
        </w:rPr>
        <w:t>Transition Progress Reports for Reimbursable Stat</w:t>
      </w:r>
      <w:r w:rsidRPr="009B3506">
        <w:rPr>
          <w:i/>
        </w:rPr>
        <w:t>ions Public Notice</w:t>
      </w:r>
      <w:r w:rsidRPr="009B3506">
        <w:t xml:space="preserve">, </w:t>
      </w:r>
      <w:r w:rsidRPr="009B3506">
        <w:t xml:space="preserve">32 FCC Rcd at </w:t>
      </w:r>
      <w:r>
        <w:t>258-59, para. 8</w:t>
      </w:r>
      <w:r w:rsidRPr="009B3506">
        <w:t xml:space="preserve">; </w:t>
      </w:r>
      <w:r w:rsidRPr="009B3506">
        <w:rPr>
          <w:i/>
        </w:rPr>
        <w:t>Transition Progress Reports for</w:t>
      </w:r>
      <w:r w:rsidRPr="009B3506">
        <w:rPr>
          <w:i/>
        </w:rPr>
        <w:t xml:space="preserve"> Non-</w:t>
      </w:r>
      <w:r w:rsidRPr="009B3506">
        <w:rPr>
          <w:i/>
        </w:rPr>
        <w:t>Reimbursable Stations Public Notice</w:t>
      </w:r>
      <w:r w:rsidRPr="009B3506">
        <w:t xml:space="preserve">, 32 </w:t>
      </w:r>
      <w:r w:rsidRPr="009B3506">
        <w:t>F</w:t>
      </w:r>
      <w:r w:rsidRPr="009B3506">
        <w:t xml:space="preserve">CC Rcd </w:t>
      </w:r>
      <w:r w:rsidRPr="009B3506">
        <w:t>at 4032, para. 8</w:t>
      </w:r>
      <w:r w:rsidRPr="009B3506">
        <w:t>.</w:t>
      </w:r>
    </w:p>
  </w:footnote>
  <w:footnote w:id="51">
    <w:p w:rsidR="00BE04B8" w:rsidRPr="009B3506" w:rsidP="009B3506">
      <w:pPr>
        <w:pStyle w:val="FootnoteText"/>
        <w:widowControl w:val="0"/>
      </w:pPr>
      <w:r w:rsidRPr="009B3506">
        <w:rPr>
          <w:rStyle w:val="FootnoteReference"/>
          <w:sz w:val="20"/>
        </w:rPr>
        <w:footnoteRef/>
      </w:r>
      <w:r>
        <w:t xml:space="preserve"> The filing of a s</w:t>
      </w:r>
      <w:r w:rsidRPr="009B3506">
        <w:t>tation’s Construction</w:t>
      </w:r>
      <w:r>
        <w:t xml:space="preserve"> Completion</w:t>
      </w:r>
      <w:r w:rsidRPr="009B3506">
        <w:t xml:space="preserve"> Report does not necessarily require the filing of a</w:t>
      </w:r>
      <w:r w:rsidRPr="009B3506">
        <w:t xml:space="preserve"> license to cover.  Such filing is only required once the </w:t>
      </w:r>
      <w:r>
        <w:t>s</w:t>
      </w:r>
      <w:r w:rsidRPr="009B3506">
        <w:t xml:space="preserve">tation commences program test authority, which the station is only able to do on or after its testing period start date, subject to any </w:t>
      </w:r>
      <w:r>
        <w:t xml:space="preserve">required </w:t>
      </w:r>
      <w:r w:rsidRPr="009B3506">
        <w:t>coordination if the station is in a linked</w:t>
      </w:r>
      <w:r w:rsidRPr="009B3506">
        <w:t>-</w:t>
      </w:r>
      <w:r w:rsidRPr="009B3506">
        <w:t>station s</w:t>
      </w:r>
      <w:r w:rsidRPr="009B3506">
        <w:t xml:space="preserve">et.  </w:t>
      </w:r>
    </w:p>
  </w:footnote>
  <w:footnote w:id="52">
    <w:p w:rsidR="00BE04B8" w:rsidRPr="009B3506" w:rsidP="009B3506">
      <w:pPr>
        <w:pStyle w:val="FootnoteText"/>
        <w:widowControl w:val="0"/>
      </w:pPr>
      <w:r w:rsidRPr="009B3506">
        <w:rPr>
          <w:rStyle w:val="FootnoteReference"/>
          <w:sz w:val="20"/>
        </w:rPr>
        <w:footnoteRef/>
      </w:r>
      <w:r w:rsidRPr="009B3506">
        <w:t xml:space="preserve"> </w:t>
      </w:r>
      <w:r w:rsidRPr="009B3506">
        <w:rPr>
          <w:i/>
        </w:rPr>
        <w:t xml:space="preserve">See Transition Progress Report </w:t>
      </w:r>
      <w:r w:rsidRPr="009B3506">
        <w:rPr>
          <w:i/>
        </w:rPr>
        <w:t xml:space="preserve">for Reimbursable Stations </w:t>
      </w:r>
      <w:r w:rsidRPr="009B3506">
        <w:rPr>
          <w:i/>
        </w:rPr>
        <w:t>Public Notice</w:t>
      </w:r>
      <w:r w:rsidRPr="009B3506">
        <w:t>, 32 FCC Rcd at 258-59, n.17.</w:t>
      </w:r>
    </w:p>
  </w:footnote>
  <w:footnote w:id="53">
    <w:p w:rsidR="00B75047" w:rsidRPr="009B3506" w:rsidP="009B3506">
      <w:pPr>
        <w:pStyle w:val="FootnoteText"/>
      </w:pPr>
      <w:r w:rsidRPr="009B3506">
        <w:rPr>
          <w:rStyle w:val="FootnoteReference"/>
          <w:sz w:val="20"/>
        </w:rPr>
        <w:footnoteRef/>
      </w:r>
      <w:r w:rsidRPr="009B3506">
        <w:t xml:space="preserve"> Stations were required to implement their channel sharing agreements on the repacked host station’s pre-auction channel and could not delay sharin</w:t>
      </w:r>
      <w:r w:rsidRPr="009B3506">
        <w:t xml:space="preserve">g until the host station’s post-auction facility was constructed.  </w:t>
      </w:r>
      <w:r w:rsidRPr="009B3506">
        <w:rPr>
          <w:i/>
        </w:rPr>
        <w:t>See Incentive Auction R&amp;O</w:t>
      </w:r>
      <w:r w:rsidRPr="009B3506">
        <w:t>, 29 FCC Rcd at 6795-96, para. 558.  With limited exception, all channel sharing stations have now implemented their channel sharing arrangements and commenced shar</w:t>
      </w:r>
      <w:r w:rsidRPr="009B3506">
        <w:t>ed operations.</w:t>
      </w:r>
    </w:p>
  </w:footnote>
  <w:footnote w:id="54">
    <w:p w:rsidR="00B75047" w:rsidRPr="009B3506" w:rsidP="009B3506">
      <w:pPr>
        <w:pStyle w:val="FootnoteText"/>
      </w:pPr>
      <w:r w:rsidRPr="009B3506">
        <w:rPr>
          <w:rStyle w:val="FootnoteReference"/>
          <w:sz w:val="20"/>
        </w:rPr>
        <w:footnoteRef/>
      </w:r>
      <w:r w:rsidRPr="009B3506">
        <w:t xml:space="preserve"> </w:t>
      </w:r>
      <w:r w:rsidRPr="009B3506">
        <w:rPr>
          <w:i/>
        </w:rPr>
        <w:t xml:space="preserve">See </w:t>
      </w:r>
      <w:r w:rsidRPr="009B3506">
        <w:rPr>
          <w:i/>
        </w:rPr>
        <w:t>supra</w:t>
      </w:r>
      <w:r w:rsidRPr="009B3506">
        <w:rPr>
          <w:i/>
        </w:rPr>
        <w:t>,</w:t>
      </w:r>
      <w:r w:rsidRPr="009B3506">
        <w:rPr>
          <w:i/>
        </w:rPr>
        <w:t xml:space="preserve"> </w:t>
      </w:r>
      <w:r w:rsidRPr="009B3506">
        <w:t xml:space="preserve">paras. </w:t>
      </w:r>
      <w:r>
        <w:t>15-17</w:t>
      </w:r>
      <w:r w:rsidRPr="009B3506">
        <w:t>.</w:t>
      </w:r>
    </w:p>
  </w:footnote>
  <w:footnote w:id="55">
    <w:p w:rsidR="00B75047" w:rsidRPr="009B3506" w:rsidP="009B3506">
      <w:pPr>
        <w:pStyle w:val="FootnoteText"/>
        <w:widowControl w:val="0"/>
      </w:pPr>
      <w:r w:rsidRPr="009B3506">
        <w:rPr>
          <w:rStyle w:val="FootnoteReference"/>
          <w:sz w:val="20"/>
        </w:rPr>
        <w:footnoteRef/>
      </w:r>
      <w:r w:rsidRPr="009B3506">
        <w:t xml:space="preserve"> Such applications will be considered minor changes and will be subject to filing fees.  Please note, these filing instructions differ from those provided in the </w:t>
      </w:r>
      <w:r w:rsidRPr="009B3506">
        <w:rPr>
          <w:i/>
        </w:rPr>
        <w:t>Broadcast Transition Procedures Public Notice</w:t>
      </w:r>
      <w:r w:rsidRPr="009B3506">
        <w:t xml:space="preserve"> for channel </w:t>
      </w:r>
      <w:r>
        <w:t>sharee that implemented channel sharing on a repacked host station’s pre-auction channel</w:t>
      </w:r>
      <w:r w:rsidRPr="009B3506">
        <w:t>.</w:t>
      </w:r>
      <w:r>
        <w:t xml:space="preserve">  Failure to follow the instructions set forth in this Public Notice could result </w:t>
      </w:r>
      <w:r>
        <w:t xml:space="preserve">in </w:t>
      </w:r>
      <w:r>
        <w:t>application processing delays and the need to file additional applica</w:t>
      </w:r>
      <w:r>
        <w:t>tions.</w:t>
      </w:r>
    </w:p>
  </w:footnote>
  <w:footnote w:id="56">
    <w:p w:rsidR="00B75047" w:rsidRPr="009B3506" w:rsidP="009B3506">
      <w:pPr>
        <w:pStyle w:val="FootnoteText"/>
      </w:pPr>
      <w:r w:rsidRPr="009B3506">
        <w:rPr>
          <w:rStyle w:val="FootnoteReference"/>
          <w:sz w:val="20"/>
        </w:rPr>
        <w:footnoteRef/>
      </w:r>
      <w:r w:rsidRPr="009B3506">
        <w:t xml:space="preserve"> Upon implementation of the channel sharing arrangement, the host and all sharee stations were required, within 10 days of commencement of operation of the shared facilities </w:t>
      </w:r>
      <w:r>
        <w:t>via</w:t>
      </w:r>
      <w:r w:rsidRPr="009B3506">
        <w:t xml:space="preserve"> </w:t>
      </w:r>
      <w:r w:rsidRPr="009B3506">
        <w:t>program test authority, to submit applications for license on FCC Form</w:t>
      </w:r>
      <w:r w:rsidRPr="009B3506">
        <w:t xml:space="preserve"> 2100 –Schedule B (full power stations) and Schedule F (Class A stations) via LMS.</w:t>
      </w:r>
    </w:p>
  </w:footnote>
  <w:footnote w:id="57">
    <w:p w:rsidR="00B75047" w:rsidRPr="009B3506" w:rsidP="009B3506">
      <w:pPr>
        <w:pStyle w:val="FootnoteText"/>
        <w:widowControl w:val="0"/>
      </w:pPr>
      <w:r w:rsidRPr="009B3506">
        <w:rPr>
          <w:rStyle w:val="FootnoteReference"/>
          <w:sz w:val="20"/>
        </w:rPr>
        <w:footnoteRef/>
      </w:r>
      <w:r w:rsidRPr="009B3506">
        <w:t xml:space="preserve"> LMS requires that the filer certify that all channel sharing stations consent to the filing of the application.  Because sharee stations will be operating from the same post-auction facility as the repacked host station, sharee stations are not required t</w:t>
      </w:r>
      <w:r w:rsidRPr="009B3506">
        <w:t>o file Transition Progress Reports.  Furthermore, only the host station needs to file a request for waiver and modification of assigned phase change so long as a signed letter of consent from each licensee that is a party to the channel sharing arrangement</w:t>
      </w:r>
      <w:r w:rsidRPr="009B3506">
        <w:t xml:space="preserve"> is included with the request.  All other applications and filings discussed in this Public Notice, including but not limited to requests for an engineering STA, STA for silent authority, and a request for Construction Permit Extension, must be individuall</w:t>
      </w:r>
      <w:r w:rsidRPr="009B3506">
        <w:t>y filed by both the host station and any sharee station.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4B8" w:rsidRPr="00C26BAF"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Pr>
        <w:rFonts w:ascii="Times New Roman" w:hAnsi="Times New Roman"/>
        <w:b/>
        <w:sz w:val="22"/>
        <w:szCs w:val="22"/>
      </w:rPr>
      <w:t>18-</w:t>
    </w:r>
    <w:r>
      <w:rPr>
        <w:rFonts w:ascii="Times New Roman" w:hAnsi="Times New Roman"/>
        <w:b/>
        <w:sz w:val="22"/>
        <w:szCs w:val="22"/>
      </w:rPr>
      <w:t>884</w:t>
    </w:r>
  </w:p>
  <w:p w:rsidR="00BE04B8" w:rsidRPr="00C26BAF"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BE04B8" w:rsidRPr="00C26BAF" w:rsidP="00C26BAF">
    <w:pPr>
      <w:rPr>
        <w:b/>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04B8" w:rsidRPr="00BA6E7A" w:rsidP="00C26BA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04B8"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BE04B8"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BE04B8" w:rsidRPr="00C26BAF" w:rsidP="00C26BA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E04B8" w:rsidP="00C26BAF">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E04B8" w:rsidP="00C26BAF">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3584A55"/>
    <w:multiLevelType w:val="hybridMultilevel"/>
    <w:tmpl w:val="ECF63C4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CCF7187"/>
    <w:multiLevelType w:val="hybridMultilevel"/>
    <w:tmpl w:val="1A62A7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8477025"/>
    <w:multiLevelType w:val="multilevel"/>
    <w:tmpl w:val="32B6FEE6"/>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8A148C9"/>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9">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44744FBD"/>
    <w:multiLevelType w:val="multilevel"/>
    <w:tmpl w:val="2106435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AFE0148"/>
    <w:multiLevelType w:val="hybridMultilevel"/>
    <w:tmpl w:val="C2DE582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60D7748A"/>
    <w:multiLevelType w:val="hybridMultilevel"/>
    <w:tmpl w:val="5928B3E6"/>
    <w:lvl w:ilvl="0">
      <w:start w:val="1"/>
      <w:numFmt w:val="decimal"/>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182925"/>
    <w:multiLevelType w:val="multilevel"/>
    <w:tmpl w:val="5142ABDC"/>
    <w:lvl w:ilvl="0">
      <w:start w:val="1"/>
      <w:numFmt w:val="decimal"/>
      <w:pStyle w:val="ParaNum0"/>
      <w:lvlText w:val="%1."/>
      <w:lvlJc w:val="left"/>
      <w:pPr>
        <w:tabs>
          <w:tab w:val="num" w:pos="1080"/>
        </w:tabs>
        <w:ind w:left="0" w:firstLine="720"/>
      </w:pPr>
      <w:rPr>
        <w:b w:val="0"/>
        <w:i w:val="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3E45C16"/>
    <w:multiLevelType w:val="hybridMultilevel"/>
    <w:tmpl w:val="DFE4CA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9AF2CD6"/>
    <w:multiLevelType w:val="hybridMultilevel"/>
    <w:tmpl w:val="6E88B6C8"/>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0">
    <w:nsid w:val="6BB72B43"/>
    <w:multiLevelType w:val="multilevel"/>
    <w:tmpl w:val="0882B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C374811"/>
    <w:multiLevelType w:val="hybridMultilevel"/>
    <w:tmpl w:val="FB082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EEA59B1"/>
    <w:multiLevelType w:val="hybridMultilevel"/>
    <w:tmpl w:val="6C824C4E"/>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F125259"/>
    <w:multiLevelType w:val="hybridMultilevel"/>
    <w:tmpl w:val="48C2C51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3"/>
  </w:num>
  <w:num w:numId="3">
    <w:abstractNumId w:val="10"/>
  </w:num>
  <w:num w:numId="4">
    <w:abstractNumId w:val="5"/>
  </w:num>
  <w:num w:numId="5">
    <w:abstractNumId w:val="17"/>
  </w:num>
  <w:num w:numId="6">
    <w:abstractNumId w:val="4"/>
  </w:num>
  <w:num w:numId="7">
    <w:abstractNumId w:val="7"/>
  </w:num>
  <w:num w:numId="8">
    <w:abstractNumId w:val="0"/>
  </w:num>
  <w:num w:numId="9">
    <w:abstractNumId w:val="24"/>
  </w:num>
  <w:num w:numId="10">
    <w:abstractNumId w:val="9"/>
  </w:num>
  <w:num w:numId="11">
    <w:abstractNumId w:val="12"/>
  </w:num>
  <w:num w:numId="12">
    <w:abstractNumId w:val="3"/>
  </w:num>
  <w:num w:numId="13">
    <w:abstractNumId w:val="8"/>
  </w:num>
  <w:num w:numId="14">
    <w:abstractNumId w:val="22"/>
  </w:num>
  <w:num w:numId="15">
    <w:abstractNumId w:val="20"/>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15"/>
  </w:num>
  <w:num w:numId="21">
    <w:abstractNumId w:val="17"/>
  </w:num>
  <w:num w:numId="22">
    <w:abstractNumId w:val="17"/>
  </w:num>
  <w:num w:numId="23">
    <w:abstractNumId w:val="2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6"/>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link w:val="CommentTextChar"/>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table" w:styleId="TableGrid">
    <w:name w:val="Table Grid"/>
    <w:basedOn w:val="TableNormal"/>
    <w:rsid w:val="009B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86483"/>
    <w:rPr>
      <w:color w:val="808080"/>
      <w:shd w:val="clear" w:color="auto" w:fill="E6E6E6"/>
    </w:rPr>
  </w:style>
  <w:style w:type="character" w:customStyle="1" w:styleId="CommentTextChar">
    <w:name w:val="Comment Text Char"/>
    <w:basedOn w:val="DefaultParagraphFont"/>
    <w:link w:val="CommentText"/>
    <w:semiHidden/>
    <w:rsid w:val="00B7504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