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b/>
                <w:spacing w:val="-2"/>
              </w:rPr>
            </w:pPr>
            <w:r>
              <w:rPr>
                <w:b/>
                <w:spacing w:val="-2"/>
              </w:rPr>
              <w:t>Border Media Licenses</w:t>
            </w:r>
            <w:r w:rsidR="003204F9">
              <w:rPr>
                <w:b/>
                <w:spacing w:val="-2"/>
              </w:rPr>
              <w:t xml:space="preserve"> LLC</w:t>
            </w:r>
          </w:p>
          <w:p w:rsidR="00181218" w:rsidP="007115F7">
            <w:pPr>
              <w:tabs>
                <w:tab w:val="center" w:pos="4680"/>
              </w:tabs>
              <w:suppressAutoHyphens/>
              <w:rPr>
                <w:b/>
                <w:spacing w:val="-2"/>
              </w:rPr>
            </w:pPr>
          </w:p>
          <w:p w:rsidR="00FA26D8" w:rsidP="005B7936">
            <w:pPr>
              <w:tabs>
                <w:tab w:val="center" w:pos="4680"/>
              </w:tabs>
              <w:suppressAutoHyphens/>
              <w:rPr>
                <w:spacing w:val="-2"/>
              </w:rPr>
            </w:pPr>
            <w:r>
              <w:rPr>
                <w:spacing w:val="-2"/>
              </w:rPr>
              <w:t xml:space="preserve">Application for Consent to </w:t>
            </w:r>
            <w:r w:rsidR="001125A3">
              <w:rPr>
                <w:spacing w:val="-2"/>
              </w:rPr>
              <w:t>Assignment</w:t>
            </w:r>
            <w:r>
              <w:rPr>
                <w:spacing w:val="-2"/>
              </w:rPr>
              <w:t xml:space="preserve"> of License</w:t>
            </w:r>
          </w:p>
          <w:p w:rsidR="00FA26D8" w:rsidP="005B7936">
            <w:pPr>
              <w:tabs>
                <w:tab w:val="center" w:pos="4680"/>
              </w:tabs>
              <w:suppressAutoHyphens/>
              <w:rPr>
                <w:spacing w:val="-2"/>
              </w:rPr>
            </w:pPr>
          </w:p>
          <w:p w:rsidR="00FA26D8" w:rsidP="005B7936">
            <w:pPr>
              <w:tabs>
                <w:tab w:val="center" w:pos="4680"/>
              </w:tabs>
              <w:suppressAutoHyphens/>
              <w:rPr>
                <w:spacing w:val="-2"/>
              </w:rPr>
            </w:pPr>
            <w:r>
              <w:rPr>
                <w:spacing w:val="-2"/>
              </w:rPr>
              <w:t>and</w:t>
            </w:r>
          </w:p>
          <w:p w:rsidR="00FA26D8" w:rsidP="005B7936">
            <w:pPr>
              <w:tabs>
                <w:tab w:val="center" w:pos="4680"/>
              </w:tabs>
              <w:suppressAutoHyphens/>
              <w:rPr>
                <w:spacing w:val="-2"/>
              </w:rPr>
            </w:pPr>
          </w:p>
          <w:p w:rsidR="005B7936" w:rsidRPr="00181218" w:rsidP="005B7936">
            <w:pPr>
              <w:tabs>
                <w:tab w:val="center" w:pos="4680"/>
              </w:tabs>
              <w:suppressAutoHyphens/>
              <w:rPr>
                <w:spacing w:val="-2"/>
              </w:rPr>
            </w:pPr>
            <w:r>
              <w:rPr>
                <w:spacing w:val="-2"/>
              </w:rPr>
              <w:t>Petition for Declaratory Ruling</w:t>
            </w:r>
            <w:r w:rsidR="00DF5C9E">
              <w:rPr>
                <w:spacing w:val="-2"/>
              </w:rPr>
              <w:t xml:space="preserve"> Under Section </w:t>
            </w:r>
          </w:p>
          <w:p w:rsidR="00181218" w:rsidP="007115F7">
            <w:pPr>
              <w:tabs>
                <w:tab w:val="center" w:pos="4680"/>
              </w:tabs>
              <w:suppressAutoHyphens/>
              <w:rPr>
                <w:spacing w:val="-2"/>
              </w:rPr>
            </w:pPr>
            <w:r>
              <w:rPr>
                <w:spacing w:val="-2"/>
              </w:rPr>
              <w:t>310(b)(4) of the Communications</w:t>
            </w:r>
            <w:r w:rsidR="00212F11">
              <w:rPr>
                <w:spacing w:val="-2"/>
              </w:rPr>
              <w:t xml:space="preserve"> Act of 1934, as A</w:t>
            </w:r>
            <w:r>
              <w:rPr>
                <w:spacing w:val="-2"/>
              </w:rPr>
              <w:t>mended</w:t>
            </w:r>
          </w:p>
          <w:p w:rsidR="00EA2E8E" w:rsidP="007115F7">
            <w:pPr>
              <w:tabs>
                <w:tab w:val="center" w:pos="4680"/>
              </w:tabs>
              <w:suppressAutoHyphens/>
              <w:rPr>
                <w:spacing w:val="-2"/>
              </w:rPr>
            </w:pPr>
          </w:p>
          <w:p w:rsidR="00EA2E8E" w:rsidRPr="00181218" w:rsidP="007115F7">
            <w:pPr>
              <w:tabs>
                <w:tab w:val="center" w:pos="4680"/>
              </w:tabs>
              <w:suppressAutoHyphens/>
              <w:rPr>
                <w:spacing w:val="-2"/>
              </w:rPr>
            </w:pP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9F0EDC">
            <w:pPr>
              <w:tabs>
                <w:tab w:val="center" w:pos="4680"/>
              </w:tabs>
              <w:suppressAutoHyphens/>
              <w:rPr>
                <w:b/>
                <w:spacing w:val="-2"/>
              </w:rPr>
            </w:pPr>
            <w:r>
              <w:rPr>
                <w:b/>
                <w:spacing w:val="-2"/>
              </w:rPr>
              <w:t>)</w:t>
            </w:r>
          </w:p>
          <w:p w:rsidR="009F0EDC">
            <w:pPr>
              <w:tabs>
                <w:tab w:val="center" w:pos="4680"/>
              </w:tabs>
              <w:suppressAutoHyphens/>
              <w:rPr>
                <w:b/>
                <w:spacing w:val="-2"/>
              </w:rPr>
            </w:pPr>
            <w:r>
              <w:rPr>
                <w:b/>
                <w:spacing w:val="-2"/>
              </w:rPr>
              <w:t>)</w:t>
            </w:r>
          </w:p>
          <w:p w:rsidR="009F0EDC">
            <w:pPr>
              <w:tabs>
                <w:tab w:val="center" w:pos="4680"/>
              </w:tabs>
              <w:suppressAutoHyphens/>
              <w:rPr>
                <w:b/>
                <w:spacing w:val="-2"/>
              </w:rPr>
            </w:pPr>
            <w:r>
              <w:rPr>
                <w:b/>
                <w:spacing w:val="-2"/>
              </w:rPr>
              <w:t>)</w:t>
            </w:r>
          </w:p>
          <w:p w:rsidR="009F0EDC">
            <w:pPr>
              <w:tabs>
                <w:tab w:val="center" w:pos="4680"/>
              </w:tabs>
              <w:suppressAutoHyphens/>
              <w:rPr>
                <w:b/>
                <w:spacing w:val="-2"/>
              </w:rPr>
            </w:pPr>
            <w:r>
              <w:rPr>
                <w:b/>
                <w:spacing w:val="-2"/>
              </w:rPr>
              <w:t>)</w:t>
            </w:r>
          </w:p>
          <w:p w:rsidR="009F0EDC">
            <w:pPr>
              <w:tabs>
                <w:tab w:val="center" w:pos="4680"/>
              </w:tabs>
              <w:suppressAutoHyphens/>
              <w:rPr>
                <w:b/>
                <w:spacing w:val="-2"/>
              </w:rPr>
            </w:pPr>
            <w:r>
              <w:rPr>
                <w:b/>
                <w:spacing w:val="-2"/>
              </w:rPr>
              <w:t>)</w:t>
            </w:r>
          </w:p>
          <w:p w:rsidR="009F0EDC" w:rsidRPr="00181218">
            <w:pPr>
              <w:tabs>
                <w:tab w:val="center" w:pos="4680"/>
              </w:tabs>
              <w:suppressAutoHyphens/>
              <w:rPr>
                <w:b/>
                <w:spacing w:val="-2"/>
              </w:rPr>
            </w:pPr>
          </w:p>
        </w:tc>
        <w:tc>
          <w:tcPr>
            <w:tcW w:w="4248" w:type="dxa"/>
          </w:tcPr>
          <w:p w:rsidR="004C2EE3">
            <w:pPr>
              <w:tabs>
                <w:tab w:val="center" w:pos="4680"/>
              </w:tabs>
              <w:suppressAutoHyphens/>
              <w:rPr>
                <w:spacing w:val="-2"/>
              </w:rPr>
            </w:pPr>
          </w:p>
          <w:p w:rsidR="003D6FCD">
            <w:pPr>
              <w:pStyle w:val="TOAHeading"/>
              <w:tabs>
                <w:tab w:val="center" w:pos="4680"/>
                <w:tab w:val="clear" w:pos="9360"/>
              </w:tabs>
              <w:rPr>
                <w:spacing w:val="-2"/>
              </w:rPr>
            </w:pPr>
          </w:p>
          <w:p w:rsidR="003D6FCD">
            <w:pPr>
              <w:pStyle w:val="TOAHeading"/>
              <w:tabs>
                <w:tab w:val="center" w:pos="4680"/>
                <w:tab w:val="clear" w:pos="9360"/>
              </w:tabs>
              <w:rPr>
                <w:spacing w:val="-2"/>
              </w:rPr>
            </w:pPr>
            <w:r>
              <w:rPr>
                <w:spacing w:val="-2"/>
              </w:rPr>
              <w:t>WRGR(</w:t>
            </w:r>
            <w:r w:rsidR="006541E8">
              <w:rPr>
                <w:spacing w:val="-2"/>
              </w:rPr>
              <w:t>FM)</w:t>
            </w:r>
            <w:r>
              <w:rPr>
                <w:spacing w:val="-2"/>
              </w:rPr>
              <w:t xml:space="preserve">, </w:t>
            </w:r>
            <w:r>
              <w:rPr>
                <w:spacing w:val="-2"/>
              </w:rPr>
              <w:t>Tupper Lake, NY</w:t>
            </w:r>
          </w:p>
          <w:p w:rsidR="003D6FCD" w:rsidRPr="003D6FCD" w:rsidP="003D6FCD">
            <w:r>
              <w:t xml:space="preserve">Facility ID No. </w:t>
            </w:r>
            <w:r w:rsidR="00530BE0">
              <w:t>56078</w:t>
            </w:r>
          </w:p>
          <w:p w:rsidR="003D6FCD" w:rsidRPr="000A562F">
            <w:pPr>
              <w:pStyle w:val="TOAHeading"/>
              <w:tabs>
                <w:tab w:val="center" w:pos="4680"/>
                <w:tab w:val="clear" w:pos="9360"/>
              </w:tabs>
              <w:rPr>
                <w:i/>
                <w:spacing w:val="-2"/>
              </w:rPr>
            </w:pPr>
            <w:r>
              <w:rPr>
                <w:spacing w:val="-2"/>
              </w:rPr>
              <w:t xml:space="preserve">File No. </w:t>
            </w:r>
            <w:r w:rsidRPr="003D6FCD">
              <w:rPr>
                <w:spacing w:val="-2"/>
              </w:rPr>
              <w:t>B</w:t>
            </w:r>
            <w:r w:rsidR="001125A3">
              <w:rPr>
                <w:spacing w:val="-2"/>
              </w:rPr>
              <w:t>ALH</w:t>
            </w:r>
            <w:r w:rsidRPr="003D6FCD">
              <w:rPr>
                <w:spacing w:val="-2"/>
              </w:rPr>
              <w:t>-201</w:t>
            </w:r>
            <w:r w:rsidR="001125A3">
              <w:rPr>
                <w:spacing w:val="-2"/>
              </w:rPr>
              <w:t>802</w:t>
            </w:r>
            <w:r w:rsidR="00460DA4">
              <w:rPr>
                <w:spacing w:val="-2"/>
              </w:rPr>
              <w:t>0</w:t>
            </w:r>
            <w:r w:rsidR="001125A3">
              <w:rPr>
                <w:spacing w:val="-2"/>
              </w:rPr>
              <w:t>9</w:t>
            </w:r>
            <w:r w:rsidR="001704DF">
              <w:rPr>
                <w:spacing w:val="-2"/>
              </w:rPr>
              <w:t>ABO</w:t>
            </w:r>
          </w:p>
          <w:p w:rsidR="003D6FCD">
            <w:pPr>
              <w:pStyle w:val="TOAHeading"/>
              <w:tabs>
                <w:tab w:val="center" w:pos="4680"/>
                <w:tab w:val="clear" w:pos="9360"/>
              </w:tabs>
              <w:rPr>
                <w:spacing w:val="-2"/>
              </w:rPr>
            </w:pPr>
          </w:p>
          <w:p w:rsidR="00A55A55">
            <w:pPr>
              <w:tabs>
                <w:tab w:val="center" w:pos="4680"/>
              </w:tabs>
              <w:suppressAutoHyphens/>
              <w:rPr>
                <w:spacing w:val="-2"/>
              </w:rPr>
            </w:pPr>
            <w:bookmarkStart w:id="0" w:name="_GoBack"/>
            <w:r w:rsidRPr="009F0EDC">
              <w:rPr>
                <w:snapToGrid/>
                <w:kern w:val="0"/>
                <w:szCs w:val="22"/>
              </w:rPr>
              <w:t>MB Docket 1</w:t>
            </w:r>
            <w:r w:rsidR="0021482E">
              <w:rPr>
                <w:snapToGrid/>
                <w:kern w:val="0"/>
                <w:szCs w:val="22"/>
              </w:rPr>
              <w:t>8</w:t>
            </w:r>
            <w:r w:rsidRPr="009F0EDC">
              <w:rPr>
                <w:snapToGrid/>
                <w:kern w:val="0"/>
                <w:szCs w:val="22"/>
              </w:rPr>
              <w:t>-</w:t>
            </w:r>
            <w:r w:rsidR="0021482E">
              <w:rPr>
                <w:snapToGrid/>
                <w:kern w:val="0"/>
                <w:szCs w:val="22"/>
              </w:rPr>
              <w:t>66</w:t>
            </w:r>
            <w:bookmarkEnd w:id="0"/>
          </w:p>
        </w:tc>
      </w:tr>
    </w:tbl>
    <w:p w:rsidR="004C2EE3" w:rsidP="0070224F"/>
    <w:p w:rsidR="00841AB1" w:rsidP="00F021FA">
      <w:pPr>
        <w:pStyle w:val="StyleBoldCentered"/>
      </w:pPr>
      <w:r>
        <w:t>D</w:t>
      </w:r>
      <w:r w:rsidR="00F64575">
        <w:t>ECLARATORY RULING</w:t>
      </w:r>
      <w:r w:rsidR="00550E8F">
        <w:t xml:space="preserve"> AND 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BA63E4">
        <w:rPr>
          <w:b/>
          <w:spacing w:val="-2"/>
        </w:rPr>
        <w:t xml:space="preserve">August </w:t>
      </w:r>
      <w:r w:rsidR="00BD4D2C">
        <w:rPr>
          <w:b/>
          <w:spacing w:val="-2"/>
        </w:rPr>
        <w:t>28</w:t>
      </w:r>
      <w:r w:rsidR="006D4D3C">
        <w:rPr>
          <w:b/>
          <w:spacing w:val="-2"/>
        </w:rPr>
        <w:t>,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A63E4">
        <w:rPr>
          <w:b/>
          <w:spacing w:val="-2"/>
        </w:rPr>
        <w:t xml:space="preserve">August </w:t>
      </w:r>
      <w:r w:rsidR="00BD4D2C">
        <w:rPr>
          <w:b/>
          <w:spacing w:val="-2"/>
        </w:rPr>
        <w:t>28</w:t>
      </w:r>
      <w:r w:rsidR="006D4D3C">
        <w:rPr>
          <w:b/>
          <w:spacing w:val="-2"/>
        </w:rPr>
        <w:t>, 2018</w:t>
      </w:r>
    </w:p>
    <w:p w:rsidR="00822CE0"/>
    <w:p w:rsidR="002C00E8" w:rsidP="00AF5298">
      <w:pPr>
        <w:rPr>
          <w:spacing w:val="-2"/>
        </w:rPr>
      </w:pPr>
      <w:r>
        <w:t xml:space="preserve">By </w:t>
      </w:r>
      <w:r w:rsidR="004E4A22">
        <w:t>the</w:t>
      </w:r>
      <w:r w:rsidR="002A2D2E">
        <w:t xml:space="preserve"> </w:t>
      </w:r>
      <w:r w:rsidR="00F64575">
        <w:rPr>
          <w:spacing w:val="-2"/>
        </w:rPr>
        <w:t xml:space="preserve">Chief, </w:t>
      </w:r>
      <w:r w:rsidR="003F012C">
        <w:rPr>
          <w:spacing w:val="-2"/>
        </w:rPr>
        <w:t xml:space="preserve">Audio Division, </w:t>
      </w:r>
      <w:r w:rsidR="00F64575">
        <w:rPr>
          <w:spacing w:val="-2"/>
        </w:rPr>
        <w:t>Media Bureau</w:t>
      </w:r>
      <w:r>
        <w:rPr>
          <w:spacing w:val="-2"/>
        </w:rPr>
        <w:t>:</w:t>
      </w:r>
    </w:p>
    <w:p w:rsidR="005E59D3" w:rsidP="00AF5298">
      <w:pPr>
        <w:rPr>
          <w:spacing w:val="-2"/>
        </w:rPr>
      </w:pPr>
    </w:p>
    <w:p w:rsidR="00AF5298" w:rsidRPr="00DB5EEE" w:rsidP="00DB5EEE">
      <w:pPr>
        <w:pStyle w:val="Heading1"/>
        <w:rPr>
          <w:spacing w:val="-2"/>
        </w:rPr>
      </w:pPr>
      <w:r w:rsidRPr="005E59D3">
        <w:t>INTRODUCTION</w:t>
      </w:r>
    </w:p>
    <w:p w:rsidR="005E59D3" w:rsidP="004F0B44">
      <w:pPr>
        <w:pStyle w:val="ParaNum"/>
        <w:ind w:left="0"/>
      </w:pPr>
      <w:r>
        <w:t xml:space="preserve">In this </w:t>
      </w:r>
      <w:r w:rsidRPr="00212F11" w:rsidR="00212F11">
        <w:rPr>
          <w:i/>
        </w:rPr>
        <w:t>Declaratory Ruling</w:t>
      </w:r>
      <w:r w:rsidR="002A4DB1">
        <w:rPr>
          <w:i/>
        </w:rPr>
        <w:t xml:space="preserve"> and Memorandum Opinion and Order</w:t>
      </w:r>
      <w:r w:rsidR="00161F7B">
        <w:rPr>
          <w:i/>
        </w:rPr>
        <w:t>,</w:t>
      </w:r>
      <w:r>
        <w:rPr>
          <w:rStyle w:val="FootnoteReference"/>
          <w:i/>
        </w:rPr>
        <w:footnoteReference w:id="3"/>
      </w:r>
      <w:r w:rsidR="00AD05CD">
        <w:t xml:space="preserve"> the Media Bureau </w:t>
      </w:r>
      <w:r w:rsidR="00896F2B">
        <w:t xml:space="preserve">(Bureau) </w:t>
      </w:r>
      <w:r w:rsidR="00AD05CD">
        <w:t>a</w:t>
      </w:r>
      <w:r w:rsidR="005B7936">
        <w:t>ddresses a</w:t>
      </w:r>
      <w:r w:rsidR="00AD05CD">
        <w:t xml:space="preserve"> petition for declaratory ru</w:t>
      </w:r>
      <w:r w:rsidR="00591D03">
        <w:t>ling</w:t>
      </w:r>
      <w:r w:rsidR="007058E5">
        <w:t xml:space="preserve"> (Petition)</w:t>
      </w:r>
      <w:r w:rsidR="00591D03">
        <w:t xml:space="preserve"> filed by </w:t>
      </w:r>
      <w:r w:rsidR="001125A3">
        <w:t>Border Media Licenses LLC</w:t>
      </w:r>
      <w:r w:rsidR="004A1161">
        <w:t xml:space="preserve"> (</w:t>
      </w:r>
      <w:r w:rsidR="001125A3">
        <w:t>BML or Petitioner)</w:t>
      </w:r>
      <w:r w:rsidR="00DE6E60">
        <w:t xml:space="preserve"> </w:t>
      </w:r>
      <w:r w:rsidR="009618F0">
        <w:t xml:space="preserve">on </w:t>
      </w:r>
      <w:r w:rsidR="001704DF">
        <w:t>February 9</w:t>
      </w:r>
      <w:r w:rsidR="00B563F3">
        <w:t>, 201</w:t>
      </w:r>
      <w:r w:rsidR="001704DF">
        <w:t>8</w:t>
      </w:r>
      <w:r w:rsidR="002D3988">
        <w:t>.</w:t>
      </w:r>
      <w:r w:rsidR="006E377A">
        <w:t xml:space="preserve">  </w:t>
      </w:r>
      <w:r w:rsidRPr="00B039CF" w:rsidR="001704DF">
        <w:rPr>
          <w:szCs w:val="22"/>
        </w:rPr>
        <w:t xml:space="preserve">The Petition </w:t>
      </w:r>
      <w:r w:rsidR="001704DF">
        <w:rPr>
          <w:szCs w:val="22"/>
        </w:rPr>
        <w:t>was</w:t>
      </w:r>
      <w:r w:rsidRPr="00B039CF" w:rsidR="001704DF">
        <w:rPr>
          <w:szCs w:val="22"/>
        </w:rPr>
        <w:t xml:space="preserve"> filed in connection with </w:t>
      </w:r>
      <w:r w:rsidR="001704DF">
        <w:rPr>
          <w:szCs w:val="22"/>
        </w:rPr>
        <w:t>the above-captioned</w:t>
      </w:r>
      <w:r w:rsidRPr="00B039CF" w:rsidR="001704DF">
        <w:rPr>
          <w:szCs w:val="22"/>
        </w:rPr>
        <w:t xml:space="preserve"> application</w:t>
      </w:r>
      <w:r w:rsidR="00154DF5">
        <w:rPr>
          <w:szCs w:val="22"/>
        </w:rPr>
        <w:t xml:space="preserve"> (Application)</w:t>
      </w:r>
      <w:r w:rsidRPr="00B039CF" w:rsidR="001704DF">
        <w:rPr>
          <w:szCs w:val="22"/>
        </w:rPr>
        <w:t xml:space="preserve">, seeking </w:t>
      </w:r>
      <w:r w:rsidR="001704DF">
        <w:rPr>
          <w:szCs w:val="22"/>
        </w:rPr>
        <w:t xml:space="preserve">Commission </w:t>
      </w:r>
      <w:r w:rsidRPr="00B039CF" w:rsidR="001704DF">
        <w:rPr>
          <w:szCs w:val="22"/>
        </w:rPr>
        <w:t xml:space="preserve">consent to the </w:t>
      </w:r>
      <w:r w:rsidR="001704DF">
        <w:rPr>
          <w:szCs w:val="22"/>
        </w:rPr>
        <w:t>assignment of license of FM radio station WRGR(FM)</w:t>
      </w:r>
      <w:r w:rsidR="00BF4289">
        <w:rPr>
          <w:szCs w:val="22"/>
        </w:rPr>
        <w:t>, Tupper Lake, New York,</w:t>
      </w:r>
      <w:r w:rsidR="001704DF">
        <w:rPr>
          <w:szCs w:val="22"/>
        </w:rPr>
        <w:t xml:space="preserve"> from Radio Lake Placid, Inc. to BM</w:t>
      </w:r>
      <w:r w:rsidR="003A5067">
        <w:rPr>
          <w:szCs w:val="22"/>
        </w:rPr>
        <w:t>L.</w:t>
      </w:r>
      <w:r w:rsidR="00BF4289">
        <w:rPr>
          <w:szCs w:val="22"/>
        </w:rPr>
        <w:t xml:space="preserve"> </w:t>
      </w:r>
      <w:r w:rsidR="003A5067">
        <w:rPr>
          <w:szCs w:val="22"/>
        </w:rPr>
        <w:t xml:space="preserve"> </w:t>
      </w:r>
      <w:r w:rsidR="005B7936">
        <w:t xml:space="preserve">The Petition </w:t>
      </w:r>
      <w:r w:rsidR="002D3988">
        <w:t xml:space="preserve">asks </w:t>
      </w:r>
      <w:r w:rsidR="005B7936">
        <w:t xml:space="preserve">the Commission to exercise its discretion to permit </w:t>
      </w:r>
      <w:r w:rsidR="00BF4289">
        <w:t>Border Media LLC, the parent company of BML,</w:t>
      </w:r>
      <w:r w:rsidR="007058E5">
        <w:t xml:space="preserve"> </w:t>
      </w:r>
      <w:r w:rsidR="005B7936">
        <w:t xml:space="preserve">to exceed the 25 percent foreign ownership benchmark set out in Section 310(b)(4) of the Communications Act </w:t>
      </w:r>
      <w:r w:rsidRPr="0074744D" w:rsidR="005B7936">
        <w:t>of 1934, as amended</w:t>
      </w:r>
      <w:r w:rsidR="007058E5">
        <w:t>,</w:t>
      </w:r>
      <w:r w:rsidR="000A562F">
        <w:t xml:space="preserve"> </w:t>
      </w:r>
      <w:r w:rsidR="00371BA2">
        <w:t>(the Act)</w:t>
      </w:r>
      <w:r w:rsidR="007058E5">
        <w:t>,</w:t>
      </w:r>
      <w:r>
        <w:rPr>
          <w:rStyle w:val="FootnoteReference"/>
        </w:rPr>
        <w:footnoteReference w:id="4"/>
      </w:r>
      <w:r w:rsidR="007058E5">
        <w:t xml:space="preserve"> pursuant to Section 310(b)(4)</w:t>
      </w:r>
      <w:r w:rsidR="00485532">
        <w:t>,</w:t>
      </w:r>
      <w:r w:rsidR="00F373E8">
        <w:t xml:space="preserve"> </w:t>
      </w:r>
      <w:r w:rsidR="00485532">
        <w:t xml:space="preserve">Sections 1.5000 </w:t>
      </w:r>
      <w:r w:rsidR="00485532">
        <w:rPr>
          <w:i/>
        </w:rPr>
        <w:t xml:space="preserve">et seq. </w:t>
      </w:r>
      <w:r w:rsidR="00485532">
        <w:t>of the Commission’s rules</w:t>
      </w:r>
      <w:r w:rsidR="00F373E8">
        <w:t>,</w:t>
      </w:r>
      <w:r>
        <w:rPr>
          <w:rStyle w:val="FootnoteReference"/>
        </w:rPr>
        <w:footnoteReference w:id="5"/>
      </w:r>
      <w:r w:rsidRPr="00E956EB" w:rsidR="00E956EB">
        <w:t xml:space="preserve"> and the Commission’s </w:t>
      </w:r>
      <w:r w:rsidR="002A1734">
        <w:t xml:space="preserve">recent </w:t>
      </w:r>
      <w:r w:rsidR="002A1734">
        <w:rPr>
          <w:i/>
        </w:rPr>
        <w:t>Foreign Ownership Order</w:t>
      </w:r>
      <w:r w:rsidR="000A562F">
        <w:t>.</w:t>
      </w:r>
      <w:r>
        <w:rPr>
          <w:rStyle w:val="FootnoteReference"/>
        </w:rPr>
        <w:footnoteReference w:id="6"/>
      </w:r>
      <w:r w:rsidRPr="00A63571" w:rsidR="005B7936">
        <w:rPr>
          <w:vertAlign w:val="superscript"/>
        </w:rPr>
        <w:t xml:space="preserve"> </w:t>
      </w:r>
      <w:r w:rsidR="00BF4289">
        <w:rPr>
          <w:vertAlign w:val="superscript"/>
        </w:rPr>
        <w:t xml:space="preserve"> </w:t>
      </w:r>
      <w:r w:rsidR="00154DF5">
        <w:t>In a</w:t>
      </w:r>
      <w:r w:rsidRPr="002A4DB1" w:rsidR="002A4DB1">
        <w:t>ddition</w:t>
      </w:r>
      <w:r w:rsidR="00BF4289">
        <w:t xml:space="preserve"> to the Petition</w:t>
      </w:r>
      <w:r w:rsidRPr="002A4DB1" w:rsidR="002A4DB1">
        <w:t xml:space="preserve">, we address the above-captioned application seeking Commission consent to the </w:t>
      </w:r>
      <w:r w:rsidR="00BF4289">
        <w:t>assignment of license of WRGR(FM).</w:t>
      </w:r>
      <w:r w:rsidRPr="002A4DB1" w:rsidR="002A4DB1">
        <w:t xml:space="preserve"> </w:t>
      </w:r>
      <w:r w:rsidR="00154DF5">
        <w:t xml:space="preserve"> </w:t>
      </w:r>
      <w:r w:rsidR="00EA2E8E">
        <w:t>The Petition</w:t>
      </w:r>
      <w:r w:rsidR="00D25E3D">
        <w:t xml:space="preserve"> and the Application are</w:t>
      </w:r>
      <w:r w:rsidR="00EA2E8E">
        <w:t xml:space="preserve"> unopposed.  </w:t>
      </w:r>
      <w:r w:rsidRPr="0074744D">
        <w:t xml:space="preserve">As discussed below, we find that it </w:t>
      </w:r>
      <w:r w:rsidR="00862579">
        <w:t>will</w:t>
      </w:r>
      <w:r w:rsidRPr="0074744D" w:rsidR="00862579">
        <w:t xml:space="preserve"> </w:t>
      </w:r>
      <w:r w:rsidRPr="0074744D">
        <w:t xml:space="preserve">serve the public interest to </w:t>
      </w:r>
      <w:r w:rsidR="0004032A">
        <w:t>grant the Petition</w:t>
      </w:r>
      <w:r w:rsidR="00B93DC0">
        <w:t>, subject to the conditions specified below,</w:t>
      </w:r>
      <w:r w:rsidR="005315EC">
        <w:t xml:space="preserve"> and </w:t>
      </w:r>
      <w:r w:rsidR="00B93DC0">
        <w:t xml:space="preserve">the </w:t>
      </w:r>
      <w:r w:rsidR="005315EC">
        <w:t>Application</w:t>
      </w:r>
      <w:r w:rsidR="00437FA4">
        <w:t>.</w:t>
      </w:r>
    </w:p>
    <w:p w:rsidR="009618F0" w:rsidP="00A37BAB">
      <w:pPr>
        <w:pStyle w:val="Heading1"/>
      </w:pPr>
      <w:r>
        <w:t>Background</w:t>
      </w:r>
    </w:p>
    <w:p w:rsidR="00C24B24" w:rsidP="004F0B44">
      <w:pPr>
        <w:pStyle w:val="ParaNum"/>
        <w:ind w:left="0"/>
      </w:pPr>
      <w:r w:rsidRPr="00CD53AB">
        <w:rPr>
          <w:i/>
        </w:rPr>
        <w:t>Foreign Ownership</w:t>
      </w:r>
      <w:r w:rsidRPr="00680CEF">
        <w:rPr>
          <w:i/>
        </w:rPr>
        <w:t xml:space="preserve"> of </w:t>
      </w:r>
      <w:r w:rsidR="001125A3">
        <w:rPr>
          <w:i/>
        </w:rPr>
        <w:t>B</w:t>
      </w:r>
      <w:r w:rsidRPr="00CD53AB">
        <w:rPr>
          <w:i/>
        </w:rPr>
        <w:t>M</w:t>
      </w:r>
      <w:r w:rsidR="001125A3">
        <w:rPr>
          <w:i/>
        </w:rPr>
        <w:t>L</w:t>
      </w:r>
      <w:r w:rsidR="00CD53AB">
        <w:rPr>
          <w:i/>
        </w:rPr>
        <w:t>.</w:t>
      </w:r>
      <w:r w:rsidRPr="00FD3AAD" w:rsidR="00CD53AB">
        <w:t xml:space="preserve">  </w:t>
      </w:r>
      <w:r w:rsidR="00FD3AAD">
        <w:t>In this case, the Petition seek</w:t>
      </w:r>
      <w:r w:rsidR="00815E69">
        <w:t>s</w:t>
      </w:r>
      <w:r w:rsidR="00FD3AAD">
        <w:t xml:space="preserve"> authority for </w:t>
      </w:r>
      <w:r w:rsidR="00815E69">
        <w:rPr>
          <w:szCs w:val="22"/>
        </w:rPr>
        <w:t>Border</w:t>
      </w:r>
      <w:r w:rsidRPr="00B039CF" w:rsidR="00815E69">
        <w:rPr>
          <w:szCs w:val="22"/>
        </w:rPr>
        <w:t xml:space="preserve"> Media</w:t>
      </w:r>
      <w:r w:rsidR="00815E69">
        <w:rPr>
          <w:szCs w:val="22"/>
        </w:rPr>
        <w:t xml:space="preserve"> </w:t>
      </w:r>
      <w:r w:rsidR="00F23E2E">
        <w:rPr>
          <w:szCs w:val="22"/>
        </w:rPr>
        <w:t xml:space="preserve">Licenses </w:t>
      </w:r>
      <w:r w:rsidR="00815E69">
        <w:rPr>
          <w:szCs w:val="22"/>
        </w:rPr>
        <w:t>LLC</w:t>
      </w:r>
      <w:r w:rsidR="00F23E2E">
        <w:rPr>
          <w:szCs w:val="22"/>
        </w:rPr>
        <w:t xml:space="preserve"> (BML)</w:t>
      </w:r>
      <w:r w:rsidR="00815E69">
        <w:rPr>
          <w:szCs w:val="22"/>
        </w:rPr>
        <w:t>, a New York limited liability company</w:t>
      </w:r>
      <w:r w:rsidR="00F23E2E">
        <w:rPr>
          <w:szCs w:val="22"/>
        </w:rPr>
        <w:t xml:space="preserve">, to become the </w:t>
      </w:r>
      <w:r w:rsidR="00815E69">
        <w:rPr>
          <w:szCs w:val="22"/>
        </w:rPr>
        <w:t>proposed new licensee of WRGR(FM)</w:t>
      </w:r>
      <w:r w:rsidR="00F23E2E">
        <w:rPr>
          <w:szCs w:val="22"/>
        </w:rPr>
        <w:t>, Tupper Lake, New York</w:t>
      </w:r>
      <w:r w:rsidR="00815E69">
        <w:rPr>
          <w:szCs w:val="22"/>
        </w:rPr>
        <w:t>.</w:t>
      </w:r>
      <w:r w:rsidR="007C0CE4">
        <w:rPr>
          <w:szCs w:val="22"/>
        </w:rPr>
        <w:t xml:space="preserve">  </w:t>
      </w:r>
      <w:r w:rsidR="007C0CE4">
        <w:t>B</w:t>
      </w:r>
      <w:r w:rsidR="00C871BC">
        <w:rPr>
          <w:szCs w:val="22"/>
        </w:rPr>
        <w:t xml:space="preserve">ML </w:t>
      </w:r>
      <w:r w:rsidR="007C0CE4">
        <w:rPr>
          <w:szCs w:val="22"/>
        </w:rPr>
        <w:t>would be</w:t>
      </w:r>
      <w:r w:rsidR="00C871BC">
        <w:rPr>
          <w:szCs w:val="22"/>
        </w:rPr>
        <w:t xml:space="preserve"> 100 percent owned by </w:t>
      </w:r>
      <w:r w:rsidR="00F23E2E">
        <w:rPr>
          <w:szCs w:val="22"/>
        </w:rPr>
        <w:t xml:space="preserve">parent company </w:t>
      </w:r>
      <w:r w:rsidR="00C871BC">
        <w:rPr>
          <w:szCs w:val="22"/>
        </w:rPr>
        <w:t xml:space="preserve">Border Media LLC, </w:t>
      </w:r>
      <w:r w:rsidR="00F23E2E">
        <w:rPr>
          <w:szCs w:val="22"/>
        </w:rPr>
        <w:t xml:space="preserve">another New York limited company, </w:t>
      </w:r>
      <w:r w:rsidR="00C871BC">
        <w:rPr>
          <w:szCs w:val="22"/>
        </w:rPr>
        <w:t>which, in turn, is owned by two members: Ricki Lee Shorthose, a citizen of the United Kingdom (50 percent voting and equity interest), and Hanna Kaleta, a citizen of Poland (50 percent voting and equity interest).</w:t>
      </w:r>
      <w:r>
        <w:rPr>
          <w:rStyle w:val="FootnoteReference"/>
          <w:szCs w:val="22"/>
        </w:rPr>
        <w:footnoteReference w:id="7"/>
      </w:r>
      <w:r w:rsidR="00C871BC">
        <w:rPr>
          <w:szCs w:val="22"/>
        </w:rPr>
        <w:t xml:space="preserve"> </w:t>
      </w:r>
    </w:p>
    <w:p w:rsidR="00C27256" w:rsidP="00226B00">
      <w:pPr>
        <w:pStyle w:val="ParaNum"/>
        <w:ind w:left="0"/>
      </w:pPr>
      <w:r>
        <w:t>BML</w:t>
      </w:r>
      <w:r w:rsidR="008C0C92">
        <w:t xml:space="preserve"> </w:t>
      </w:r>
      <w:r w:rsidR="00437FA4">
        <w:t>assert</w:t>
      </w:r>
      <w:r w:rsidR="00E139B0">
        <w:t>s</w:t>
      </w:r>
      <w:r w:rsidR="00437FA4">
        <w:t xml:space="preserve"> that grant of the Petition would </w:t>
      </w:r>
      <w:r w:rsidR="00FB0C55">
        <w:t>advance the Commission’s public interest goals of encouraging foreign investment and ownership diversity in broadcasting while</w:t>
      </w:r>
      <w:r>
        <w:t xml:space="preserve"> also “strengthening the broadcast industry, particularly within the Tupper Lake, New York, community where broadcasting service is desperately needed.”</w:t>
      </w:r>
      <w:r>
        <w:rPr>
          <w:rStyle w:val="FootnoteReference"/>
          <w:szCs w:val="22"/>
        </w:rPr>
        <w:footnoteReference w:id="8"/>
      </w:r>
      <w:r w:rsidR="000C079F">
        <w:t xml:space="preserve">  I</w:t>
      </w:r>
      <w:r w:rsidR="000C079F">
        <w:rPr>
          <w:szCs w:val="22"/>
        </w:rPr>
        <w:t>n support of the Petition, BML</w:t>
      </w:r>
      <w:r w:rsidRPr="00B039CF" w:rsidR="000C079F">
        <w:rPr>
          <w:szCs w:val="22"/>
        </w:rPr>
        <w:t xml:space="preserve"> </w:t>
      </w:r>
      <w:r w:rsidR="000C079F">
        <w:rPr>
          <w:szCs w:val="22"/>
        </w:rPr>
        <w:t>details the extensive broadcasting experience of  Managing Member Ricki Lee Shorthose, including his work as co-founder of Aiir, an audio tech company that provides “radio stations with digital tools to manage content on their websites, mobile apps and social media with studio interaction.”</w:t>
      </w:r>
      <w:r>
        <w:rPr>
          <w:rStyle w:val="FootnoteReference"/>
          <w:szCs w:val="22"/>
        </w:rPr>
        <w:footnoteReference w:id="9"/>
      </w:r>
      <w:r w:rsidR="000C079F">
        <w:rPr>
          <w:szCs w:val="22"/>
        </w:rPr>
        <w:t xml:space="preserve">  The Petitioner explains that Mr. Shorthose and his wife, Hanna Kaleta, moved to New York in 2015 to grow the company’s North American business.</w:t>
      </w:r>
      <w:r>
        <w:rPr>
          <w:rStyle w:val="FootnoteReference"/>
          <w:szCs w:val="22"/>
        </w:rPr>
        <w:footnoteReference w:id="10"/>
      </w:r>
      <w:r w:rsidR="000C079F">
        <w:rPr>
          <w:szCs w:val="22"/>
        </w:rPr>
        <w:t xml:space="preserve">  In December 2017, Mr. Shorthose and Ms. Kaleta co-founded B</w:t>
      </w:r>
      <w:r w:rsidR="009A3F3E">
        <w:rPr>
          <w:szCs w:val="22"/>
        </w:rPr>
        <w:t>order Media LLC</w:t>
      </w:r>
      <w:r w:rsidR="000C079F">
        <w:rPr>
          <w:szCs w:val="22"/>
        </w:rPr>
        <w:t xml:space="preserve"> for the “purpose of investing in one or more U.S. broadcast stations.”</w:t>
      </w:r>
      <w:r>
        <w:rPr>
          <w:rStyle w:val="FootnoteReference"/>
          <w:szCs w:val="22"/>
        </w:rPr>
        <w:footnoteReference w:id="11"/>
      </w:r>
      <w:r w:rsidRPr="00B039CF" w:rsidR="000C079F">
        <w:rPr>
          <w:szCs w:val="22"/>
        </w:rPr>
        <w:t xml:space="preserve"> </w:t>
      </w:r>
      <w:r w:rsidR="000C079F">
        <w:rPr>
          <w:szCs w:val="22"/>
        </w:rPr>
        <w:t xml:space="preserve"> The Petitioner </w:t>
      </w:r>
      <w:r w:rsidRPr="00B039CF" w:rsidR="000C079F">
        <w:rPr>
          <w:szCs w:val="22"/>
        </w:rPr>
        <w:t>maintain</w:t>
      </w:r>
      <w:r w:rsidR="000C079F">
        <w:rPr>
          <w:szCs w:val="22"/>
        </w:rPr>
        <w:t>s</w:t>
      </w:r>
      <w:r w:rsidRPr="00B039CF" w:rsidR="000C079F">
        <w:rPr>
          <w:szCs w:val="22"/>
        </w:rPr>
        <w:t xml:space="preserve"> that ownership </w:t>
      </w:r>
      <w:r w:rsidR="000C079F">
        <w:rPr>
          <w:szCs w:val="22"/>
        </w:rPr>
        <w:t>by citizens of the United Kingdom and Poland, “who have been model residents of the United States for the past three years,”</w:t>
      </w:r>
      <w:r>
        <w:rPr>
          <w:rStyle w:val="FootnoteReference"/>
          <w:szCs w:val="22"/>
        </w:rPr>
        <w:footnoteReference w:id="12"/>
      </w:r>
      <w:r w:rsidR="000C079F">
        <w:rPr>
          <w:szCs w:val="22"/>
        </w:rPr>
        <w:t xml:space="preserve"> would not implicate any national security or other threat </w:t>
      </w:r>
      <w:r w:rsidRPr="00B039CF" w:rsidR="000C079F">
        <w:rPr>
          <w:szCs w:val="22"/>
        </w:rPr>
        <w:t>to the United States, given th</w:t>
      </w:r>
      <w:r w:rsidR="000C079F">
        <w:rPr>
          <w:szCs w:val="22"/>
        </w:rPr>
        <w:t>at</w:t>
      </w:r>
      <w:r w:rsidRPr="00B039CF" w:rsidR="000C079F">
        <w:rPr>
          <w:szCs w:val="22"/>
        </w:rPr>
        <w:t xml:space="preserve"> </w:t>
      </w:r>
      <w:r w:rsidR="000C079F">
        <w:rPr>
          <w:szCs w:val="22"/>
        </w:rPr>
        <w:t>“these countries are among our most steadfast allies and share many of our cultural traditions.”</w:t>
      </w:r>
      <w:r>
        <w:rPr>
          <w:rStyle w:val="FootnoteReference"/>
          <w:szCs w:val="22"/>
        </w:rPr>
        <w:footnoteReference w:id="13"/>
      </w:r>
      <w:r w:rsidRPr="00B039CF" w:rsidR="000C079F">
        <w:rPr>
          <w:szCs w:val="22"/>
        </w:rPr>
        <w:t xml:space="preserve">  </w:t>
      </w:r>
      <w:r w:rsidRPr="00B039CF">
        <w:t xml:space="preserve"> </w:t>
      </w:r>
      <w:r>
        <w:t xml:space="preserve"> </w:t>
      </w:r>
    </w:p>
    <w:p w:rsidR="000B0413" w:rsidRPr="000B0413" w:rsidP="004F0B44">
      <w:pPr>
        <w:pStyle w:val="ParaNum"/>
        <w:ind w:left="0"/>
      </w:pPr>
      <w:r>
        <w:rPr>
          <w:i/>
        </w:rPr>
        <w:t xml:space="preserve">Section 310(b)(4) </w:t>
      </w:r>
      <w:r w:rsidR="000060AF">
        <w:rPr>
          <w:i/>
        </w:rPr>
        <w:t>S</w:t>
      </w:r>
      <w:r>
        <w:rPr>
          <w:i/>
        </w:rPr>
        <w:t xml:space="preserve">tandard. </w:t>
      </w:r>
      <w:r w:rsidRPr="00C7723C">
        <w:rPr>
          <w:i/>
          <w:szCs w:val="22"/>
        </w:rPr>
        <w:t xml:space="preserve"> </w:t>
      </w:r>
      <w:r w:rsidRPr="00C7723C">
        <w:rPr>
          <w:szCs w:val="22"/>
        </w:rPr>
        <w:t xml:space="preserve">We review the foreign ownership of </w:t>
      </w:r>
      <w:r w:rsidR="00CA1507">
        <w:rPr>
          <w:szCs w:val="22"/>
        </w:rPr>
        <w:t>BML</w:t>
      </w:r>
      <w:r w:rsidRPr="00C7723C">
        <w:rPr>
          <w:szCs w:val="22"/>
        </w:rPr>
        <w:t xml:space="preserve"> under Section 310(b)(4) of the Act, which states that “[n]o broadcast … license shall be granted to or held by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Pr>
          <w:rStyle w:val="FootnoteReference"/>
          <w:sz w:val="22"/>
          <w:szCs w:val="22"/>
        </w:rPr>
        <w:footnoteReference w:id="14"/>
      </w:r>
      <w:r w:rsidRPr="00C7723C">
        <w:rPr>
          <w:szCs w:val="22"/>
        </w:rPr>
        <w:t xml:space="preserve"> </w:t>
      </w:r>
    </w:p>
    <w:p w:rsidR="000B0413" w:rsidRPr="00446BC3" w:rsidP="007F0EF0">
      <w:pPr>
        <w:pStyle w:val="ParaNum"/>
        <w:ind w:left="0"/>
      </w:pPr>
      <w:r w:rsidRPr="00C7723C">
        <w:rPr>
          <w:szCs w:val="22"/>
        </w:rPr>
        <w:t xml:space="preserve">In the </w:t>
      </w:r>
      <w:r>
        <w:rPr>
          <w:i/>
        </w:rPr>
        <w:t>2013 Broadcast Clarification Ruling</w:t>
      </w:r>
      <w:r w:rsidRPr="00C7723C">
        <w:rPr>
          <w:szCs w:val="22"/>
        </w:rPr>
        <w:t>, the Commission</w:t>
      </w:r>
      <w:r w:rsidRPr="00757359">
        <w:t xml:space="preserve"> </w:t>
      </w:r>
      <w:r w:rsidRPr="00EF0AC2">
        <w:t>clarified the policies and procedures for evaluating potential foreign investment in broadcast licensees under Section 310(b)(4) of the Act.</w:t>
      </w:r>
      <w:r>
        <w:rPr>
          <w:rStyle w:val="FootnoteReference"/>
        </w:rPr>
        <w:footnoteReference w:id="15"/>
      </w:r>
      <w:r>
        <w:t xml:space="preserve">  Subsequently, in the </w:t>
      </w:r>
      <w:r w:rsidRPr="00A96DF4" w:rsidR="00D55968">
        <w:rPr>
          <w:i/>
        </w:rPr>
        <w:t xml:space="preserve">2016 </w:t>
      </w:r>
      <w:r w:rsidRPr="00D95D58">
        <w:rPr>
          <w:i/>
        </w:rPr>
        <w:t>Foreign Ownership Order</w:t>
      </w:r>
      <w:r>
        <w:t>,</w:t>
      </w:r>
      <w:r>
        <w:rPr>
          <w:i/>
        </w:rPr>
        <w:t xml:space="preserve"> </w:t>
      </w:r>
      <w:r>
        <w:t>the Commission modified</w:t>
      </w:r>
      <w:r w:rsidRPr="00EF0AC2">
        <w:t xml:space="preserve"> the </w:t>
      </w:r>
      <w:r>
        <w:t xml:space="preserve">broadcast licensee </w:t>
      </w:r>
      <w:r w:rsidRPr="00EF0AC2">
        <w:t>foreign ownership review</w:t>
      </w:r>
      <w:r>
        <w:t xml:space="preserve"> process</w:t>
      </w:r>
      <w:r w:rsidRPr="00EF0AC2">
        <w:t xml:space="preserve"> by extending the streamlined rules and procedures developed f</w:t>
      </w:r>
      <w:r>
        <w:t>or review of foreign ownership of</w:t>
      </w:r>
      <w:r w:rsidRPr="00EF0AC2">
        <w:t xml:space="preserve"> common carrier and certain aeronautical licensees under Section </w:t>
      </w:r>
      <w:r w:rsidRPr="00EF0AC2">
        <w:t>310(b)(4) to the broadcast context</w:t>
      </w:r>
      <w:r>
        <w:t>, with certain limited exceptions.</w:t>
      </w:r>
      <w:r>
        <w:rPr>
          <w:rStyle w:val="FootnoteReference"/>
        </w:rPr>
        <w:footnoteReference w:id="16"/>
      </w:r>
      <w:r>
        <w:t xml:space="preserve">  Further, in evaluating petitions relating to foreign ownership, the Commission affords </w:t>
      </w:r>
      <w:r w:rsidRPr="00C7723C">
        <w:rPr>
          <w:szCs w:val="22"/>
        </w:rPr>
        <w:t>appropriate deference to the expertise of the Executive Branch agencies on issues related to national security, law enforcement, foreign policy, and trade policy.</w:t>
      </w:r>
      <w:r>
        <w:rPr>
          <w:rStyle w:val="FootnoteReference"/>
          <w:sz w:val="22"/>
          <w:szCs w:val="22"/>
        </w:rPr>
        <w:footnoteReference w:id="17"/>
      </w:r>
      <w:r w:rsidRPr="00C7723C">
        <w:rPr>
          <w:szCs w:val="22"/>
        </w:rPr>
        <w:t xml:space="preserve"> </w:t>
      </w:r>
      <w:r>
        <w:rPr>
          <w:i/>
        </w:rPr>
        <w:t xml:space="preserve"> </w:t>
      </w:r>
    </w:p>
    <w:p w:rsidR="00C36D55" w:rsidP="007F0EF0">
      <w:pPr>
        <w:pStyle w:val="ParaNum"/>
        <w:ind w:left="0"/>
        <w:rPr>
          <w:szCs w:val="22"/>
        </w:rPr>
      </w:pPr>
      <w:r>
        <w:t xml:space="preserve">The Commission has explained that in the context of the Section 310(b)(4) review for broadcast licensees, </w:t>
      </w:r>
      <w:r w:rsidRPr="00EF0AC2">
        <w:t>the 25 percent benchmark “is only a trigger for the exercise of our discretion, which we then exercise based upon a more searching analysis of the circumstances of each case.”</w:t>
      </w:r>
      <w:r>
        <w:rPr>
          <w:rStyle w:val="FootnoteReference"/>
        </w:rPr>
        <w:footnoteReference w:id="18"/>
      </w:r>
      <w:r w:rsidR="00395B9C">
        <w:t xml:space="preserve">  Moreover, the </w:t>
      </w:r>
      <w:r w:rsidRPr="00A96DF4" w:rsidR="00D55968">
        <w:rPr>
          <w:i/>
        </w:rPr>
        <w:t xml:space="preserve">2016 </w:t>
      </w:r>
      <w:r w:rsidR="00395B9C">
        <w:rPr>
          <w:i/>
        </w:rPr>
        <w:t xml:space="preserve">Foreign Ownership Order </w:t>
      </w:r>
      <w:r w:rsidR="00395B9C">
        <w:t>expressly provides for</w:t>
      </w:r>
      <w:r w:rsidRPr="00F606B3" w:rsidR="00395B9C">
        <w:t xml:space="preserve"> </w:t>
      </w:r>
      <w:r w:rsidR="00395B9C">
        <w:t>processing</w:t>
      </w:r>
      <w:r w:rsidRPr="00F606B3" w:rsidR="00395B9C">
        <w:t xml:space="preserve"> of </w:t>
      </w:r>
      <w:r w:rsidR="00395B9C">
        <w:t xml:space="preserve">petitions involving </w:t>
      </w:r>
      <w:r w:rsidRPr="00F606B3" w:rsidR="00395B9C">
        <w:t>100 percent foreign ownership</w:t>
      </w:r>
      <w:r w:rsidR="00395B9C">
        <w:t xml:space="preserve"> of a broadcast licensee’s parent,</w:t>
      </w:r>
      <w:r>
        <w:rPr>
          <w:rStyle w:val="FootnoteReference"/>
        </w:rPr>
        <w:footnoteReference w:id="19"/>
      </w:r>
      <w:r w:rsidRPr="00F606B3" w:rsidR="00395B9C">
        <w:t xml:space="preserve"> </w:t>
      </w:r>
      <w:r w:rsidR="00395B9C">
        <w:t xml:space="preserve">such </w:t>
      </w:r>
      <w:r w:rsidRPr="00F606B3" w:rsidR="00395B9C">
        <w:t>as here</w:t>
      </w:r>
      <w:r w:rsidR="00395B9C">
        <w:t>.</w:t>
      </w:r>
      <w:r w:rsidR="005C0089">
        <w:t xml:space="preserve">  </w:t>
      </w:r>
      <w:r w:rsidRPr="00C36D55">
        <w:rPr>
          <w:szCs w:val="22"/>
        </w:rPr>
        <w:t>To</w:t>
      </w:r>
      <w:r w:rsidRPr="00C7723C">
        <w:rPr>
          <w:szCs w:val="22"/>
        </w:rPr>
        <w:t xml:space="preserve"> exercise in a meaningful way the discretion conferred by statute, the Commission must receive detailed information </w:t>
      </w:r>
      <w:r w:rsidR="00AA6550">
        <w:rPr>
          <w:szCs w:val="22"/>
        </w:rPr>
        <w:t xml:space="preserve">from the applicant </w:t>
      </w:r>
      <w:r w:rsidR="005F0488">
        <w:rPr>
          <w:szCs w:val="22"/>
        </w:rPr>
        <w:t xml:space="preserve">sufficient for </w:t>
      </w:r>
      <w:r w:rsidRPr="00C7723C">
        <w:rPr>
          <w:szCs w:val="22"/>
        </w:rPr>
        <w:t xml:space="preserve">the </w:t>
      </w:r>
      <w:r w:rsidR="005F0488">
        <w:rPr>
          <w:szCs w:val="22"/>
        </w:rPr>
        <w:t>Commission</w:t>
      </w:r>
      <w:r w:rsidRPr="00C7723C">
        <w:rPr>
          <w:szCs w:val="22"/>
        </w:rPr>
        <w:t xml:space="preserve"> to make the public interest finding the statute requires.</w:t>
      </w:r>
      <w:r>
        <w:rPr>
          <w:rStyle w:val="FootnoteReference"/>
          <w:sz w:val="22"/>
          <w:szCs w:val="22"/>
        </w:rPr>
        <w:footnoteReference w:id="20"/>
      </w:r>
    </w:p>
    <w:p w:rsidR="00DD6C39" w:rsidP="00276CBC">
      <w:pPr>
        <w:pStyle w:val="Heading1"/>
      </w:pPr>
      <w:r>
        <w:t>DISCUSSION</w:t>
      </w:r>
    </w:p>
    <w:p w:rsidR="00AB3097" w:rsidRPr="00BE2E6C" w:rsidP="002F6B75">
      <w:pPr>
        <w:pStyle w:val="ParaNum"/>
        <w:ind w:left="0"/>
        <w:rPr>
          <w:szCs w:val="22"/>
        </w:rPr>
      </w:pPr>
      <w:r>
        <w:rPr>
          <w:i/>
        </w:rPr>
        <w:t xml:space="preserve">Foreign Ownership </w:t>
      </w:r>
      <w:r w:rsidR="003768A5">
        <w:rPr>
          <w:i/>
        </w:rPr>
        <w:t xml:space="preserve">Declaratory Ruling.  </w:t>
      </w:r>
      <w:r>
        <w:t>We find that grant of this unopposed Petition is in the public interest.  Specifically, we find that grant of the Petition is likely to: (1) increase the likelihood of continued service to the Station’</w:t>
      </w:r>
      <w:r w:rsidR="00855DC7">
        <w:t>s</w:t>
      </w:r>
      <w:r>
        <w:t xml:space="preserve"> communit</w:t>
      </w:r>
      <w:r w:rsidR="00855DC7">
        <w:t>y</w:t>
      </w:r>
      <w:r>
        <w:t xml:space="preserve"> by authorizing </w:t>
      </w:r>
      <w:r w:rsidR="00BA45B0">
        <w:t>the assignment of the Station’s license to</w:t>
      </w:r>
      <w:r>
        <w:t xml:space="preserve"> </w:t>
      </w:r>
      <w:r w:rsidR="00BA45B0">
        <w:t>a company owned by</w:t>
      </w:r>
      <w:r>
        <w:t xml:space="preserve"> individuals who are ready, willing, and able to operate the Station based on their extensive broadcasting experience; (2) facilitate foreign investment in the U.S. broadcast radio market;</w:t>
      </w:r>
      <w:r w:rsidRPr="002014AE">
        <w:t xml:space="preserve"> </w:t>
      </w:r>
      <w:r>
        <w:t>and (3) potentially encourage reciprocal investment opportunities for U.S. companies in</w:t>
      </w:r>
      <w:r w:rsidR="001F536B">
        <w:t xml:space="preserve"> foreign markets</w:t>
      </w:r>
      <w:r>
        <w:t xml:space="preserve">. </w:t>
      </w:r>
    </w:p>
    <w:p w:rsidR="00575AD9" w:rsidRPr="00575AD9" w:rsidP="00680CEF">
      <w:pPr>
        <w:pStyle w:val="ParaNum"/>
        <w:ind w:left="0"/>
      </w:pPr>
      <w:r>
        <w:t>As stated above</w:t>
      </w:r>
      <w:r>
        <w:t xml:space="preserve">, </w:t>
      </w:r>
      <w:r w:rsidR="00010A8B">
        <w:t xml:space="preserve">the </w:t>
      </w:r>
      <w:r w:rsidR="00B31D73">
        <w:t>Petitioner</w:t>
      </w:r>
      <w:r w:rsidR="00010A8B">
        <w:t xml:space="preserve"> </w:t>
      </w:r>
      <w:r w:rsidR="002C2D61">
        <w:t>propose</w:t>
      </w:r>
      <w:r w:rsidR="00FE4696">
        <w:t>s</w:t>
      </w:r>
      <w:r w:rsidR="00010A8B">
        <w:t xml:space="preserve"> 100</w:t>
      </w:r>
      <w:r w:rsidR="002A29D7">
        <w:t xml:space="preserve"> percent</w:t>
      </w:r>
      <w:r w:rsidR="00010A8B">
        <w:t xml:space="preserve"> foreign ownership of </w:t>
      </w:r>
      <w:r w:rsidR="00BA45B0">
        <w:t>Border Media</w:t>
      </w:r>
      <w:r w:rsidR="005A01AD">
        <w:t>,</w:t>
      </w:r>
      <w:r w:rsidR="00BA45B0">
        <w:t xml:space="preserve"> LLC,</w:t>
      </w:r>
      <w:r w:rsidR="005A01AD">
        <w:t xml:space="preserve"> </w:t>
      </w:r>
      <w:r w:rsidR="002C2D61">
        <w:t>which would be the sole</w:t>
      </w:r>
      <w:r w:rsidR="007A6714">
        <w:t xml:space="preserve"> </w:t>
      </w:r>
      <w:r w:rsidR="009A3F3E">
        <w:t>owner</w:t>
      </w:r>
      <w:r w:rsidR="007A6714">
        <w:t xml:space="preserve"> of </w:t>
      </w:r>
      <w:r w:rsidR="00BA45B0">
        <w:t>BML</w:t>
      </w:r>
      <w:r w:rsidR="009A3F3E">
        <w:t>,</w:t>
      </w:r>
      <w:r w:rsidR="00010A8B">
        <w:t xml:space="preserve"> </w:t>
      </w:r>
      <w:r w:rsidR="00BA45B0">
        <w:t>the proposed new licensee of WRGR(FM).  Fol</w:t>
      </w:r>
      <w:r>
        <w:t>lowing the procedure</w:t>
      </w:r>
      <w:r w:rsidR="0093440E">
        <w:t>s</w:t>
      </w:r>
      <w:r>
        <w:t xml:space="preserve"> outlined in the </w:t>
      </w:r>
      <w:r w:rsidR="0099697F">
        <w:rPr>
          <w:i/>
        </w:rPr>
        <w:t>2013 B</w:t>
      </w:r>
      <w:r>
        <w:rPr>
          <w:i/>
        </w:rPr>
        <w:t>roadcast Clarification Ruling</w:t>
      </w:r>
      <w:r>
        <w:t xml:space="preserve"> and </w:t>
      </w:r>
      <w:r w:rsidRPr="00A96DF4" w:rsidR="00F62262">
        <w:rPr>
          <w:i/>
        </w:rPr>
        <w:t xml:space="preserve">2016 </w:t>
      </w:r>
      <w:r w:rsidR="001917A6">
        <w:rPr>
          <w:i/>
        </w:rPr>
        <w:t>Foreign Ownership Orde</w:t>
      </w:r>
      <w:r w:rsidR="009A1746">
        <w:rPr>
          <w:i/>
        </w:rPr>
        <w:t>r</w:t>
      </w:r>
      <w:r>
        <w:t xml:space="preserve">, we have consulted with the relevant Executive Branch agencies with expertise on </w:t>
      </w:r>
      <w:r>
        <w:t>issues related to national security, law enforcement, foreign policy, and trade policy.</w:t>
      </w:r>
      <w:r>
        <w:rPr>
          <w:rStyle w:val="FootnoteReference"/>
        </w:rPr>
        <w:footnoteReference w:id="21"/>
      </w:r>
      <w:r w:rsidR="000D7A68">
        <w:t xml:space="preserve"> </w:t>
      </w:r>
      <w:r w:rsidR="00224324">
        <w:t xml:space="preserve"> </w:t>
      </w:r>
      <w:r w:rsidR="00440365">
        <w:t>T</w:t>
      </w:r>
      <w:r w:rsidR="000D7A68">
        <w:t>he Executive Branch agencies have filed a letter with the Commission stating that they have no objection to grant of the request and have not requested that we impose any conditions on grant.</w:t>
      </w:r>
      <w:r>
        <w:rPr>
          <w:rStyle w:val="FootnoteReference"/>
        </w:rPr>
        <w:footnoteReference w:id="22"/>
      </w:r>
      <w:r w:rsidR="000D7A68">
        <w:t xml:space="preserve">  </w:t>
      </w:r>
      <w:r>
        <w:t xml:space="preserve">  </w:t>
      </w:r>
    </w:p>
    <w:p w:rsidR="00F80006" w:rsidRPr="000060AF" w:rsidP="00680CEF">
      <w:pPr>
        <w:pStyle w:val="ParaNum"/>
        <w:widowControl/>
        <w:tabs>
          <w:tab w:val="num" w:pos="1440"/>
        </w:tabs>
        <w:ind w:left="0"/>
        <w:rPr>
          <w:szCs w:val="22"/>
        </w:rPr>
      </w:pPr>
      <w:r>
        <w:t>A</w:t>
      </w:r>
      <w:r w:rsidRPr="000060AF" w:rsidR="00440365">
        <w:rPr>
          <w:szCs w:val="22"/>
        </w:rPr>
        <w:t>ccordingly, u</w:t>
      </w:r>
      <w:r w:rsidRPr="000060AF" w:rsidR="00C7723C">
        <w:rPr>
          <w:szCs w:val="22"/>
        </w:rPr>
        <w:t>pon review of the facts and circumstances set out in the Petition, and pursuant to the p</w:t>
      </w:r>
      <w:r w:rsidRPr="000060AF" w:rsidR="00AF0571">
        <w:rPr>
          <w:szCs w:val="22"/>
        </w:rPr>
        <w:t>rocedures</w:t>
      </w:r>
      <w:r w:rsidRPr="000060AF" w:rsidR="00C7723C">
        <w:rPr>
          <w:szCs w:val="22"/>
        </w:rPr>
        <w:t xml:space="preserve"> </w:t>
      </w:r>
      <w:r w:rsidRPr="000060AF" w:rsidR="00AF0571">
        <w:rPr>
          <w:szCs w:val="22"/>
        </w:rPr>
        <w:t>adopted in</w:t>
      </w:r>
      <w:r w:rsidR="00B11019">
        <w:rPr>
          <w:szCs w:val="22"/>
        </w:rPr>
        <w:t xml:space="preserve"> the</w:t>
      </w:r>
      <w:r w:rsidRPr="000060AF" w:rsidR="00C7723C">
        <w:rPr>
          <w:szCs w:val="22"/>
        </w:rPr>
        <w:t xml:space="preserve"> </w:t>
      </w:r>
      <w:r w:rsidRPr="00A96DF4" w:rsidR="001F536B">
        <w:rPr>
          <w:i/>
          <w:szCs w:val="22"/>
        </w:rPr>
        <w:t xml:space="preserve">2016 </w:t>
      </w:r>
      <w:r w:rsidRPr="000060AF" w:rsidR="00AF0571">
        <w:rPr>
          <w:i/>
          <w:szCs w:val="22"/>
        </w:rPr>
        <w:t>Foreign Ownership Order</w:t>
      </w:r>
      <w:r w:rsidRPr="000060AF" w:rsidR="00C7723C">
        <w:rPr>
          <w:szCs w:val="22"/>
        </w:rPr>
        <w:t xml:space="preserve">, we find that the public interest would not be served by prohibiting foreign ownership </w:t>
      </w:r>
      <w:r w:rsidR="001F536B">
        <w:rPr>
          <w:szCs w:val="22"/>
        </w:rPr>
        <w:t>of</w:t>
      </w:r>
      <w:r w:rsidRPr="000060AF" w:rsidR="009344D0">
        <w:rPr>
          <w:szCs w:val="22"/>
        </w:rPr>
        <w:t xml:space="preserve"> </w:t>
      </w:r>
      <w:r w:rsidR="00BA45B0">
        <w:rPr>
          <w:szCs w:val="22"/>
        </w:rPr>
        <w:t>Border Media LLC</w:t>
      </w:r>
      <w:r w:rsidR="001F536B">
        <w:rPr>
          <w:szCs w:val="22"/>
        </w:rPr>
        <w:t>, the controlling U.S. parent</w:t>
      </w:r>
      <w:r w:rsidRPr="000060AF" w:rsidR="009344D0">
        <w:rPr>
          <w:szCs w:val="22"/>
        </w:rPr>
        <w:t xml:space="preserve"> </w:t>
      </w:r>
      <w:r w:rsidRPr="000060AF" w:rsidR="00C7723C">
        <w:rPr>
          <w:szCs w:val="22"/>
        </w:rPr>
        <w:t xml:space="preserve">of </w:t>
      </w:r>
      <w:r w:rsidR="00C76400">
        <w:rPr>
          <w:szCs w:val="22"/>
        </w:rPr>
        <w:t>BML</w:t>
      </w:r>
      <w:r w:rsidRPr="000060AF" w:rsidR="009344D0">
        <w:rPr>
          <w:szCs w:val="22"/>
        </w:rPr>
        <w:t>,</w:t>
      </w:r>
      <w:r w:rsidRPr="000060AF" w:rsidR="00C7723C">
        <w:rPr>
          <w:szCs w:val="22"/>
        </w:rPr>
        <w:t xml:space="preserve"> the </w:t>
      </w:r>
      <w:r w:rsidR="00C94E83">
        <w:rPr>
          <w:szCs w:val="22"/>
        </w:rPr>
        <w:t xml:space="preserve">proposed new licensee of </w:t>
      </w:r>
      <w:r w:rsidR="00BA45B0">
        <w:rPr>
          <w:szCs w:val="22"/>
        </w:rPr>
        <w:t>WRGR(FM)</w:t>
      </w:r>
      <w:r w:rsidRPr="000060AF" w:rsidR="00C7723C">
        <w:rPr>
          <w:szCs w:val="22"/>
        </w:rPr>
        <w:t xml:space="preserve">, in excess of the 25 percent benchmark in Section 310(b)(4) of the Act.  </w:t>
      </w:r>
      <w:r w:rsidRPr="000060AF" w:rsidR="00E56A25">
        <w:rPr>
          <w:szCs w:val="22"/>
        </w:rPr>
        <w:t>Specifically, this</w:t>
      </w:r>
      <w:r w:rsidRPr="000060AF" w:rsidR="00AB260B">
        <w:rPr>
          <w:szCs w:val="22"/>
        </w:rPr>
        <w:t xml:space="preserve"> </w:t>
      </w:r>
      <w:r w:rsidRPr="000060AF" w:rsidR="00AB260B">
        <w:rPr>
          <w:i/>
          <w:szCs w:val="22"/>
        </w:rPr>
        <w:t>Declaratory Ruling</w:t>
      </w:r>
      <w:r w:rsidRPr="000060AF" w:rsidR="00C7723C">
        <w:rPr>
          <w:szCs w:val="22"/>
        </w:rPr>
        <w:t xml:space="preserve"> </w:t>
      </w:r>
      <w:r w:rsidRPr="000060AF" w:rsidR="00B6407B">
        <w:rPr>
          <w:szCs w:val="22"/>
        </w:rPr>
        <w:t>grants</w:t>
      </w:r>
      <w:r w:rsidRPr="000060AF" w:rsidR="00040EE4">
        <w:rPr>
          <w:szCs w:val="22"/>
        </w:rPr>
        <w:t>, pursuant to Section 1.500</w:t>
      </w:r>
      <w:r w:rsidR="001F536B">
        <w:rPr>
          <w:szCs w:val="22"/>
        </w:rPr>
        <w:t>0</w:t>
      </w:r>
      <w:r w:rsidRPr="000060AF" w:rsidR="00040EE4">
        <w:rPr>
          <w:szCs w:val="22"/>
        </w:rPr>
        <w:t>(</w:t>
      </w:r>
      <w:r w:rsidR="001F536B">
        <w:rPr>
          <w:szCs w:val="22"/>
        </w:rPr>
        <w:t>a</w:t>
      </w:r>
      <w:r w:rsidRPr="000060AF" w:rsidR="00040EE4">
        <w:rPr>
          <w:szCs w:val="22"/>
        </w:rPr>
        <w:t>) of the rules,</w:t>
      </w:r>
      <w:r w:rsidRPr="000060AF" w:rsidR="00B6407B">
        <w:rPr>
          <w:szCs w:val="22"/>
        </w:rPr>
        <w:t xml:space="preserve"> the </w:t>
      </w:r>
      <w:r w:rsidRPr="000060AF" w:rsidR="00040EE4">
        <w:rPr>
          <w:szCs w:val="22"/>
        </w:rPr>
        <w:t>Petitioner</w:t>
      </w:r>
      <w:r w:rsidR="00C94E83">
        <w:rPr>
          <w:szCs w:val="22"/>
        </w:rPr>
        <w:t>’</w:t>
      </w:r>
      <w:r w:rsidRPr="000060AF" w:rsidR="00040EE4">
        <w:rPr>
          <w:szCs w:val="22"/>
        </w:rPr>
        <w:t xml:space="preserve">s </w:t>
      </w:r>
      <w:r w:rsidRPr="000060AF" w:rsidR="00B6407B">
        <w:rPr>
          <w:szCs w:val="22"/>
        </w:rPr>
        <w:t>request for specific approval</w:t>
      </w:r>
      <w:r w:rsidRPr="000060AF" w:rsidR="00040EE4">
        <w:rPr>
          <w:szCs w:val="22"/>
        </w:rPr>
        <w:t xml:space="preserve"> for</w:t>
      </w:r>
      <w:r w:rsidRPr="000060AF" w:rsidR="00C7723C">
        <w:rPr>
          <w:szCs w:val="22"/>
        </w:rPr>
        <w:t xml:space="preserve"> 100 percent of the equity and voting interests in </w:t>
      </w:r>
      <w:r w:rsidR="00BA45B0">
        <w:rPr>
          <w:szCs w:val="22"/>
        </w:rPr>
        <w:t>Border Media LLC</w:t>
      </w:r>
      <w:r w:rsidRPr="000060AF" w:rsidR="00C7723C">
        <w:rPr>
          <w:szCs w:val="22"/>
        </w:rPr>
        <w:t xml:space="preserve"> to be held by</w:t>
      </w:r>
      <w:r w:rsidRPr="000060AF" w:rsidR="00AB260B">
        <w:rPr>
          <w:szCs w:val="22"/>
        </w:rPr>
        <w:t xml:space="preserve"> </w:t>
      </w:r>
      <w:r w:rsidRPr="000060AF" w:rsidR="00926D81">
        <w:rPr>
          <w:szCs w:val="22"/>
        </w:rPr>
        <w:t xml:space="preserve">two </w:t>
      </w:r>
      <w:r w:rsidR="00BA45B0">
        <w:rPr>
          <w:szCs w:val="22"/>
        </w:rPr>
        <w:t>foreign</w:t>
      </w:r>
      <w:r w:rsidRPr="000060AF" w:rsidR="00926D81">
        <w:rPr>
          <w:szCs w:val="22"/>
        </w:rPr>
        <w:t xml:space="preserve"> citizens: </w:t>
      </w:r>
      <w:r w:rsidRPr="000060AF" w:rsidR="00AB260B">
        <w:rPr>
          <w:szCs w:val="22"/>
        </w:rPr>
        <w:t xml:space="preserve"> </w:t>
      </w:r>
      <w:r w:rsidR="009A3F3E">
        <w:rPr>
          <w:szCs w:val="22"/>
        </w:rPr>
        <w:t>Ricki Lee Shorthose</w:t>
      </w:r>
      <w:r w:rsidRPr="000060AF" w:rsidR="00AB260B">
        <w:rPr>
          <w:szCs w:val="22"/>
        </w:rPr>
        <w:t xml:space="preserve"> (</w:t>
      </w:r>
      <w:r w:rsidR="009A3F3E">
        <w:rPr>
          <w:szCs w:val="22"/>
        </w:rPr>
        <w:t>50</w:t>
      </w:r>
      <w:r w:rsidRPr="000060AF" w:rsidR="00AB260B">
        <w:rPr>
          <w:szCs w:val="22"/>
        </w:rPr>
        <w:t xml:space="preserve"> percent) and </w:t>
      </w:r>
      <w:r w:rsidR="0028656B">
        <w:rPr>
          <w:szCs w:val="22"/>
        </w:rPr>
        <w:t>Hanna Kaleta</w:t>
      </w:r>
      <w:r w:rsidRPr="000060AF" w:rsidR="00AB260B">
        <w:rPr>
          <w:szCs w:val="22"/>
        </w:rPr>
        <w:t xml:space="preserve"> (</w:t>
      </w:r>
      <w:r w:rsidR="0028656B">
        <w:rPr>
          <w:szCs w:val="22"/>
        </w:rPr>
        <w:t>5</w:t>
      </w:r>
      <w:r w:rsidRPr="000060AF" w:rsidR="00AB260B">
        <w:rPr>
          <w:szCs w:val="22"/>
        </w:rPr>
        <w:t>0 percent)</w:t>
      </w:r>
      <w:r w:rsidRPr="000060AF" w:rsidR="00C7723C">
        <w:rPr>
          <w:szCs w:val="22"/>
        </w:rPr>
        <w:t>.</w:t>
      </w:r>
      <w:r>
        <w:rPr>
          <w:rStyle w:val="FootnoteReference"/>
          <w:szCs w:val="22"/>
        </w:rPr>
        <w:footnoteReference w:id="23"/>
      </w:r>
      <w:r w:rsidRPr="000060AF" w:rsidR="006B2A9B">
        <w:rPr>
          <w:szCs w:val="22"/>
        </w:rPr>
        <w:t xml:space="preserve">  </w:t>
      </w:r>
    </w:p>
    <w:p w:rsidR="00FA26D8" w:rsidP="00120250">
      <w:pPr>
        <w:pStyle w:val="ParaNum"/>
        <w:ind w:left="0"/>
      </w:pPr>
      <w:r w:rsidRPr="004C187E">
        <w:t xml:space="preserve">This ruling is subject to the terms and conditions set forth in section 1.5004 of the Commission’s rules, including the requirement to obtain Commission approval before foreign ownership of </w:t>
      </w:r>
      <w:r w:rsidRPr="004C187E" w:rsidR="00657A3B">
        <w:t>BML exceeds the terms and conditions of this ruling.</w:t>
      </w:r>
      <w:r w:rsidR="004C187E">
        <w:t xml:space="preserve">  </w:t>
      </w:r>
      <w:r w:rsidR="002F46FC">
        <w:t xml:space="preserve">If, at any time, </w:t>
      </w:r>
      <w:r w:rsidR="00C94E83">
        <w:t>BML</w:t>
      </w:r>
      <w:r w:rsidR="002F46FC">
        <w:t xml:space="preserve"> knows, or has reason to know, that it is no </w:t>
      </w:r>
      <w:r w:rsidR="00F27CC6">
        <w:t xml:space="preserve">longer in compliance with this </w:t>
      </w:r>
      <w:r w:rsidRPr="00120250" w:rsidR="00F27CC6">
        <w:rPr>
          <w:i/>
        </w:rPr>
        <w:t>Declaratory R</w:t>
      </w:r>
      <w:r w:rsidRPr="00120250" w:rsidR="002F46FC">
        <w:rPr>
          <w:i/>
        </w:rPr>
        <w:t>uling</w:t>
      </w:r>
      <w:r w:rsidR="002F46FC">
        <w:t xml:space="preserve">, Section 310(b) of the Act, or the Commission’s </w:t>
      </w:r>
      <w:r w:rsidR="00E63083">
        <w:t xml:space="preserve">foreign ownership </w:t>
      </w:r>
      <w:r w:rsidR="002F46FC">
        <w:t>rules, it shall file a statement with the Commission explaining the circumstances within 30 days of the date that it knew</w:t>
      </w:r>
      <w:r w:rsidR="004030D1">
        <w:t>,</w:t>
      </w:r>
      <w:r w:rsidR="002F46FC">
        <w:t xml:space="preserve"> or had reason to know</w:t>
      </w:r>
      <w:r w:rsidR="004030D1">
        <w:t>,</w:t>
      </w:r>
      <w:r w:rsidR="002F46FC">
        <w:t xml:space="preserve"> that it was no longer in compliance.</w:t>
      </w:r>
      <w:r>
        <w:rPr>
          <w:rStyle w:val="FootnoteReference"/>
        </w:rPr>
        <w:footnoteReference w:id="24"/>
      </w:r>
      <w:r w:rsidR="009E17AD">
        <w:t xml:space="preserve">  </w:t>
      </w:r>
      <w:r w:rsidRPr="009E17AD" w:rsidR="009E17AD">
        <w:t>BML and its controlling U.S. parent</w:t>
      </w:r>
      <w:r w:rsidR="009E17AD">
        <w:t>,</w:t>
      </w:r>
      <w:r w:rsidRPr="009E17AD" w:rsidR="009E17AD">
        <w:t xml:space="preserve"> </w:t>
      </w:r>
      <w:r w:rsidR="009E17AD">
        <w:t xml:space="preserve">Border Media LLC, </w:t>
      </w:r>
      <w:r w:rsidRPr="009E17AD" w:rsidR="009E17AD">
        <w:t>will be subject to enforcement action by the Commission for such non-compliance, including an order requiring divestiture of the foreign</w:t>
      </w:r>
      <w:r w:rsidR="009E17AD">
        <w:t xml:space="preserve"> investment</w:t>
      </w:r>
      <w:r w:rsidRPr="009E17AD" w:rsidR="009E17AD">
        <w:t>.</w:t>
      </w:r>
    </w:p>
    <w:p w:rsidR="00DD4FB5" w:rsidP="004F0B44">
      <w:pPr>
        <w:pStyle w:val="ParaNum"/>
        <w:ind w:left="0"/>
      </w:pPr>
      <w:r>
        <w:rPr>
          <w:i/>
        </w:rPr>
        <w:t>Assignment of License</w:t>
      </w:r>
      <w:r>
        <w:rPr>
          <w:i/>
        </w:rPr>
        <w:t xml:space="preserve"> Application</w:t>
      </w:r>
      <w:r w:rsidRPr="00680CEF">
        <w:rPr>
          <w:i/>
        </w:rPr>
        <w:t xml:space="preserve">. </w:t>
      </w:r>
      <w:r>
        <w:t xml:space="preserve">Following our routine processing procedures, we have reviewed the subject Application for compliance with the various statutory and regulatory requirements relating to </w:t>
      </w:r>
      <w:r>
        <w:t>assignment of license</w:t>
      </w:r>
      <w:r>
        <w:t xml:space="preserve"> applications.  Other than the foreign ownership issue addressed </w:t>
      </w:r>
      <w:r w:rsidR="00DE02CB">
        <w:t>above</w:t>
      </w:r>
      <w:r>
        <w:t>, the record does not raise any issues that might preclude grant</w:t>
      </w:r>
      <w:r w:rsidR="007F0EF0">
        <w:t>.</w:t>
      </w:r>
      <w:r>
        <w:t xml:space="preserve">  Notably, the Application is unopposed.  </w:t>
      </w:r>
      <w:r w:rsidR="00B93DC0">
        <w:t>W</w:t>
      </w:r>
      <w:r>
        <w:t xml:space="preserve">e conclude that </w:t>
      </w:r>
      <w:r w:rsidR="008B75F7">
        <w:t xml:space="preserve">Radio Lake Placid, Inc. is </w:t>
      </w:r>
      <w:r w:rsidRPr="008F5818" w:rsidR="008B75F7">
        <w:rPr>
          <w:rFonts w:eastAsia="Calibri"/>
          <w:snapToGrid/>
          <w:szCs w:val="22"/>
        </w:rPr>
        <w:t>q</w:t>
      </w:r>
      <w:r w:rsidR="008B75F7">
        <w:rPr>
          <w:rFonts w:eastAsia="Calibri"/>
          <w:snapToGrid/>
          <w:szCs w:val="22"/>
        </w:rPr>
        <w:t>ualified to assign the Station’s license,</w:t>
      </w:r>
      <w:r w:rsidRPr="008F5818" w:rsidR="008B75F7">
        <w:rPr>
          <w:rFonts w:eastAsia="Calibri"/>
          <w:snapToGrid/>
          <w:szCs w:val="22"/>
        </w:rPr>
        <w:t xml:space="preserve"> </w:t>
      </w:r>
      <w:r w:rsidR="008B75F7">
        <w:rPr>
          <w:rFonts w:eastAsia="Calibri"/>
          <w:snapToGrid/>
          <w:szCs w:val="22"/>
        </w:rPr>
        <w:t>BML</w:t>
      </w:r>
      <w:r w:rsidRPr="008F5818" w:rsidR="008B75F7">
        <w:rPr>
          <w:rFonts w:eastAsia="Calibri"/>
          <w:snapToGrid/>
          <w:szCs w:val="22"/>
        </w:rPr>
        <w:t xml:space="preserve"> is qualified to hold the Station</w:t>
      </w:r>
      <w:r w:rsidR="008B75F7">
        <w:rPr>
          <w:rFonts w:eastAsia="Calibri"/>
          <w:snapToGrid/>
          <w:szCs w:val="22"/>
        </w:rPr>
        <w:t>’s</w:t>
      </w:r>
      <w:r w:rsidRPr="008F5818" w:rsidR="008B75F7">
        <w:rPr>
          <w:rFonts w:eastAsia="Calibri"/>
          <w:snapToGrid/>
          <w:szCs w:val="22"/>
        </w:rPr>
        <w:t xml:space="preserve"> l</w:t>
      </w:r>
      <w:r w:rsidR="008B75F7">
        <w:rPr>
          <w:rFonts w:eastAsia="Calibri"/>
          <w:snapToGrid/>
          <w:szCs w:val="22"/>
        </w:rPr>
        <w:t>icense, and</w:t>
      </w:r>
      <w:r w:rsidR="008B75F7">
        <w:t xml:space="preserve"> </w:t>
      </w:r>
      <w:r>
        <w:t>grant of the Application is consistent with the public interest, convenience, and necessity under Section 310(d) of the Act</w:t>
      </w:r>
      <w:r w:rsidRPr="001B2C9C">
        <w:t>.</w:t>
      </w:r>
      <w:r>
        <w:rPr>
          <w:rStyle w:val="FootnoteReference"/>
        </w:rPr>
        <w:footnoteReference w:id="25"/>
      </w:r>
      <w:r>
        <w:rPr>
          <w:i/>
        </w:rPr>
        <w:t xml:space="preserve">  </w:t>
      </w:r>
    </w:p>
    <w:p w:rsidR="00A37BAB" w:rsidP="000060AF">
      <w:pPr>
        <w:pStyle w:val="Heading1"/>
      </w:pPr>
      <w:r w:rsidRPr="00A37BAB">
        <w:t>Ordering Clauses</w:t>
      </w:r>
      <w:r w:rsidR="004109D3">
        <w:t xml:space="preserve"> </w:t>
      </w:r>
    </w:p>
    <w:p w:rsidR="003600AD" w:rsidRPr="00700299" w:rsidP="004F0B44">
      <w:pPr>
        <w:pStyle w:val="ParaNum"/>
        <w:ind w:left="0"/>
      </w:pPr>
      <w:r w:rsidRPr="003600AD">
        <w:t xml:space="preserve">Accordingly, IT IS ORDERED that, pursuant to </w:t>
      </w:r>
      <w:r w:rsidR="002561BE">
        <w:t>S</w:t>
      </w:r>
      <w:r w:rsidRPr="003600AD">
        <w:t xml:space="preserve">ection 310(b)(4) of the Communications Act of 1934, as amended, 47 </w:t>
      </w:r>
      <w:r w:rsidR="00E1098B">
        <w:t xml:space="preserve">U.S.C. </w:t>
      </w:r>
      <w:r w:rsidRPr="003600AD">
        <w:t>§ 310(b)(4), and pursuant to authority delegated to the</w:t>
      </w:r>
      <w:r w:rsidR="000E2400">
        <w:t xml:space="preserve"> Media</w:t>
      </w:r>
      <w:r w:rsidRPr="003600AD">
        <w:t xml:space="preserve"> Bureau in section 0.2</w:t>
      </w:r>
      <w:r w:rsidR="005C7CB7">
        <w:t>83</w:t>
      </w:r>
      <w:r w:rsidRPr="003600AD">
        <w:t xml:space="preserve"> of the Commission’s rules, </w:t>
      </w:r>
      <w:r w:rsidRPr="003600AD">
        <w:rPr>
          <w:color w:val="000000"/>
          <w:w w:val="0"/>
          <w:szCs w:val="24"/>
        </w:rPr>
        <w:t>47 CFR § 0.2</w:t>
      </w:r>
      <w:r w:rsidR="005C7CB7">
        <w:rPr>
          <w:color w:val="000000"/>
          <w:w w:val="0"/>
          <w:szCs w:val="24"/>
        </w:rPr>
        <w:t>83</w:t>
      </w:r>
      <w:r w:rsidRPr="003600AD">
        <w:rPr>
          <w:color w:val="000000"/>
          <w:w w:val="0"/>
          <w:szCs w:val="24"/>
        </w:rPr>
        <w:t xml:space="preserve">, </w:t>
      </w:r>
      <w:r w:rsidRPr="003600AD">
        <w:t xml:space="preserve">the Petition for </w:t>
      </w:r>
      <w:r w:rsidRPr="000E2400" w:rsidR="000E2400">
        <w:t>Declaratory Ruling</w:t>
      </w:r>
      <w:r w:rsidRPr="003600AD">
        <w:t xml:space="preserve"> filed by </w:t>
      </w:r>
      <w:r w:rsidR="00CB71AE">
        <w:t>Border Media Licenses LLC</w:t>
      </w:r>
      <w:r w:rsidR="003D6FCD">
        <w:t xml:space="preserve"> </w:t>
      </w:r>
      <w:r w:rsidRPr="003600AD">
        <w:t>IS GRANTED to the extent specified in this</w:t>
      </w:r>
      <w:r w:rsidRPr="003600AD">
        <w:rPr>
          <w:b/>
          <w:i/>
        </w:rPr>
        <w:t xml:space="preserve"> </w:t>
      </w:r>
      <w:r w:rsidRPr="000E2400" w:rsidR="000E2400">
        <w:rPr>
          <w:i/>
        </w:rPr>
        <w:t>Declaratory Ruling</w:t>
      </w:r>
      <w:r w:rsidR="00F03363">
        <w:rPr>
          <w:i/>
        </w:rPr>
        <w:t xml:space="preserve"> </w:t>
      </w:r>
      <w:r w:rsidR="00F03363">
        <w:t>and subject to the conditions specified herein</w:t>
      </w:r>
      <w:r w:rsidRPr="003600AD">
        <w:rPr>
          <w:i/>
        </w:rPr>
        <w:t>.</w:t>
      </w:r>
    </w:p>
    <w:p w:rsidR="00637403" w:rsidP="003C0073">
      <w:pPr>
        <w:pStyle w:val="ParaNum"/>
        <w:ind w:left="0"/>
      </w:pPr>
      <w:r>
        <w:t>IT IS FURTHER ORDERED that</w:t>
      </w:r>
      <w:r w:rsidR="006B15B7">
        <w:t xml:space="preserve">, </w:t>
      </w:r>
      <w:r w:rsidRPr="003600AD" w:rsidR="006B15B7">
        <w:t xml:space="preserve">pursuant to </w:t>
      </w:r>
      <w:r w:rsidR="006B15B7">
        <w:t>Section 310(d</w:t>
      </w:r>
      <w:r w:rsidRPr="003600AD" w:rsidR="006B15B7">
        <w:t xml:space="preserve">) of the Communications Act of 1934, as amended, 47 </w:t>
      </w:r>
      <w:r w:rsidR="006B15B7">
        <w:t>U.S.C. § 310(d</w:t>
      </w:r>
      <w:r w:rsidRPr="003600AD" w:rsidR="006B15B7">
        <w:t>), and pursuant to authority delegated to the</w:t>
      </w:r>
      <w:r w:rsidR="006B15B7">
        <w:t xml:space="preserve"> Media</w:t>
      </w:r>
      <w:r w:rsidRPr="003600AD" w:rsidR="006B15B7">
        <w:t xml:space="preserve"> Bureau in section 0.2</w:t>
      </w:r>
      <w:r w:rsidR="006B15B7">
        <w:t>83</w:t>
      </w:r>
      <w:r w:rsidRPr="003600AD" w:rsidR="006B15B7">
        <w:t xml:space="preserve"> of the Commission’s rules, </w:t>
      </w:r>
      <w:r w:rsidRPr="003600AD" w:rsidR="006B15B7">
        <w:rPr>
          <w:color w:val="000000"/>
          <w:w w:val="0"/>
          <w:szCs w:val="24"/>
        </w:rPr>
        <w:t>47 CFR § 0.2</w:t>
      </w:r>
      <w:r w:rsidR="006B15B7">
        <w:rPr>
          <w:color w:val="000000"/>
          <w:w w:val="0"/>
          <w:szCs w:val="24"/>
        </w:rPr>
        <w:t>83,</w:t>
      </w:r>
      <w:r>
        <w:t xml:space="preserve"> the application </w:t>
      </w:r>
      <w:r w:rsidR="008B75F7">
        <w:t xml:space="preserve">for the assignment of license of WRGR(FM), Tupper Lake, New York, from Radio Lake Placid, Inc. to Border Media Licenses LLC </w:t>
      </w:r>
      <w:r>
        <w:t xml:space="preserve"> (</w:t>
      </w:r>
      <w:r w:rsidRPr="005315EC" w:rsidR="005315EC">
        <w:t>File No. B</w:t>
      </w:r>
      <w:r w:rsidR="00C94E83">
        <w:t>ALH</w:t>
      </w:r>
      <w:r w:rsidRPr="005315EC" w:rsidR="005315EC">
        <w:t>-201</w:t>
      </w:r>
      <w:r w:rsidR="00C94E83">
        <w:t>80209ABO</w:t>
      </w:r>
      <w:r w:rsidR="005315EC">
        <w:t xml:space="preserve">) </w:t>
      </w:r>
      <w:r w:rsidR="00AB260B">
        <w:t>IS</w:t>
      </w:r>
      <w:r w:rsidR="005315EC">
        <w:t xml:space="preserve"> GRANTED.</w:t>
      </w:r>
      <w:r w:rsidR="00985C9D">
        <w:t xml:space="preserve"> </w:t>
      </w:r>
    </w:p>
    <w:p w:rsidR="00637403">
      <w:pPr>
        <w:widowControl/>
      </w:pPr>
      <w:r>
        <w:br w:type="page"/>
      </w:r>
    </w:p>
    <w:p w:rsidR="003600AD" w:rsidRPr="003600AD" w:rsidP="00F82883">
      <w:pPr>
        <w:pStyle w:val="ParaNum"/>
        <w:ind w:left="0"/>
      </w:pPr>
      <w:r>
        <w:t>IT IS FURTHER ORDERED that this</w:t>
      </w:r>
      <w:r w:rsidRPr="00A42CBC">
        <w:t xml:space="preserve"> </w:t>
      </w:r>
      <w:r>
        <w:rPr>
          <w:i/>
        </w:rPr>
        <w:t>Declaratory Ruling</w:t>
      </w:r>
      <w:r>
        <w:t xml:space="preserve"> </w:t>
      </w:r>
      <w:r w:rsidR="004F00DE">
        <w:rPr>
          <w:i/>
        </w:rPr>
        <w:t>and Memorandum Opinion and Order</w:t>
      </w:r>
      <w:r w:rsidRPr="00680CEF" w:rsidR="004F00DE">
        <w:rPr>
          <w:i/>
        </w:rPr>
        <w:t xml:space="preserve"> </w:t>
      </w:r>
      <w:r>
        <w:t>SHALL BE EFFECTIVE upon release</w:t>
      </w:r>
      <w:r w:rsidR="0061238D">
        <w:t>.</w:t>
      </w:r>
    </w:p>
    <w:p w:rsidR="00B60EE0" w:rsidP="002F6B75">
      <w:pPr>
        <w:pStyle w:val="ParaNum"/>
        <w:numPr>
          <w:ilvl w:val="0"/>
          <w:numId w:val="0"/>
        </w:numPr>
        <w:ind w:firstLine="720"/>
      </w:pPr>
    </w:p>
    <w:p w:rsidR="00FD6C12" w:rsidP="00680CEF">
      <w:pPr>
        <w:pStyle w:val="ParaNum"/>
        <w:numPr>
          <w:ilvl w:val="0"/>
          <w:numId w:val="0"/>
        </w:numPr>
        <w:ind w:left="2880" w:firstLine="720"/>
      </w:pPr>
      <w:r>
        <w:t>FEDERAL COMMUNICATIONS COMMISSION</w:t>
      </w:r>
    </w:p>
    <w:p w:rsidR="00FD6C12" w:rsidP="00680CEF">
      <w:pPr>
        <w:pStyle w:val="ParaNum"/>
        <w:numPr>
          <w:ilvl w:val="0"/>
          <w:numId w:val="0"/>
        </w:numPr>
        <w:ind w:firstLine="720"/>
      </w:pPr>
    </w:p>
    <w:p w:rsidR="00FD6C12" w:rsidP="00680CEF">
      <w:pPr>
        <w:pStyle w:val="ParaNum"/>
        <w:numPr>
          <w:ilvl w:val="0"/>
          <w:numId w:val="0"/>
        </w:numPr>
        <w:ind w:firstLine="720"/>
      </w:pPr>
    </w:p>
    <w:p w:rsidR="00FD6C12" w:rsidP="004F0B44">
      <w:pPr>
        <w:pStyle w:val="ParaNum"/>
        <w:widowControl/>
        <w:numPr>
          <w:ilvl w:val="0"/>
          <w:numId w:val="0"/>
        </w:numPr>
        <w:tabs>
          <w:tab w:val="left" w:pos="0"/>
        </w:tabs>
        <w:spacing w:after="0"/>
      </w:pPr>
      <w:r>
        <w:tab/>
      </w:r>
      <w:r>
        <w:tab/>
      </w:r>
      <w:r>
        <w:tab/>
      </w:r>
      <w:r>
        <w:tab/>
      </w:r>
      <w:r>
        <w:tab/>
      </w:r>
      <w:r w:rsidR="003F012C">
        <w:t>Albert Shuldiner</w:t>
      </w:r>
    </w:p>
    <w:p w:rsidR="0077408D" w:rsidP="001876A0">
      <w:pPr>
        <w:pStyle w:val="ParaNum"/>
        <w:widowControl/>
        <w:numPr>
          <w:ilvl w:val="0"/>
          <w:numId w:val="0"/>
        </w:numPr>
        <w:tabs>
          <w:tab w:val="left" w:pos="0"/>
        </w:tabs>
        <w:spacing w:after="0"/>
      </w:pPr>
      <w:r>
        <w:tab/>
      </w:r>
      <w:r>
        <w:tab/>
      </w:r>
      <w:r>
        <w:tab/>
      </w:r>
      <w:r>
        <w:tab/>
      </w:r>
      <w:r>
        <w:tab/>
        <w:t xml:space="preserve">Chief, </w:t>
      </w:r>
      <w:r w:rsidR="003F012C">
        <w:t xml:space="preserve">Audio Division </w:t>
      </w:r>
    </w:p>
    <w:p w:rsidR="004109D3" w:rsidRPr="00DD6C39" w:rsidP="001876A0">
      <w:pPr>
        <w:pStyle w:val="ParaNum"/>
        <w:widowControl/>
        <w:numPr>
          <w:ilvl w:val="0"/>
          <w:numId w:val="0"/>
        </w:numPr>
        <w:tabs>
          <w:tab w:val="left" w:pos="0"/>
        </w:tabs>
        <w:spacing w:after="0"/>
      </w:pPr>
      <w:r>
        <w:tab/>
      </w:r>
      <w:r>
        <w:tab/>
      </w:r>
      <w:r>
        <w:tab/>
      </w:r>
      <w:r>
        <w:tab/>
      </w:r>
      <w:r>
        <w:tab/>
      </w:r>
      <w:r w:rsidR="00FD6C12">
        <w:t>Media Bureau</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7F" w:rsidP="0055614C">
    <w:pPr>
      <w:pStyle w:val="Footer"/>
      <w:framePr w:wrap="around" w:vAnchor="text" w:hAnchor="margin" w:xAlign="center" w:y="1"/>
    </w:pPr>
    <w:r>
      <w:fldChar w:fldCharType="begin"/>
    </w:r>
    <w:r>
      <w:instrText xml:space="preserve">PAGE  </w:instrText>
    </w:r>
    <w:r>
      <w:fldChar w:fldCharType="separate"/>
    </w:r>
    <w:r>
      <w:fldChar w:fldCharType="end"/>
    </w:r>
  </w:p>
  <w:p w:rsidR="00EF6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7F" w:rsidP="0055614C">
    <w:pPr>
      <w:pStyle w:val="Footer"/>
      <w:framePr w:wrap="around" w:vAnchor="text" w:hAnchor="margin" w:xAlign="center" w:y="1"/>
    </w:pPr>
    <w:r>
      <w:fldChar w:fldCharType="begin"/>
    </w:r>
    <w:r>
      <w:instrText xml:space="preserve">PAGE  </w:instrText>
    </w:r>
    <w:r>
      <w:fldChar w:fldCharType="separate"/>
    </w:r>
    <w:r>
      <w:t>5</w:t>
    </w:r>
    <w:r>
      <w:fldChar w:fldCharType="end"/>
    </w:r>
  </w:p>
  <w:p w:rsidR="00EF627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7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6391">
      <w:r>
        <w:separator/>
      </w:r>
    </w:p>
  </w:footnote>
  <w:footnote w:type="continuationSeparator" w:id="1">
    <w:p w:rsidR="00416391" w:rsidP="00C721AC">
      <w:pPr>
        <w:spacing w:before="120"/>
        <w:rPr>
          <w:sz w:val="20"/>
        </w:rPr>
      </w:pPr>
      <w:r>
        <w:rPr>
          <w:sz w:val="20"/>
        </w:rPr>
        <w:t xml:space="preserve">(Continued from previous page)  </w:t>
      </w:r>
      <w:r>
        <w:rPr>
          <w:sz w:val="20"/>
        </w:rPr>
        <w:separator/>
      </w:r>
    </w:p>
  </w:footnote>
  <w:footnote w:type="continuationNotice" w:id="2">
    <w:p w:rsidR="00416391" w:rsidP="00C721AC">
      <w:pPr>
        <w:jc w:val="right"/>
        <w:rPr>
          <w:sz w:val="20"/>
        </w:rPr>
      </w:pPr>
      <w:r>
        <w:rPr>
          <w:sz w:val="20"/>
        </w:rPr>
        <w:t>(continued….)</w:t>
      </w:r>
    </w:p>
  </w:footnote>
  <w:footnote w:id="3">
    <w:p w:rsidR="00C958E9" w:rsidRPr="00C958E9">
      <w:pPr>
        <w:pStyle w:val="FootnoteText"/>
      </w:pPr>
      <w:r>
        <w:rPr>
          <w:rStyle w:val="FootnoteReference"/>
        </w:rPr>
        <w:footnoteRef/>
      </w:r>
      <w:r>
        <w:t xml:space="preserve"> Hereinafter referred to as </w:t>
      </w:r>
      <w:r>
        <w:rPr>
          <w:i/>
        </w:rPr>
        <w:t>Declaratory Ruling</w:t>
      </w:r>
      <w:r>
        <w:t>.</w:t>
      </w:r>
    </w:p>
  </w:footnote>
  <w:footnote w:id="4">
    <w:p w:rsidR="000A562F">
      <w:pPr>
        <w:pStyle w:val="FootnoteText"/>
      </w:pPr>
      <w:r>
        <w:rPr>
          <w:rStyle w:val="FootnoteReference"/>
        </w:rPr>
        <w:footnoteRef/>
      </w:r>
      <w:r>
        <w:t xml:space="preserve"> </w:t>
      </w:r>
      <w:r w:rsidRPr="000A562F">
        <w:t>47 U.S.C. § 310(b)(4)</w:t>
      </w:r>
      <w:r w:rsidR="00371BA2">
        <w:t xml:space="preserve"> (Section 310(b)(4))</w:t>
      </w:r>
      <w:r>
        <w:t>.</w:t>
      </w:r>
    </w:p>
  </w:footnote>
  <w:footnote w:id="5">
    <w:p w:rsidR="00485532" w:rsidRPr="00485532">
      <w:pPr>
        <w:pStyle w:val="FootnoteText"/>
        <w:rPr>
          <w:i/>
        </w:rPr>
      </w:pPr>
      <w:r>
        <w:rPr>
          <w:rStyle w:val="FootnoteReference"/>
        </w:rPr>
        <w:footnoteRef/>
      </w:r>
      <w:r>
        <w:t xml:space="preserve"> 47 CFR §§ 1.5000 </w:t>
      </w:r>
      <w:r>
        <w:rPr>
          <w:i/>
        </w:rPr>
        <w:t>et seq.</w:t>
      </w:r>
    </w:p>
  </w:footnote>
  <w:footnote w:id="6">
    <w:p w:rsidR="000A562F">
      <w:pPr>
        <w:pStyle w:val="FootnoteText"/>
      </w:pPr>
      <w:r>
        <w:rPr>
          <w:rStyle w:val="FootnoteReference"/>
        </w:rPr>
        <w:footnoteRef/>
      </w:r>
      <w:r>
        <w:t xml:space="preserve"> </w:t>
      </w:r>
      <w:r w:rsidR="002A1734">
        <w:rPr>
          <w:i/>
        </w:rPr>
        <w:t xml:space="preserve">Review of Foreign Ownership Policies for Broadcast, Common Carrier, and Aeronautical Radio Licensees Under Section 310(b)(4) of the Communications Act of 1934, as Amended, </w:t>
      </w:r>
      <w:r w:rsidR="002A1734">
        <w:t>Report and Order, 31 FCC Rcd 11272 (2016) (</w:t>
      </w:r>
      <w:r w:rsidRPr="00A96DF4" w:rsidR="00D55968">
        <w:rPr>
          <w:i/>
        </w:rPr>
        <w:t>2016</w:t>
      </w:r>
      <w:r w:rsidR="00D55968">
        <w:t xml:space="preserve"> </w:t>
      </w:r>
      <w:r w:rsidR="002A1734">
        <w:rPr>
          <w:i/>
        </w:rPr>
        <w:t xml:space="preserve">Foreign Ownership </w:t>
      </w:r>
      <w:r w:rsidRPr="002A1734" w:rsidR="002A1734">
        <w:rPr>
          <w:i/>
        </w:rPr>
        <w:t>Order</w:t>
      </w:r>
      <w:r w:rsidR="002A1734">
        <w:t>)</w:t>
      </w:r>
      <w:r w:rsidR="00D319E0">
        <w:t xml:space="preserve">, </w:t>
      </w:r>
      <w:r w:rsidRPr="00A96DF4" w:rsidR="00FC3307">
        <w:rPr>
          <w:i/>
        </w:rPr>
        <w:t xml:space="preserve">pet. for recon. </w:t>
      </w:r>
      <w:r w:rsidRPr="00A96DF4" w:rsidR="00D319E0">
        <w:rPr>
          <w:i/>
        </w:rPr>
        <w:t>d</w:t>
      </w:r>
      <w:r w:rsidRPr="00A96DF4" w:rsidR="00FC3307">
        <w:rPr>
          <w:i/>
        </w:rPr>
        <w:t>ismissed</w:t>
      </w:r>
      <w:r w:rsidR="00FC3307">
        <w:t>,</w:t>
      </w:r>
      <w:r w:rsidR="00D319E0">
        <w:t xml:space="preserve"> </w:t>
      </w:r>
      <w:r w:rsidR="00FC3307">
        <w:t>32 FCC Rcd 4780 (2017)</w:t>
      </w:r>
      <w:r w:rsidR="002A1734">
        <w:t xml:space="preserve">; </w:t>
      </w:r>
      <w:r w:rsidR="002A1734">
        <w:rPr>
          <w:i/>
        </w:rPr>
        <w:t xml:space="preserve">see also </w:t>
      </w:r>
      <w:r w:rsidRPr="00E956EB">
        <w:rPr>
          <w:i/>
        </w:rPr>
        <w:t>Commission Policies and Procedures under Section 310(b)(4) of the Communications Act, Foreign Investment in Broadcast Licensees</w:t>
      </w:r>
      <w:r w:rsidRPr="00E956EB">
        <w:t>, Declaratory Ruling, 28 FCC Rcd 16244 (2013) (</w:t>
      </w:r>
      <w:r w:rsidR="00CD73EE">
        <w:rPr>
          <w:i/>
        </w:rPr>
        <w:t xml:space="preserve">2013 </w:t>
      </w:r>
      <w:r w:rsidR="001E2FA3">
        <w:rPr>
          <w:i/>
        </w:rPr>
        <w:t xml:space="preserve">Broadcast Clarification </w:t>
      </w:r>
      <w:r w:rsidRPr="00E956EB">
        <w:rPr>
          <w:i/>
        </w:rPr>
        <w:t>Ruling</w:t>
      </w:r>
      <w:r>
        <w:t>)</w:t>
      </w:r>
      <w:r w:rsidRPr="0074744D">
        <w:t>.</w:t>
      </w:r>
    </w:p>
  </w:footnote>
  <w:footnote w:id="7">
    <w:p w:rsidR="00C871BC" w:rsidRPr="00191B61" w:rsidP="00C871BC">
      <w:pPr>
        <w:pStyle w:val="FootnoteText"/>
      </w:pPr>
      <w:r>
        <w:rPr>
          <w:rStyle w:val="FootnoteReference"/>
        </w:rPr>
        <w:footnoteRef/>
      </w:r>
      <w:r>
        <w:t xml:space="preserve"> Ricki Lee Shorthose and Hanna Kaleta are husband and wife.</w:t>
      </w:r>
      <w:r>
        <w:rPr>
          <w:i/>
        </w:rPr>
        <w:t xml:space="preserve">  See </w:t>
      </w:r>
      <w:r>
        <w:t>Petition at 1.</w:t>
      </w:r>
    </w:p>
  </w:footnote>
  <w:footnote w:id="8">
    <w:p w:rsidR="00C27256" w:rsidRPr="007C7B55" w:rsidP="00C27256">
      <w:pPr>
        <w:pStyle w:val="FootnoteText"/>
      </w:pPr>
      <w:r>
        <w:rPr>
          <w:rStyle w:val="FootnoteReference"/>
        </w:rPr>
        <w:footnoteRef/>
      </w:r>
      <w:r>
        <w:t xml:space="preserve"> </w:t>
      </w:r>
      <w:r>
        <w:rPr>
          <w:i/>
        </w:rPr>
        <w:t xml:space="preserve">Id. </w:t>
      </w:r>
      <w:r>
        <w:t>at 4.</w:t>
      </w:r>
    </w:p>
  </w:footnote>
  <w:footnote w:id="9">
    <w:p w:rsidR="000C079F" w:rsidRPr="000C079F" w:rsidP="000C079F">
      <w:pPr>
        <w:pStyle w:val="FootnoteText"/>
        <w:rPr>
          <w:i/>
        </w:rPr>
      </w:pPr>
      <w:r>
        <w:rPr>
          <w:rStyle w:val="FootnoteReference"/>
        </w:rPr>
        <w:footnoteRef/>
      </w:r>
      <w:r>
        <w:t xml:space="preserve"> Petition at 3.  According to the Petitioner, Mr. Shorthose, who holds a Bachelor’s degree in radio and television broadcasting technology, has worked in radio broadcasting for almost 18 years and held the following positions: Senior Producer for Bauer Media in Sheffield; Deputy Programme Controller for a radio station owned by Canwest in Bristol, England; and Programme Director for JACK FM and Star Radio for Tomahawk Radio and later Celador Radio in Bristol.  </w:t>
      </w:r>
      <w:r>
        <w:rPr>
          <w:i/>
        </w:rPr>
        <w:t>Id.</w:t>
      </w:r>
    </w:p>
  </w:footnote>
  <w:footnote w:id="10">
    <w:p w:rsidR="000C079F" w:rsidP="000C079F">
      <w:pPr>
        <w:pStyle w:val="FootnoteText"/>
      </w:pPr>
      <w:r>
        <w:rPr>
          <w:rStyle w:val="FootnoteReference"/>
        </w:rPr>
        <w:footnoteRef/>
      </w:r>
      <w:r>
        <w:t xml:space="preserve"> Mr. Shorthose and Ms. Kaleta have been living in the United States since 2015 on E-2 investor visas.  </w:t>
      </w:r>
      <w:r>
        <w:rPr>
          <w:i/>
        </w:rPr>
        <w:t xml:space="preserve">See </w:t>
      </w:r>
      <w:r>
        <w:t xml:space="preserve">Petition at 2.  </w:t>
      </w:r>
    </w:p>
  </w:footnote>
  <w:footnote w:id="11">
    <w:p w:rsidR="000C079F" w:rsidRPr="000578D0" w:rsidP="000C079F">
      <w:pPr>
        <w:pStyle w:val="FootnoteText"/>
        <w:rPr>
          <w:i/>
        </w:rPr>
      </w:pPr>
      <w:r>
        <w:rPr>
          <w:rStyle w:val="FootnoteReference"/>
        </w:rPr>
        <w:footnoteRef/>
      </w:r>
      <w:r>
        <w:t xml:space="preserve"> </w:t>
      </w:r>
      <w:r>
        <w:rPr>
          <w:i/>
        </w:rPr>
        <w:t>Id.</w:t>
      </w:r>
    </w:p>
  </w:footnote>
  <w:footnote w:id="12">
    <w:p w:rsidR="000C079F" w:rsidRPr="00B5583E" w:rsidP="000C079F">
      <w:pPr>
        <w:pStyle w:val="FootnoteText"/>
        <w:rPr>
          <w:i/>
        </w:rPr>
      </w:pPr>
      <w:r>
        <w:rPr>
          <w:rStyle w:val="FootnoteReference"/>
        </w:rPr>
        <w:footnoteRef/>
      </w:r>
      <w:r>
        <w:t xml:space="preserve"> </w:t>
      </w:r>
      <w:r>
        <w:rPr>
          <w:i/>
        </w:rPr>
        <w:t xml:space="preserve">Id. </w:t>
      </w:r>
      <w:r>
        <w:t>at 4.</w:t>
      </w:r>
      <w:r>
        <w:rPr>
          <w:i/>
        </w:rPr>
        <w:t xml:space="preserve"> </w:t>
      </w:r>
    </w:p>
  </w:footnote>
  <w:footnote w:id="13">
    <w:p w:rsidR="000C079F" w:rsidRPr="00F170F2" w:rsidP="000C079F">
      <w:pPr>
        <w:pStyle w:val="FootnoteText"/>
      </w:pPr>
      <w:r>
        <w:rPr>
          <w:rStyle w:val="FootnoteReference"/>
        </w:rPr>
        <w:footnoteRef/>
      </w:r>
      <w:r>
        <w:t xml:space="preserve"> </w:t>
      </w:r>
      <w:r>
        <w:rPr>
          <w:i/>
        </w:rPr>
        <w:t>Id.</w:t>
      </w:r>
      <w:r w:rsidRPr="00F170F2">
        <w:t xml:space="preserve"> at </w:t>
      </w:r>
      <w:r>
        <w:t>2</w:t>
      </w:r>
      <w:r w:rsidRPr="00F170F2">
        <w:t>.</w:t>
      </w:r>
    </w:p>
  </w:footnote>
  <w:footnote w:id="14">
    <w:p w:rsidR="000B0413" w:rsidP="000B0413">
      <w:pPr>
        <w:pStyle w:val="FootnoteText"/>
      </w:pPr>
      <w:r>
        <w:rPr>
          <w:rStyle w:val="FootnoteReference"/>
        </w:rPr>
        <w:footnoteRef/>
      </w:r>
      <w:r>
        <w:t xml:space="preserve"> 47 U.S.C. § 310(b)(4).</w:t>
      </w:r>
    </w:p>
  </w:footnote>
  <w:footnote w:id="15">
    <w:p w:rsidR="000B0413" w:rsidRPr="004D37DE" w:rsidP="000B0413">
      <w:pPr>
        <w:pStyle w:val="FootnoteText"/>
      </w:pPr>
      <w:r>
        <w:rPr>
          <w:rStyle w:val="FootnoteReference"/>
        </w:rPr>
        <w:footnoteRef/>
      </w:r>
      <w:r>
        <w:t xml:space="preserve"> </w:t>
      </w:r>
      <w:r>
        <w:rPr>
          <w:i/>
        </w:rPr>
        <w:t xml:space="preserve">See 2013 Broadcast Clarification Ruling, supra </w:t>
      </w:r>
      <w:r>
        <w:t xml:space="preserve">note </w:t>
      </w:r>
      <w:r w:rsidR="00F0008D">
        <w:t>4</w:t>
      </w:r>
      <w:r>
        <w:t>.</w:t>
      </w:r>
    </w:p>
  </w:footnote>
  <w:footnote w:id="16">
    <w:p w:rsidR="000B0413" w:rsidRPr="00084CD3" w:rsidP="000B0413">
      <w:pPr>
        <w:pStyle w:val="FootnoteText"/>
      </w:pPr>
      <w:r>
        <w:rPr>
          <w:rStyle w:val="FootnoteReference"/>
        </w:rPr>
        <w:footnoteRef/>
      </w:r>
      <w:r>
        <w:t xml:space="preserve"> </w:t>
      </w:r>
      <w:r w:rsidRPr="00A96DF4" w:rsidR="00ED2DFA">
        <w:rPr>
          <w:i/>
        </w:rPr>
        <w:t xml:space="preserve">2016 </w:t>
      </w:r>
      <w:r>
        <w:rPr>
          <w:i/>
        </w:rPr>
        <w:t>Foreign Ownership Order</w:t>
      </w:r>
      <w:r>
        <w:t xml:space="preserve">, </w:t>
      </w:r>
      <w:r>
        <w:rPr>
          <w:i/>
        </w:rPr>
        <w:t xml:space="preserve">supra </w:t>
      </w:r>
      <w:r>
        <w:t xml:space="preserve">note </w:t>
      </w:r>
      <w:r w:rsidR="00F0008D">
        <w:t>4</w:t>
      </w:r>
      <w:r>
        <w:t xml:space="preserve">.  </w:t>
      </w:r>
    </w:p>
  </w:footnote>
  <w:footnote w:id="17">
    <w:p w:rsidR="000B0413" w:rsidRPr="001C327C" w:rsidP="000B0413">
      <w:pPr>
        <w:pStyle w:val="FootnoteText"/>
      </w:pPr>
      <w:r>
        <w:rPr>
          <w:rStyle w:val="FootnoteReference"/>
        </w:rPr>
        <w:footnoteRef/>
      </w:r>
      <w:r>
        <w:t xml:space="preserve"> </w:t>
      </w:r>
      <w:r>
        <w:rPr>
          <w:i/>
        </w:rPr>
        <w:t>See 2013 Broadcast Clarification Order</w:t>
      </w:r>
      <w:r>
        <w:t xml:space="preserve">, 28 FCC Rcd at 16251, para. 14; </w:t>
      </w:r>
      <w:r w:rsidRPr="00A96DF4" w:rsidR="00ED2DFA">
        <w:rPr>
          <w:i/>
        </w:rPr>
        <w:t xml:space="preserve">2016 </w:t>
      </w:r>
      <w:r>
        <w:rPr>
          <w:i/>
        </w:rPr>
        <w:t>Foreign Ownership Order</w:t>
      </w:r>
      <w:r>
        <w:t>, 31 FCC Rcd at 11277, para. 6.</w:t>
      </w:r>
    </w:p>
  </w:footnote>
  <w:footnote w:id="18">
    <w:p w:rsidR="002709CA" w:rsidRPr="00651DF3" w:rsidP="002709CA">
      <w:pPr>
        <w:pStyle w:val="FootnoteText"/>
      </w:pPr>
      <w:r w:rsidRPr="00EF0AC2">
        <w:rPr>
          <w:rStyle w:val="FootnoteReference"/>
        </w:rPr>
        <w:footnoteRef/>
      </w:r>
      <w:r w:rsidRPr="00EF0AC2">
        <w:t xml:space="preserve"> </w:t>
      </w:r>
      <w:r w:rsidRPr="00EF0AC2">
        <w:rPr>
          <w:i/>
        </w:rPr>
        <w:t>2013 Broadcast Clarification Order</w:t>
      </w:r>
      <w:r w:rsidRPr="00EF0AC2">
        <w:t xml:space="preserve">, 28 FCC Rcd at 16249-50, para. </w:t>
      </w:r>
      <w:r w:rsidRPr="00EF0AC2" w:rsidR="00CD652F">
        <w:t>11</w:t>
      </w:r>
      <w:r w:rsidR="00CD652F">
        <w:t>.</w:t>
      </w:r>
      <w:r w:rsidRPr="00651DF3" w:rsidR="00651DF3">
        <w:t xml:space="preserve"> </w:t>
      </w:r>
      <w:r w:rsidR="00651DF3">
        <w:t>The Commission recognized</w:t>
      </w:r>
      <w:r w:rsidRPr="00EF0AC2" w:rsidR="00651DF3">
        <w:t xml:space="preserve"> that “changes have occurred in the media landscape and marketplace since the foreign ownership restriction was enacted and that limited access to capital is a concern in the broadcast industry, especially for small business entities and new entrants, including minorities and women.”</w:t>
      </w:r>
      <w:r w:rsidR="00651DF3">
        <w:t xml:space="preserve">  </w:t>
      </w:r>
      <w:r w:rsidR="00651DF3">
        <w:rPr>
          <w:i/>
        </w:rPr>
        <w:t>Id</w:t>
      </w:r>
      <w:r w:rsidR="00651DF3">
        <w:t>. at 10.</w:t>
      </w:r>
    </w:p>
  </w:footnote>
  <w:footnote w:id="19">
    <w:p w:rsidR="00395B9C" w:rsidRPr="00791B04" w:rsidP="00395B9C">
      <w:pPr>
        <w:pStyle w:val="FootnoteText"/>
      </w:pPr>
      <w:r>
        <w:rPr>
          <w:rStyle w:val="FootnoteReference"/>
        </w:rPr>
        <w:footnoteRef/>
      </w:r>
      <w:r>
        <w:t xml:space="preserve"> </w:t>
      </w:r>
      <w:r w:rsidRPr="00A96DF4" w:rsidR="00ED2DFA">
        <w:rPr>
          <w:i/>
        </w:rPr>
        <w:t>2016</w:t>
      </w:r>
      <w:r w:rsidR="00ED2DFA">
        <w:t xml:space="preserve"> </w:t>
      </w:r>
      <w:r w:rsidR="005F0488">
        <w:rPr>
          <w:i/>
        </w:rPr>
        <w:t>Foreign Ownership Order</w:t>
      </w:r>
      <w:r>
        <w:t xml:space="preserve">, 31 FCC Rcd at 11282, para. 15. </w:t>
      </w:r>
    </w:p>
  </w:footnote>
  <w:footnote w:id="20">
    <w:p w:rsidR="00C36D55" w:rsidRPr="000F1CCC" w:rsidP="00C36D55">
      <w:pPr>
        <w:pStyle w:val="FootnoteText"/>
      </w:pPr>
      <w:r>
        <w:rPr>
          <w:rStyle w:val="FootnoteReference"/>
        </w:rPr>
        <w:footnoteRef/>
      </w:r>
      <w:r>
        <w:t xml:space="preserve"> </w:t>
      </w:r>
      <w:r w:rsidR="00F0008D">
        <w:rPr>
          <w:i/>
        </w:rPr>
        <w:t>2013 Broadcast Clarification Order</w:t>
      </w:r>
      <w:r w:rsidR="00F0008D">
        <w:t>,</w:t>
      </w:r>
      <w:r w:rsidR="00690942">
        <w:t xml:space="preserve"> </w:t>
      </w:r>
      <w:r w:rsidR="00F0008D">
        <w:t>28 FCC Rcd</w:t>
      </w:r>
      <w:r>
        <w:t xml:space="preserve"> at 16250, para. 11.</w:t>
      </w:r>
      <w:r w:rsidR="00132539">
        <w:t xml:space="preserve">  </w:t>
      </w:r>
      <w:r w:rsidR="00132539">
        <w:rPr>
          <w:szCs w:val="22"/>
        </w:rPr>
        <w:t xml:space="preserve">Following the issuance of the </w:t>
      </w:r>
      <w:r w:rsidR="00132539">
        <w:rPr>
          <w:i/>
          <w:szCs w:val="22"/>
        </w:rPr>
        <w:t xml:space="preserve">2013 Broadcast Clarification Ruling, </w:t>
      </w:r>
      <w:r w:rsidR="00132539">
        <w:t xml:space="preserve">the Commission </w:t>
      </w:r>
      <w:r w:rsidRPr="00EF0AC2" w:rsidR="00132539">
        <w:t>granted a petition for declaratory ruling filed by Pandora Radio LLC</w:t>
      </w:r>
      <w:r w:rsidR="00132539">
        <w:t>, a publicly traded company,</w:t>
      </w:r>
      <w:r w:rsidRPr="00EF0AC2" w:rsidR="00132539">
        <w:t xml:space="preserve"> to exceed the 25 percent foreign ownership benchmark set out in Section 310(b)(4)</w:t>
      </w:r>
      <w:r w:rsidR="00132539">
        <w:t xml:space="preserve">.  </w:t>
      </w:r>
      <w:r w:rsidRPr="00EF0AC2" w:rsidR="00132539">
        <w:rPr>
          <w:i/>
        </w:rPr>
        <w:t>Pandora Radio LLC Petition for Declaratory Ruling Under Section 310(b)(4) of the Communications Act of 1934, as Amended</w:t>
      </w:r>
      <w:r w:rsidRPr="00EF0AC2" w:rsidR="00132539">
        <w:t>, Declaratory Ruling, 30 FCC Rcd 5094, 5095-96, para. 4 (2015) (</w:t>
      </w:r>
      <w:r w:rsidRPr="00EF0AC2" w:rsidR="00132539">
        <w:rPr>
          <w:i/>
        </w:rPr>
        <w:t>Pandora Declaratory Ruling</w:t>
      </w:r>
      <w:r w:rsidRPr="00EF0AC2" w:rsidR="00132539">
        <w:t xml:space="preserve">), </w:t>
      </w:r>
      <w:r w:rsidRPr="00EF0AC2" w:rsidR="00132539">
        <w:rPr>
          <w:i/>
        </w:rPr>
        <w:t>recon denied,</w:t>
      </w:r>
      <w:r w:rsidRPr="00EF0AC2" w:rsidR="00132539">
        <w:t xml:space="preserve"> 30 FCC Rcd 10570 (2015).</w:t>
      </w:r>
      <w:r w:rsidR="00132539">
        <w:t xml:space="preserve">  Subsequently, the Bureau granted two petitions for declaratory ruling allowing aggregate foreign investment </w:t>
      </w:r>
      <w:r w:rsidR="00690942">
        <w:t xml:space="preserve">of 49 percent </w:t>
      </w:r>
      <w:r w:rsidR="00132539">
        <w:t xml:space="preserve">in </w:t>
      </w:r>
      <w:r w:rsidR="00690942">
        <w:t xml:space="preserve">the controlling U.S. parent companies of two </w:t>
      </w:r>
      <w:r w:rsidR="00132539">
        <w:t xml:space="preserve">broadcast licensees, and a petition for declaratory ruling permitting 100 percent foreign ownership of the controlling U.S. parent company of a broadcast licensee.  </w:t>
      </w:r>
      <w:r w:rsidR="008A21BA">
        <w:rPr>
          <w:i/>
        </w:rPr>
        <w:t xml:space="preserve">See </w:t>
      </w:r>
      <w:r w:rsidR="00132539">
        <w:rPr>
          <w:i/>
        </w:rPr>
        <w:t>Univision Holdings, Inc.</w:t>
      </w:r>
      <w:r w:rsidR="00132539">
        <w:t>,</w:t>
      </w:r>
      <w:r w:rsidRPr="00344976" w:rsidR="00132539">
        <w:t xml:space="preserve"> </w:t>
      </w:r>
      <w:r w:rsidR="00132539">
        <w:t>Declaratory Ruling, 32 FCC Rcd 6 (2017) (</w:t>
      </w:r>
      <w:r w:rsidR="00132539">
        <w:rPr>
          <w:i/>
        </w:rPr>
        <w:t>Univision Declaratory Ruling</w:t>
      </w:r>
      <w:r w:rsidR="00132539">
        <w:t>)</w:t>
      </w:r>
      <w:r w:rsidR="00132539">
        <w:rPr>
          <w:i/>
        </w:rPr>
        <w:t xml:space="preserve"> </w:t>
      </w:r>
      <w:r w:rsidR="00132539">
        <w:t>(permitting aggregate foreign ownership of 49 percent voting and equity</w:t>
      </w:r>
      <w:r w:rsidR="005F0488">
        <w:t xml:space="preserve"> interests</w:t>
      </w:r>
      <w:r w:rsidR="00132539">
        <w:t xml:space="preserve">); </w:t>
      </w:r>
      <w:r w:rsidR="00132539">
        <w:rPr>
          <w:i/>
        </w:rPr>
        <w:t>Hemisphere Media Group, Inc.</w:t>
      </w:r>
      <w:r w:rsidR="00132539">
        <w:t>, Declaratory Ruling, 32 FCC Rcd 718 (2017) (</w:t>
      </w:r>
      <w:r w:rsidR="00132539">
        <w:rPr>
          <w:i/>
        </w:rPr>
        <w:t>Hemisphere Declaratory Ruling</w:t>
      </w:r>
      <w:r w:rsidR="00132539">
        <w:t xml:space="preserve">) (permitting up to 49.99 percent aggregate foreign ownership); </w:t>
      </w:r>
      <w:r w:rsidR="00132539">
        <w:rPr>
          <w:i/>
        </w:rPr>
        <w:t>Frontier Media</w:t>
      </w:r>
      <w:r w:rsidR="00132539">
        <w:t>, Memorandum Opinion and Order and Declaratory Ruling, 32 FCC Rcd 1427 (2017) (</w:t>
      </w:r>
      <w:r w:rsidR="00132539">
        <w:rPr>
          <w:i/>
        </w:rPr>
        <w:t>Frontier Declaratory Ruling</w:t>
      </w:r>
      <w:r w:rsidR="00132539">
        <w:t>) (permitting 100 percent foreign ownership of the licensee’s parent company).</w:t>
      </w:r>
      <w:r w:rsidR="000F1CCC">
        <w:t xml:space="preserve">  </w:t>
      </w:r>
      <w:r w:rsidR="000F1CCC">
        <w:rPr>
          <w:i/>
        </w:rPr>
        <w:t>See also Corvex Master Fund LP</w:t>
      </w:r>
      <w:r w:rsidR="000F1CCC">
        <w:t>, Declaratory Ruling, 32 FCC Rcd 1352 (2017) (</w:t>
      </w:r>
      <w:r w:rsidR="000F1CCC">
        <w:rPr>
          <w:i/>
        </w:rPr>
        <w:t>Corvex Declaratory Ruling</w:t>
      </w:r>
      <w:r w:rsidR="000F1CCC">
        <w:t>) (</w:t>
      </w:r>
      <w:r w:rsidR="00E83ECB">
        <w:t>permitting Corvex to increase its non-controlling voting and equity interest in Pandora up to 14.99 percent)</w:t>
      </w:r>
      <w:r w:rsidR="00BA45B0">
        <w:t xml:space="preserve">; </w:t>
      </w:r>
      <w:r w:rsidR="004201F2">
        <w:rPr>
          <w:i/>
        </w:rPr>
        <w:t>Grupo Multimedia LLC</w:t>
      </w:r>
      <w:r w:rsidR="004201F2">
        <w:t xml:space="preserve">, Declaratory Ruling and Memorandum Opinion and Order, 2018 WL 2040290 (2018) </w:t>
      </w:r>
      <w:r w:rsidR="00BA45B0">
        <w:t>(permitting 100 percent foreign ownership in the licensee’s parent company</w:t>
      </w:r>
      <w:r w:rsidR="004201F2">
        <w:t>) (</w:t>
      </w:r>
      <w:r w:rsidR="004201F2">
        <w:rPr>
          <w:i/>
        </w:rPr>
        <w:t>Grupo Multimedia Declaratory Ruling</w:t>
      </w:r>
      <w:r w:rsidR="004201F2">
        <w:t>)</w:t>
      </w:r>
      <w:r w:rsidR="00BA45B0">
        <w:t>.</w:t>
      </w:r>
    </w:p>
  </w:footnote>
  <w:footnote w:id="21">
    <w:p w:rsidR="00575AD9" w:rsidRPr="000B7EFE" w:rsidP="00575AD9">
      <w:pPr>
        <w:pStyle w:val="FootnoteText"/>
      </w:pPr>
      <w:r>
        <w:rPr>
          <w:rStyle w:val="FootnoteReference"/>
        </w:rPr>
        <w:footnoteRef/>
      </w:r>
      <w:r>
        <w:t xml:space="preserve"> </w:t>
      </w:r>
      <w:r>
        <w:rPr>
          <w:i/>
        </w:rPr>
        <w:t>See</w:t>
      </w:r>
      <w:r w:rsidR="00C36221">
        <w:rPr>
          <w:i/>
        </w:rPr>
        <w:t>, e.g.,</w:t>
      </w:r>
      <w:r>
        <w:rPr>
          <w:i/>
        </w:rPr>
        <w:t xml:space="preserve"> Pandora Declaratory Ruling</w:t>
      </w:r>
      <w:r>
        <w:t>, 30 FCC Rcd at 5096, para. 5.</w:t>
      </w:r>
    </w:p>
  </w:footnote>
  <w:footnote w:id="22">
    <w:p w:rsidR="000D7A68" w:rsidP="000D7A68">
      <w:pPr>
        <w:pStyle w:val="FootnoteText"/>
      </w:pPr>
      <w:r>
        <w:rPr>
          <w:rStyle w:val="FootnoteReference"/>
        </w:rPr>
        <w:footnoteRef/>
      </w:r>
      <w:r>
        <w:t xml:space="preserve"> </w:t>
      </w:r>
      <w:r>
        <w:rPr>
          <w:i/>
        </w:rPr>
        <w:t xml:space="preserve">See </w:t>
      </w:r>
      <w:r w:rsidRPr="003260BE">
        <w:t xml:space="preserve">Letter from </w:t>
      </w:r>
      <w:r w:rsidR="0081197B">
        <w:t>Sanchitha Jayaram</w:t>
      </w:r>
      <w:r w:rsidRPr="003260BE">
        <w:t xml:space="preserve">, </w:t>
      </w:r>
      <w:r>
        <w:t>Chief</w:t>
      </w:r>
      <w:r w:rsidRPr="003260BE">
        <w:t xml:space="preserve">, </w:t>
      </w:r>
      <w:r>
        <w:t>Foreign Investment Review Staff</w:t>
      </w:r>
      <w:r w:rsidRPr="003260BE">
        <w:t xml:space="preserve">, </w:t>
      </w:r>
      <w:r w:rsidRPr="00837D80">
        <w:t>National Security Division, U.S. Department of Justice</w:t>
      </w:r>
      <w:r w:rsidRPr="003260BE">
        <w:t xml:space="preserve">, to </w:t>
      </w:r>
      <w:r>
        <w:t>Marlene H. Dortch, Secretary, FCC</w:t>
      </w:r>
      <w:r w:rsidRPr="003260BE">
        <w:t xml:space="preserve"> (</w:t>
      </w:r>
      <w:r w:rsidR="0081197B">
        <w:t>July 24</w:t>
      </w:r>
      <w:r>
        <w:t>, 2018</w:t>
      </w:r>
      <w:r w:rsidRPr="003260BE">
        <w:t xml:space="preserve">) (on file in </w:t>
      </w:r>
      <w:r>
        <w:t>MB Docket No. 1</w:t>
      </w:r>
      <w:r w:rsidR="0081197B">
        <w:t>8</w:t>
      </w:r>
      <w:r>
        <w:t>-</w:t>
      </w:r>
      <w:r w:rsidR="0081197B">
        <w:t>66</w:t>
      </w:r>
      <w:r w:rsidRPr="003260BE">
        <w:t>)</w:t>
      </w:r>
      <w:r>
        <w:t>.</w:t>
      </w:r>
    </w:p>
  </w:footnote>
  <w:footnote w:id="23">
    <w:p w:rsidR="00040EE4" w:rsidRPr="00040EE4">
      <w:pPr>
        <w:pStyle w:val="FootnoteText"/>
      </w:pPr>
      <w:r>
        <w:rPr>
          <w:rStyle w:val="FootnoteReference"/>
        </w:rPr>
        <w:footnoteRef/>
      </w:r>
      <w:r>
        <w:t xml:space="preserve"> </w:t>
      </w:r>
      <w:r>
        <w:rPr>
          <w:i/>
        </w:rPr>
        <w:t xml:space="preserve">See </w:t>
      </w:r>
      <w:r>
        <w:t>47 CFR § 1.500</w:t>
      </w:r>
      <w:r w:rsidR="00120250">
        <w:t>0</w:t>
      </w:r>
      <w:r>
        <w:t>(</w:t>
      </w:r>
      <w:r w:rsidR="00120250">
        <w:t>a</w:t>
      </w:r>
      <w:r>
        <w:t>).</w:t>
      </w:r>
    </w:p>
  </w:footnote>
  <w:footnote w:id="24">
    <w:p w:rsidR="002F46FC" w:rsidP="002F46FC">
      <w:pPr>
        <w:pStyle w:val="FootnoteText"/>
      </w:pPr>
      <w:r>
        <w:rPr>
          <w:rStyle w:val="FootnoteReference"/>
        </w:rPr>
        <w:footnoteRef/>
      </w:r>
      <w:r>
        <w:t xml:space="preserve"> </w:t>
      </w:r>
      <w:r>
        <w:rPr>
          <w:i/>
        </w:rPr>
        <w:t>See</w:t>
      </w:r>
      <w:r w:rsidR="00695783">
        <w:rPr>
          <w:i/>
        </w:rPr>
        <w:t xml:space="preserve">, e.g., </w:t>
      </w:r>
      <w:r>
        <w:rPr>
          <w:i/>
        </w:rPr>
        <w:t xml:space="preserve">Pandora Declaratory Ruling, </w:t>
      </w:r>
      <w:r w:rsidR="00387080">
        <w:t>30 FCC Rcd at 5103, para.</w:t>
      </w:r>
      <w:r w:rsidR="009B39C1">
        <w:t xml:space="preserve"> </w:t>
      </w:r>
      <w:r w:rsidR="00387080">
        <w:t>23</w:t>
      </w:r>
      <w:r>
        <w:t>.</w:t>
      </w:r>
      <w:r w:rsidR="00AC1A63">
        <w:t xml:space="preserve"> </w:t>
      </w:r>
      <w:r w:rsidR="00695783">
        <w:t xml:space="preserve"> </w:t>
      </w:r>
      <w:r w:rsidRPr="00E93DF3" w:rsidR="00AC1A63">
        <w:t>Subsequent action</w:t>
      </w:r>
      <w:r w:rsidR="00387080">
        <w:t xml:space="preserve">s taken by or on behalf of </w:t>
      </w:r>
      <w:r w:rsidR="00657A3B">
        <w:t xml:space="preserve">BML </w:t>
      </w:r>
      <w:r w:rsidRPr="00E93DF3" w:rsidR="00AC1A63">
        <w:t>to remedy non</w:t>
      </w:r>
      <w:r w:rsidR="00387080">
        <w:t>-c</w:t>
      </w:r>
      <w:r w:rsidR="00F27CC6">
        <w:t xml:space="preserve">ompliance shall not relieve </w:t>
      </w:r>
      <w:r w:rsidR="009B39C1">
        <w:t xml:space="preserve">it </w:t>
      </w:r>
      <w:r w:rsidRPr="00E93DF3" w:rsidR="00AC1A63">
        <w:t xml:space="preserve">of the obligation to notify the Commission of the circumstances (including duration) of non-compliance. </w:t>
      </w:r>
      <w:r w:rsidR="00EA0C44">
        <w:t xml:space="preserve"> </w:t>
      </w:r>
    </w:p>
  </w:footnote>
  <w:footnote w:id="25">
    <w:p w:rsidR="00DD4FB5" w:rsidP="00DD4FB5">
      <w:pPr>
        <w:pStyle w:val="FootnoteText"/>
      </w:pPr>
      <w:r>
        <w:rPr>
          <w:rStyle w:val="FootnoteReference"/>
        </w:rPr>
        <w:footnoteRef/>
      </w:r>
      <w:r>
        <w:t xml:space="preserve"> 47 U.S.C. § 310(d).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7F" w:rsidP="00810B6F">
    <w:pPr>
      <w:pStyle w:val="Header"/>
      <w:rPr>
        <w:b w:val="0"/>
      </w:rPr>
    </w:pPr>
    <w:r>
      <w:tab/>
      <w:t>Federal Communications Commission</w:t>
    </w:r>
    <w:r>
      <w:tab/>
    </w:r>
    <w:r w:rsidR="0034480A">
      <w:t xml:space="preserve">DA </w:t>
    </w:r>
    <w:r w:rsidRPr="001078F1" w:rsidR="0034480A">
      <w:t>18-888</w:t>
    </w:r>
  </w:p>
  <w:p w:rsidR="00EF627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F627F">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7F" w:rsidP="00810B6F">
    <w:pPr>
      <w:pStyle w:val="Header"/>
      <w:rPr>
        <w:b w:val="0"/>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4480A">
      <w:t xml:space="preserve">DA </w:t>
    </w:r>
    <w:r w:rsidRPr="001078F1" w:rsidR="001078F1">
      <w:t>18-888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2"/>
    <w:multiLevelType w:val="singleLevel"/>
    <w:tmpl w:val="93E665D0"/>
    <w:lvl w:ilvl="0">
      <w:start w:val="1"/>
      <w:numFmt w:val="decimal"/>
      <w:lvlText w:val="%1."/>
      <w:lvlJc w:val="left"/>
      <w:pPr>
        <w:tabs>
          <w:tab w:val="num" w:pos="0"/>
        </w:tabs>
        <w:ind w:left="0" w:firstLine="720"/>
      </w:pPr>
      <w:rPr>
        <w:rFonts w:ascii="Times New Roman" w:hAnsi="Times New Roman" w:cs="Times New Roman"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02B400B"/>
    <w:multiLevelType w:val="hybridMultilevel"/>
    <w:tmpl w:val="5CB6073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300650E"/>
    <w:multiLevelType w:val="hybridMultilevel"/>
    <w:tmpl w:val="093CC4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4F86978"/>
    <w:multiLevelType w:val="hybridMultilevel"/>
    <w:tmpl w:val="31C6F38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03D45B4"/>
    <w:multiLevelType w:val="hybridMultilevel"/>
    <w:tmpl w:val="9D48443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84C0BA8"/>
    <w:multiLevelType w:val="hybridMultilevel"/>
    <w:tmpl w:val="D944AC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FD34EB8"/>
    <w:multiLevelType w:val="hybridMultilevel"/>
    <w:tmpl w:val="905CA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E6247B8"/>
    <w:multiLevelType w:val="hybridMultilevel"/>
    <w:tmpl w:val="BB08B6A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7406A2"/>
    <w:multiLevelType w:val="hybridMultilevel"/>
    <w:tmpl w:val="B964DA46"/>
    <w:lvl w:ilvl="0">
      <w:start w:val="1"/>
      <w:numFmt w:val="bullet"/>
      <w:lvlText w:val=""/>
      <w:lvlJc w:val="left"/>
      <w:pPr>
        <w:ind w:left="1872" w:hanging="360"/>
      </w:pPr>
      <w:rPr>
        <w:rFonts w:ascii="Symbol" w:hAnsi="Symbol" w:hint="default"/>
      </w:rPr>
    </w:lvl>
    <w:lvl w:ilvl="1" w:tentative="1">
      <w:start w:val="1"/>
      <w:numFmt w:val="bullet"/>
      <w:lvlText w:val="o"/>
      <w:lvlJc w:val="left"/>
      <w:pPr>
        <w:ind w:left="2592" w:hanging="360"/>
      </w:pPr>
      <w:rPr>
        <w:rFonts w:ascii="Courier New" w:hAnsi="Courier New" w:cs="Courier New" w:hint="default"/>
      </w:rPr>
    </w:lvl>
    <w:lvl w:ilvl="2" w:tentative="1">
      <w:start w:val="1"/>
      <w:numFmt w:val="bullet"/>
      <w:lvlText w:val=""/>
      <w:lvlJc w:val="left"/>
      <w:pPr>
        <w:ind w:left="3312" w:hanging="360"/>
      </w:pPr>
      <w:rPr>
        <w:rFonts w:ascii="Wingdings" w:hAnsi="Wingdings" w:hint="default"/>
      </w:rPr>
    </w:lvl>
    <w:lvl w:ilvl="3" w:tentative="1">
      <w:start w:val="1"/>
      <w:numFmt w:val="bullet"/>
      <w:lvlText w:val=""/>
      <w:lvlJc w:val="left"/>
      <w:pPr>
        <w:ind w:left="4032" w:hanging="360"/>
      </w:pPr>
      <w:rPr>
        <w:rFonts w:ascii="Symbol" w:hAnsi="Symbol" w:hint="default"/>
      </w:rPr>
    </w:lvl>
    <w:lvl w:ilvl="4" w:tentative="1">
      <w:start w:val="1"/>
      <w:numFmt w:val="bullet"/>
      <w:lvlText w:val="o"/>
      <w:lvlJc w:val="left"/>
      <w:pPr>
        <w:ind w:left="4752" w:hanging="360"/>
      </w:pPr>
      <w:rPr>
        <w:rFonts w:ascii="Courier New" w:hAnsi="Courier New" w:cs="Courier New" w:hint="default"/>
      </w:rPr>
    </w:lvl>
    <w:lvl w:ilvl="5" w:tentative="1">
      <w:start w:val="1"/>
      <w:numFmt w:val="bullet"/>
      <w:lvlText w:val=""/>
      <w:lvlJc w:val="left"/>
      <w:pPr>
        <w:ind w:left="5472" w:hanging="360"/>
      </w:pPr>
      <w:rPr>
        <w:rFonts w:ascii="Wingdings" w:hAnsi="Wingdings" w:hint="default"/>
      </w:rPr>
    </w:lvl>
    <w:lvl w:ilvl="6" w:tentative="1">
      <w:start w:val="1"/>
      <w:numFmt w:val="bullet"/>
      <w:lvlText w:val=""/>
      <w:lvlJc w:val="left"/>
      <w:pPr>
        <w:ind w:left="6192" w:hanging="360"/>
      </w:pPr>
      <w:rPr>
        <w:rFonts w:ascii="Symbol" w:hAnsi="Symbol" w:hint="default"/>
      </w:rPr>
    </w:lvl>
    <w:lvl w:ilvl="7" w:tentative="1">
      <w:start w:val="1"/>
      <w:numFmt w:val="bullet"/>
      <w:lvlText w:val="o"/>
      <w:lvlJc w:val="left"/>
      <w:pPr>
        <w:ind w:left="6912" w:hanging="360"/>
      </w:pPr>
      <w:rPr>
        <w:rFonts w:ascii="Courier New" w:hAnsi="Courier New" w:cs="Courier New" w:hint="default"/>
      </w:rPr>
    </w:lvl>
    <w:lvl w:ilvl="8" w:tentative="1">
      <w:start w:val="1"/>
      <w:numFmt w:val="bullet"/>
      <w:lvlText w:val=""/>
      <w:lvlJc w:val="left"/>
      <w:pPr>
        <w:ind w:left="7632" w:hanging="360"/>
      </w:pPr>
      <w:rPr>
        <w:rFonts w:ascii="Wingdings" w:hAnsi="Wingdings" w:hint="default"/>
      </w:rPr>
    </w:lvl>
  </w:abstractNum>
  <w:abstractNum w:abstractNumId="14">
    <w:nsid w:val="5FE80508"/>
    <w:multiLevelType w:val="hybridMultilevel"/>
    <w:tmpl w:val="6B88DB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1182925"/>
    <w:multiLevelType w:val="singleLevel"/>
    <w:tmpl w:val="FA1C90BC"/>
    <w:lvl w:ilvl="0">
      <w:start w:val="1"/>
      <w:numFmt w:val="decimal"/>
      <w:pStyle w:val="ParaNum"/>
      <w:lvlText w:val="%1."/>
      <w:lvlJc w:val="left"/>
      <w:pPr>
        <w:tabs>
          <w:tab w:val="num" w:pos="1620"/>
        </w:tabs>
        <w:ind w:left="540" w:firstLine="720"/>
      </w:pPr>
      <w:rPr>
        <w:i w:val="0"/>
      </w:rPr>
    </w:lvl>
  </w:abstractNum>
  <w:abstractNum w:abstractNumId="16">
    <w:nsid w:val="6A191772"/>
    <w:multiLevelType w:val="hybridMultilevel"/>
    <w:tmpl w:val="C324DC0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nsid w:val="75016D31"/>
    <w:multiLevelType w:val="hybridMultilevel"/>
    <w:tmpl w:val="955420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7A393619"/>
    <w:multiLevelType w:val="hybridMultilevel"/>
    <w:tmpl w:val="5A5A9A22"/>
    <w:lvl w:ilvl="0">
      <w:start w:val="1"/>
      <w:numFmt w:val="upperRoman"/>
      <w:lvlText w:val="%1."/>
      <w:lvlJc w:val="left"/>
      <w:pPr>
        <w:ind w:left="1152" w:hanging="720"/>
      </w:pPr>
      <w:rPr>
        <w:rFonts w:hint="default"/>
        <w:b/>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num w:numId="1">
    <w:abstractNumId w:val="4"/>
  </w:num>
  <w:num w:numId="2">
    <w:abstractNumId w:val="15"/>
  </w:num>
  <w:num w:numId="3">
    <w:abstractNumId w:val="7"/>
  </w:num>
  <w:num w:numId="4">
    <w:abstractNumId w:val="11"/>
  </w:num>
  <w:num w:numId="5">
    <w:abstractNumId w:val="5"/>
  </w:num>
  <w:num w:numId="6">
    <w:abstractNumId w:val="1"/>
  </w:num>
  <w:num w:numId="7">
    <w:abstractNumId w:val="14"/>
  </w:num>
  <w:num w:numId="8">
    <w:abstractNumId w:val="8"/>
  </w:num>
  <w:num w:numId="9">
    <w:abstractNumId w:val="6"/>
  </w:num>
  <w:num w:numId="10">
    <w:abstractNumId w:val="15"/>
    <w:lvlOverride w:ilvl="0">
      <w:startOverride w:val="1"/>
    </w:lvlOverride>
  </w:num>
  <w:num w:numId="11">
    <w:abstractNumId w:val="15"/>
  </w:num>
  <w:num w:numId="12">
    <w:abstractNumId w:val="7"/>
    <w:lvlOverride w:ilvl="0">
      <w:startOverride w:val="1"/>
    </w:lvlOverride>
    <w:lvlOverride w:ilvl="1">
      <w:startOverride w:val="1"/>
    </w:lvlOverride>
    <w:lvlOverride w:ilvl="2">
      <w:startOverride w:val="4"/>
    </w:lvlOverride>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3"/>
  </w:num>
  <w:num w:numId="20">
    <w:abstractNumId w:val="18"/>
  </w:num>
  <w:num w:numId="21">
    <w:abstractNumId w:val="13"/>
  </w:num>
  <w:num w:numId="22">
    <w:abstractNumId w:val="15"/>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num>
  <w:num w:numId="26">
    <w:abstractNumId w:val="15"/>
    <w:lvlOverride w:ilvl="0">
      <w:startOverride w:val="1"/>
    </w:lvlOverride>
  </w:num>
  <w:num w:numId="27">
    <w:abstractNumId w:val="15"/>
  </w:num>
  <w:num w:numId="28">
    <w:abstractNumId w:val="15"/>
  </w:num>
  <w:num w:numId="29">
    <w:abstractNumId w:val="15"/>
  </w:num>
  <w:num w:numId="30">
    <w:abstractNumId w:val="15"/>
  </w:num>
  <w:num w:numId="31">
    <w:abstractNumId w:val="0"/>
  </w:num>
  <w:num w:numId="32">
    <w:abstractNumId w:val="1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4F0B44"/>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fn Char Char"/>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D5191B"/>
    <w:rPr>
      <w:rFonts w:ascii="Tahoma" w:hAnsi="Tahoma" w:cs="Tahoma"/>
      <w:sz w:val="16"/>
      <w:szCs w:val="16"/>
    </w:rPr>
  </w:style>
  <w:style w:type="character" w:customStyle="1" w:styleId="BalloonTextChar">
    <w:name w:val="Balloon Text Char"/>
    <w:basedOn w:val="DefaultParagraphFont"/>
    <w:link w:val="BalloonText"/>
    <w:rsid w:val="00D5191B"/>
    <w:rPr>
      <w:rFonts w:ascii="Tahoma" w:hAnsi="Tahoma" w:cs="Tahoma"/>
      <w:snapToGrid w:val="0"/>
      <w:kern w:val="28"/>
      <w:sz w:val="16"/>
      <w:szCs w:val="16"/>
    </w:rPr>
  </w:style>
  <w:style w:type="paragraph" w:styleId="ListParagraph">
    <w:name w:val="List Paragraph"/>
    <w:basedOn w:val="Normal"/>
    <w:uiPriority w:val="34"/>
    <w:qFormat/>
    <w:rsid w:val="00B60EE0"/>
    <w:pPr>
      <w:ind w:left="720"/>
      <w:contextualSpacing/>
    </w:pPr>
  </w:style>
  <w:style w:type="character" w:styleId="CommentReference">
    <w:name w:val="annotation reference"/>
    <w:basedOn w:val="DefaultParagraphFont"/>
    <w:rsid w:val="005A001E"/>
    <w:rPr>
      <w:sz w:val="16"/>
      <w:szCs w:val="16"/>
    </w:rPr>
  </w:style>
  <w:style w:type="paragraph" w:styleId="CommentText">
    <w:name w:val="annotation text"/>
    <w:basedOn w:val="Normal"/>
    <w:link w:val="CommentTextChar"/>
    <w:rsid w:val="005A001E"/>
    <w:rPr>
      <w:sz w:val="20"/>
    </w:rPr>
  </w:style>
  <w:style w:type="character" w:customStyle="1" w:styleId="CommentTextChar">
    <w:name w:val="Comment Text Char"/>
    <w:basedOn w:val="DefaultParagraphFont"/>
    <w:link w:val="CommentText"/>
    <w:rsid w:val="005A001E"/>
    <w:rPr>
      <w:snapToGrid w:val="0"/>
      <w:kern w:val="28"/>
    </w:rPr>
  </w:style>
  <w:style w:type="paragraph" w:styleId="CommentSubject">
    <w:name w:val="annotation subject"/>
    <w:basedOn w:val="CommentText"/>
    <w:next w:val="CommentText"/>
    <w:link w:val="CommentSubjectChar"/>
    <w:rsid w:val="005A001E"/>
    <w:rPr>
      <w:b/>
      <w:bCs/>
    </w:rPr>
  </w:style>
  <w:style w:type="character" w:customStyle="1" w:styleId="CommentSubjectChar">
    <w:name w:val="Comment Subject Char"/>
    <w:basedOn w:val="CommentTextChar"/>
    <w:link w:val="CommentSubject"/>
    <w:rsid w:val="005A001E"/>
    <w:rPr>
      <w:b/>
      <w:bCs/>
      <w:snapToGrid w:val="0"/>
      <w:kern w:val="28"/>
    </w:rPr>
  </w:style>
  <w:style w:type="character" w:customStyle="1" w:styleId="ParaNumChar">
    <w:name w:val="ParaNum Char"/>
    <w:basedOn w:val="DefaultParagraphFont"/>
    <w:link w:val="ParaNum"/>
    <w:rsid w:val="003600AD"/>
    <w:rPr>
      <w:snapToGrid w:val="0"/>
      <w:kern w:val="28"/>
      <w:sz w:val="22"/>
    </w:rPr>
  </w:style>
  <w:style w:type="paragraph" w:styleId="Revision">
    <w:name w:val="Revision"/>
    <w:hidden/>
    <w:uiPriority w:val="99"/>
    <w:semiHidden/>
    <w:rsid w:val="0048799F"/>
    <w:rPr>
      <w:snapToGrid w:val="0"/>
      <w:kern w:val="28"/>
      <w:sz w:val="22"/>
    </w:rPr>
  </w:style>
  <w:style w:type="character" w:customStyle="1" w:styleId="emphi">
    <w:name w:val="emphi"/>
    <w:basedOn w:val="DefaultParagraphFont"/>
    <w:rsid w:val="00162930"/>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f Char,fn Char,fn Char Char Char"/>
    <w:basedOn w:val="DefaultParagraphFont"/>
    <w:link w:val="FootnoteText"/>
    <w:rsid w:val="00C7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