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A5D6B" w:rsidRPr="002B56A6" w:rsidP="002B56A6" w14:paraId="0B964077" w14:textId="0C014ED6">
      <w:pPr>
        <w:spacing w:after="0" w:line="240" w:lineRule="auto"/>
        <w:jc w:val="right"/>
        <w:rPr>
          <w:rFonts w:ascii="Times New Roman" w:hAnsi="Times New Roman" w:cs="Times New Roman"/>
          <w:b/>
        </w:rPr>
      </w:pPr>
      <w:r w:rsidRPr="002B56A6">
        <w:rPr>
          <w:rFonts w:ascii="Times New Roman" w:hAnsi="Times New Roman" w:cs="Times New Roman"/>
          <w:b/>
        </w:rPr>
        <w:t>DA</w:t>
      </w:r>
      <w:r w:rsidR="00C75F82">
        <w:rPr>
          <w:rFonts w:ascii="Times New Roman" w:hAnsi="Times New Roman" w:cs="Times New Roman"/>
          <w:b/>
        </w:rPr>
        <w:t xml:space="preserve"> 18</w:t>
      </w:r>
      <w:r w:rsidR="00381619">
        <w:rPr>
          <w:rFonts w:ascii="Times New Roman" w:hAnsi="Times New Roman" w:cs="Times New Roman"/>
          <w:b/>
        </w:rPr>
        <w:t>-896</w:t>
      </w:r>
    </w:p>
    <w:p w:rsidR="004A5D6B" w:rsidRPr="002B56A6" w:rsidP="002B56A6" w14:paraId="1E33C0FE" w14:textId="77777777">
      <w:pPr>
        <w:spacing w:after="0" w:line="240" w:lineRule="auto"/>
        <w:jc w:val="center"/>
        <w:rPr>
          <w:rFonts w:ascii="Times New Roman" w:hAnsi="Times New Roman" w:cs="Times New Roman"/>
          <w:b/>
        </w:rPr>
      </w:pPr>
    </w:p>
    <w:p w:rsidR="00EF0AF7" w:rsidP="002B56A6" w14:paraId="43A100AF" w14:textId="77777777">
      <w:pPr>
        <w:spacing w:after="0" w:line="240" w:lineRule="auto"/>
        <w:jc w:val="center"/>
        <w:rPr>
          <w:rFonts w:ascii="Times New Roman" w:hAnsi="Times New Roman" w:cs="Times New Roman"/>
          <w:b/>
          <w:sz w:val="28"/>
          <w:szCs w:val="28"/>
        </w:rPr>
      </w:pPr>
    </w:p>
    <w:p w:rsidR="004A5D6B" w:rsidRPr="005C16B1" w:rsidP="002B56A6" w14:paraId="427F86BF" w14:textId="77777777">
      <w:pPr>
        <w:spacing w:after="0" w:line="240" w:lineRule="auto"/>
        <w:jc w:val="center"/>
        <w:rPr>
          <w:rFonts w:ascii="Times New Roman" w:hAnsi="Times New Roman" w:cs="Times New Roman"/>
          <w:b/>
          <w:sz w:val="28"/>
          <w:szCs w:val="28"/>
        </w:rPr>
      </w:pPr>
      <w:r w:rsidRPr="005C16B1">
        <w:rPr>
          <w:rFonts w:ascii="Times New Roman" w:hAnsi="Times New Roman" w:cs="Times New Roman"/>
          <w:b/>
          <w:sz w:val="28"/>
          <w:szCs w:val="28"/>
        </w:rPr>
        <w:t>SMALL ENTITY COMPLIANCE GUIDE</w:t>
      </w:r>
    </w:p>
    <w:p w:rsidR="004A5D6B" w:rsidRPr="002B56A6" w:rsidP="002B56A6" w14:paraId="31612940" w14:textId="77777777">
      <w:pPr>
        <w:spacing w:after="0" w:line="240" w:lineRule="auto"/>
        <w:jc w:val="center"/>
        <w:rPr>
          <w:rFonts w:ascii="Times New Roman" w:hAnsi="Times New Roman" w:cs="Times New Roman"/>
          <w:b/>
        </w:rPr>
      </w:pPr>
    </w:p>
    <w:p w:rsidR="008729AB" w:rsidRPr="008C1C45" w:rsidP="002B56A6" w14:paraId="5CC55676" w14:textId="2E9304FE">
      <w:pPr>
        <w:spacing w:after="0" w:line="240" w:lineRule="auto"/>
        <w:jc w:val="center"/>
        <w:rPr>
          <w:rFonts w:ascii="Times New Roman" w:hAnsi="Times New Roman" w:cs="Times New Roman"/>
          <w:b/>
          <w:sz w:val="24"/>
          <w:szCs w:val="24"/>
        </w:rPr>
      </w:pPr>
      <w:r w:rsidRPr="008C1C45">
        <w:rPr>
          <w:rFonts w:ascii="Times New Roman" w:hAnsi="Times New Roman" w:cs="Times New Roman"/>
          <w:b/>
          <w:sz w:val="24"/>
          <w:szCs w:val="24"/>
        </w:rPr>
        <w:t>Use of Spectrum Bands Above 24 GHz For Mobile Radio Services, et al</w:t>
      </w:r>
      <w:r w:rsidRPr="008C1C45" w:rsidR="00323474">
        <w:rPr>
          <w:rFonts w:ascii="Times New Roman" w:hAnsi="Times New Roman" w:cs="Times New Roman"/>
          <w:b/>
          <w:sz w:val="24"/>
          <w:szCs w:val="24"/>
        </w:rPr>
        <w:t>.</w:t>
      </w:r>
    </w:p>
    <w:p w:rsidR="00323474" w:rsidRPr="004239D4" w:rsidP="002B56A6" w14:paraId="59335C63" w14:textId="77777777">
      <w:pPr>
        <w:spacing w:after="0" w:line="240" w:lineRule="auto"/>
        <w:jc w:val="center"/>
        <w:rPr>
          <w:rFonts w:ascii="Times New Roman" w:hAnsi="Times New Roman" w:cs="Times New Roman"/>
          <w:b/>
        </w:rPr>
      </w:pPr>
    </w:p>
    <w:p w:rsidR="00323474" w:rsidRPr="002B56A6" w:rsidP="002B56A6" w14:paraId="33B720DB" w14:textId="032F2B69">
      <w:pPr>
        <w:spacing w:after="0" w:line="240" w:lineRule="auto"/>
        <w:jc w:val="center"/>
        <w:rPr>
          <w:rFonts w:ascii="Times New Roman" w:hAnsi="Times New Roman" w:cs="Times New Roman"/>
          <w:b/>
        </w:rPr>
      </w:pPr>
      <w:r w:rsidRPr="002B56A6">
        <w:rPr>
          <w:rFonts w:ascii="Times New Roman" w:hAnsi="Times New Roman" w:cs="Times New Roman"/>
          <w:b/>
        </w:rPr>
        <w:t xml:space="preserve">FCC </w:t>
      </w:r>
      <w:r w:rsidRPr="002B56A6" w:rsidR="0001069B">
        <w:rPr>
          <w:rFonts w:ascii="Times New Roman" w:hAnsi="Times New Roman" w:cs="Times New Roman"/>
          <w:b/>
          <w:bCs/>
        </w:rPr>
        <w:t>17-152</w:t>
      </w:r>
    </w:p>
    <w:p w:rsidR="004A5D6B" w:rsidP="002B56A6" w14:paraId="2EA46203" w14:textId="314804DF">
      <w:pPr>
        <w:tabs>
          <w:tab w:val="center" w:pos="4680"/>
          <w:tab w:val="left" w:pos="7028"/>
        </w:tabs>
        <w:spacing w:line="240" w:lineRule="auto"/>
        <w:jc w:val="center"/>
        <w:rPr>
          <w:rFonts w:ascii="Times New Roman" w:hAnsi="Times New Roman" w:cs="Times New Roman"/>
          <w:b/>
        </w:rPr>
      </w:pPr>
      <w:r w:rsidRPr="002B56A6">
        <w:rPr>
          <w:rFonts w:ascii="Times New Roman" w:hAnsi="Times New Roman" w:cs="Times New Roman"/>
          <w:b/>
        </w:rPr>
        <w:t>WT</w:t>
      </w:r>
      <w:r w:rsidR="00323474">
        <w:rPr>
          <w:rFonts w:ascii="Times New Roman" w:hAnsi="Times New Roman" w:cs="Times New Roman"/>
          <w:b/>
        </w:rPr>
        <w:t xml:space="preserve"> </w:t>
      </w:r>
      <w:r w:rsidRPr="002B56A6">
        <w:rPr>
          <w:rFonts w:ascii="Times New Roman" w:hAnsi="Times New Roman" w:cs="Times New Roman"/>
          <w:b/>
        </w:rPr>
        <w:t xml:space="preserve">Docket No. </w:t>
      </w:r>
      <w:r w:rsidR="0069165C">
        <w:rPr>
          <w:rFonts w:ascii="Times New Roman" w:hAnsi="Times New Roman" w:cs="Times New Roman"/>
          <w:b/>
        </w:rPr>
        <w:t>10-112</w:t>
      </w:r>
      <w:r w:rsidR="0069165C">
        <w:rPr>
          <w:rFonts w:ascii="Times New Roman" w:hAnsi="Times New Roman" w:cs="Times New Roman"/>
          <w:b/>
        </w:rPr>
        <w:br/>
        <w:t>GN Docket No. 14-177</w:t>
      </w:r>
      <w:r w:rsidR="0069165C">
        <w:rPr>
          <w:rFonts w:ascii="Times New Roman" w:hAnsi="Times New Roman" w:cs="Times New Roman"/>
          <w:b/>
        </w:rPr>
        <w:br/>
        <w:t>IB Docket Nos. 97-95 and 15-256</w:t>
      </w:r>
    </w:p>
    <w:p w:rsidR="00C75F82" w:rsidRPr="002B56A6" w:rsidP="002B56A6" w14:paraId="7350EC2C" w14:textId="77777777">
      <w:pPr>
        <w:tabs>
          <w:tab w:val="center" w:pos="4680"/>
          <w:tab w:val="left" w:pos="7028"/>
        </w:tabs>
        <w:spacing w:line="240" w:lineRule="auto"/>
        <w:jc w:val="center"/>
        <w:rPr>
          <w:rFonts w:ascii="Times New Roman" w:hAnsi="Times New Roman" w:cs="Times New Roman"/>
          <w:b/>
        </w:rPr>
      </w:pPr>
      <w:r>
        <w:rPr>
          <w:rFonts w:ascii="Times New Roman" w:hAnsi="Times New Roman" w:cs="Times New Roman"/>
          <w:b/>
        </w:rPr>
        <w:t>Released:  November 22, 2017</w:t>
      </w:r>
    </w:p>
    <w:p w:rsidR="004A5D6B" w:rsidRPr="002B56A6" w:rsidP="002B56A6" w14:paraId="02814116" w14:textId="77777777">
      <w:pPr>
        <w:tabs>
          <w:tab w:val="center" w:pos="4680"/>
          <w:tab w:val="left" w:pos="7028"/>
        </w:tabs>
        <w:spacing w:line="240" w:lineRule="auto"/>
        <w:jc w:val="center"/>
        <w:rPr>
          <w:rFonts w:ascii="Times New Roman" w:hAnsi="Times New Roman" w:cs="Times New Roman"/>
          <w:b/>
        </w:rPr>
      </w:pPr>
      <w:r w:rsidRPr="002B56A6">
        <w:rPr>
          <w:rFonts w:ascii="Times New Roman" w:hAnsi="Times New Roman" w:cs="Times New Roman"/>
          <w:b/>
        </w:rPr>
        <w:tab/>
      </w:r>
      <w:r w:rsidRPr="002B56A6">
        <w:rPr>
          <w:rFonts w:ascii="Times New Roman" w:hAnsi="Times New Roman" w:cs="Times New Roman"/>
          <w:b/>
        </w:rPr>
        <w:tab/>
      </w:r>
    </w:p>
    <w:p w:rsidR="00C75F82" w:rsidRPr="00C75F82" w:rsidP="00C75F82" w14:paraId="33AA8817" w14:textId="77777777">
      <w:pPr>
        <w:spacing w:after="0"/>
        <w:ind w:left="1080"/>
        <w:rPr>
          <w:rFonts w:ascii="Times New Roman" w:eastAsia="Calibri" w:hAnsi="Times New Roman" w:cs="Times New Roman"/>
          <w:b/>
        </w:rPr>
      </w:pPr>
      <w:r w:rsidRPr="00C75F82">
        <w:rPr>
          <w:rFonts w:ascii="Times New Roman" w:eastAsia="Calibri"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C75F82" w:rsidRPr="00C75F82" w:rsidP="00C75F82" w14:paraId="30339C72" w14:textId="77777777">
      <w:pPr>
        <w:ind w:left="1080" w:hanging="1080"/>
        <w:contextualSpacing/>
        <w:rPr>
          <w:rFonts w:ascii="Times New Roman" w:eastAsia="Calibri" w:hAnsi="Times New Roman" w:cs="Times New Roman"/>
          <w:b/>
        </w:rPr>
      </w:pPr>
    </w:p>
    <w:p w:rsidR="00C75F82" w:rsidRPr="00C75F82" w:rsidP="00C75F82" w14:paraId="470593D6" w14:textId="77777777">
      <w:pPr>
        <w:ind w:left="1080"/>
        <w:contextualSpacing/>
        <w:rPr>
          <w:rFonts w:ascii="Times New Roman" w:eastAsia="Calibri" w:hAnsi="Times New Roman" w:cs="Times New Roman"/>
          <w:b/>
        </w:rPr>
      </w:pPr>
      <w:r w:rsidRPr="00C75F82">
        <w:rPr>
          <w:rFonts w:ascii="Times New Roman" w:eastAsia="Calibri"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C75F82" w:rsidRPr="00C75F82" w:rsidP="00C75F82" w14:paraId="3C054B17" w14:textId="77777777">
      <w:pPr>
        <w:ind w:left="1080"/>
        <w:contextualSpacing/>
        <w:rPr>
          <w:rFonts w:ascii="Times New Roman" w:eastAsia="Calibri" w:hAnsi="Times New Roman" w:cs="Times New Roman"/>
          <w:b/>
        </w:rPr>
      </w:pPr>
    </w:p>
    <w:p w:rsidR="00C75F82" w:rsidRPr="00C75F82" w:rsidP="00C75F82" w14:paraId="321E7CBC" w14:textId="77777777">
      <w:pPr>
        <w:ind w:left="1080"/>
        <w:contextualSpacing/>
        <w:jc w:val="center"/>
        <w:rPr>
          <w:rFonts w:ascii="Times New Roman" w:eastAsia="Calibri" w:hAnsi="Times New Roman" w:cs="Times New Roman"/>
          <w:b/>
        </w:rPr>
      </w:pPr>
      <w:r w:rsidRPr="00C75F82">
        <w:rPr>
          <w:rFonts w:ascii="Times New Roman" w:eastAsia="Calibri" w:hAnsi="Times New Roman" w:cs="Times New Roman"/>
          <w:b/>
        </w:rPr>
        <w:t>1-888-CALL-FCC (1-888-225-5322)</w:t>
      </w:r>
    </w:p>
    <w:p w:rsidR="00C75F82" w:rsidRPr="00C75F82" w:rsidP="00C75F82" w14:paraId="56A407CB" w14:textId="77777777">
      <w:pPr>
        <w:ind w:left="1080"/>
        <w:contextualSpacing/>
        <w:jc w:val="center"/>
        <w:rPr>
          <w:rFonts w:ascii="Times New Roman" w:eastAsia="Calibri" w:hAnsi="Times New Roman" w:cs="Times New Roman"/>
          <w:b/>
        </w:rPr>
      </w:pPr>
      <w:r w:rsidRPr="00C75F82">
        <w:rPr>
          <w:rFonts w:ascii="Times New Roman" w:eastAsia="Calibri" w:hAnsi="Times New Roman" w:cs="Times New Roman"/>
          <w:b/>
        </w:rPr>
        <w:t>TTY: 1-888-TELL-FCC (1-888-835-5322)</w:t>
      </w:r>
    </w:p>
    <w:p w:rsidR="00C75F82" w:rsidRPr="00C75F82" w:rsidP="00C75F82" w14:paraId="6DCBEC3B" w14:textId="77777777">
      <w:pPr>
        <w:ind w:left="1080"/>
        <w:contextualSpacing/>
        <w:jc w:val="center"/>
        <w:rPr>
          <w:rFonts w:ascii="Times New Roman" w:eastAsia="Calibri" w:hAnsi="Times New Roman" w:cs="Times New Roman"/>
          <w:b/>
        </w:rPr>
      </w:pPr>
      <w:r w:rsidRPr="00C75F82">
        <w:rPr>
          <w:rFonts w:ascii="Times New Roman" w:eastAsia="Calibri" w:hAnsi="Times New Roman" w:cs="Times New Roman"/>
          <w:b/>
        </w:rPr>
        <w:t>Videophone: 1-844-4-FCC-ASL (1-844-432-2275)</w:t>
      </w:r>
    </w:p>
    <w:p w:rsidR="00C75F82" w:rsidRPr="00C75F82" w:rsidP="00C75F82" w14:paraId="43328C71" w14:textId="77777777">
      <w:pPr>
        <w:ind w:left="1080"/>
        <w:contextualSpacing/>
        <w:jc w:val="center"/>
        <w:rPr>
          <w:rFonts w:ascii="Times New Roman" w:eastAsia="Calibri" w:hAnsi="Times New Roman" w:cs="Times New Roman"/>
          <w:b/>
        </w:rPr>
        <w:sectPr w:rsidSect="00152909">
          <w:headerReference w:type="default" r:id="rId5"/>
          <w:footerReference w:type="default" r:id="rId6"/>
          <w:pgSz w:w="12240" w:h="15840"/>
          <w:pgMar w:top="1440" w:right="1440" w:bottom="1008" w:left="1440" w:header="720" w:footer="187" w:gutter="0"/>
          <w:cols w:space="720"/>
          <w:docGrid w:linePitch="360"/>
        </w:sectPr>
      </w:pPr>
      <w:r w:rsidRPr="00C75F82">
        <w:rPr>
          <w:rFonts w:ascii="Times New Roman" w:eastAsia="Calibri" w:hAnsi="Times New Roman" w:cs="Times New Roman"/>
          <w:b/>
        </w:rPr>
        <w:t>Fax: 1-866-418-0232</w:t>
      </w:r>
    </w:p>
    <w:p w:rsidR="00B4428E" w:rsidRPr="00B4428E" w:rsidP="00B4428E" w14:paraId="2863ECB0" w14:textId="77A44492">
      <w:pPr>
        <w:jc w:val="center"/>
        <w:rPr>
          <w:rFonts w:ascii="Times New Roman" w:hAnsi="Times New Roman" w:cs="Times New Roman"/>
          <w:b/>
          <w:u w:val="single"/>
        </w:rPr>
      </w:pPr>
      <w:r w:rsidRPr="00B4428E">
        <w:rPr>
          <w:rFonts w:ascii="Times New Roman" w:hAnsi="Times New Roman" w:cs="Times New Roman"/>
          <w:b/>
          <w:u w:val="single"/>
        </w:rPr>
        <w:t>Table of Contents</w:t>
      </w:r>
    </w:p>
    <w:p w:rsidR="00B4428E" w:rsidRPr="00B4428E" w:rsidP="00B4428E" w14:paraId="1C7BE24C" w14:textId="77777777">
      <w:pPr>
        <w:rPr>
          <w:rFonts w:ascii="Times New Roman" w:hAnsi="Times New Roman" w:cs="Times New Roman"/>
        </w:rPr>
      </w:pPr>
    </w:p>
    <w:p w:rsidR="00B4428E" w:rsidRPr="00B4428E" w:rsidP="00B4428E" w14:paraId="57A54697" w14:textId="77777777">
      <w:pPr>
        <w:rPr>
          <w:rFonts w:ascii="Times New Roman" w:hAnsi="Times New Roman" w:cs="Times New Roman"/>
        </w:rPr>
      </w:pPr>
      <w:r w:rsidRPr="00B4428E">
        <w:rPr>
          <w:rFonts w:ascii="Times New Roman" w:hAnsi="Times New Roman" w:cs="Times New Roman"/>
        </w:rPr>
        <w:t>I.  OBJECTIVES OF THE PROCEEDING</w:t>
      </w:r>
      <w:r w:rsidRPr="00B4428E">
        <w:rPr>
          <w:rFonts w:ascii="Times New Roman" w:hAnsi="Times New Roman" w:cs="Times New Roman"/>
        </w:rPr>
        <w:tab/>
        <w:t>1</w:t>
      </w:r>
    </w:p>
    <w:p w:rsidR="00B4428E" w:rsidRPr="00B4428E" w:rsidP="00B4428E" w14:paraId="7A91E58B" w14:textId="77777777">
      <w:pPr>
        <w:rPr>
          <w:rFonts w:ascii="Times New Roman" w:hAnsi="Times New Roman" w:cs="Times New Roman"/>
        </w:rPr>
      </w:pPr>
      <w:r w:rsidRPr="00B4428E">
        <w:rPr>
          <w:rFonts w:ascii="Times New Roman" w:hAnsi="Times New Roman" w:cs="Times New Roman"/>
        </w:rPr>
        <w:t>II. COMPLIANCE REQUIREMENTS</w:t>
      </w:r>
      <w:r w:rsidRPr="00B4428E">
        <w:rPr>
          <w:rFonts w:ascii="Times New Roman" w:hAnsi="Times New Roman" w:cs="Times New Roman"/>
        </w:rPr>
        <w:tab/>
        <w:t>1</w:t>
      </w:r>
    </w:p>
    <w:p w:rsidR="00B4428E" w:rsidRPr="00B4428E" w:rsidP="00B4428E" w14:paraId="4A200BC4" w14:textId="77777777">
      <w:pPr>
        <w:ind w:firstLine="720"/>
        <w:rPr>
          <w:rFonts w:ascii="Times New Roman" w:hAnsi="Times New Roman" w:cs="Times New Roman"/>
        </w:rPr>
      </w:pPr>
      <w:r w:rsidRPr="00B4428E">
        <w:rPr>
          <w:rFonts w:ascii="Times New Roman" w:hAnsi="Times New Roman" w:cs="Times New Roman"/>
        </w:rPr>
        <w:t>A.  Additional Bands</w:t>
      </w:r>
      <w:r w:rsidRPr="00B4428E">
        <w:rPr>
          <w:rFonts w:ascii="Times New Roman" w:hAnsi="Times New Roman" w:cs="Times New Roman"/>
        </w:rPr>
        <w:tab/>
        <w:t>1</w:t>
      </w:r>
    </w:p>
    <w:p w:rsidR="00B4428E" w:rsidRPr="00B4428E" w:rsidP="00B4428E" w14:paraId="4A704B39" w14:textId="77777777">
      <w:pPr>
        <w:ind w:firstLine="720"/>
        <w:rPr>
          <w:rFonts w:ascii="Times New Roman" w:hAnsi="Times New Roman" w:cs="Times New Roman"/>
        </w:rPr>
      </w:pPr>
      <w:r w:rsidRPr="00B4428E">
        <w:rPr>
          <w:rFonts w:ascii="Times New Roman" w:hAnsi="Times New Roman" w:cs="Times New Roman"/>
        </w:rPr>
        <w:t>B.  Performance Requirements – Additional Metrics</w:t>
      </w:r>
      <w:r w:rsidRPr="00B4428E">
        <w:rPr>
          <w:rFonts w:ascii="Times New Roman" w:hAnsi="Times New Roman" w:cs="Times New Roman"/>
        </w:rPr>
        <w:tab/>
        <w:t>3</w:t>
      </w:r>
    </w:p>
    <w:p w:rsidR="00B4428E" w:rsidRPr="00B4428E" w:rsidP="00B4428E" w14:paraId="5102AE8F" w14:textId="77777777">
      <w:pPr>
        <w:ind w:firstLine="720"/>
        <w:rPr>
          <w:rFonts w:ascii="Times New Roman" w:hAnsi="Times New Roman" w:cs="Times New Roman"/>
        </w:rPr>
      </w:pPr>
      <w:r w:rsidRPr="00B4428E">
        <w:rPr>
          <w:rFonts w:ascii="Times New Roman" w:hAnsi="Times New Roman" w:cs="Times New Roman"/>
        </w:rPr>
        <w:t>C.  Mobile Spectrum Holdings Policies</w:t>
      </w:r>
      <w:r w:rsidRPr="00B4428E">
        <w:rPr>
          <w:rFonts w:ascii="Times New Roman" w:hAnsi="Times New Roman" w:cs="Times New Roman"/>
        </w:rPr>
        <w:tab/>
        <w:t>4</w:t>
      </w:r>
    </w:p>
    <w:p w:rsidR="00B4428E" w:rsidRPr="00B4428E" w:rsidP="00B4428E" w14:paraId="6EEF9085" w14:textId="77777777">
      <w:pPr>
        <w:ind w:firstLine="720"/>
        <w:rPr>
          <w:rFonts w:ascii="Times New Roman" w:hAnsi="Times New Roman" w:cs="Times New Roman"/>
        </w:rPr>
      </w:pPr>
      <w:r w:rsidRPr="00B4428E">
        <w:rPr>
          <w:rFonts w:ascii="Times New Roman" w:hAnsi="Times New Roman" w:cs="Times New Roman"/>
        </w:rPr>
        <w:t>D.  Operation on Aircraft in 57 – 71 GHz Band</w:t>
      </w:r>
      <w:r w:rsidRPr="00B4428E">
        <w:rPr>
          <w:rFonts w:ascii="Times New Roman" w:hAnsi="Times New Roman" w:cs="Times New Roman"/>
        </w:rPr>
        <w:tab/>
        <w:t>4</w:t>
      </w:r>
    </w:p>
    <w:p w:rsidR="00B4428E" w:rsidRPr="00B4428E" w:rsidP="00B4428E" w14:paraId="77881FB8" w14:textId="77777777">
      <w:pPr>
        <w:ind w:firstLine="720"/>
        <w:rPr>
          <w:rFonts w:ascii="Times New Roman" w:hAnsi="Times New Roman" w:cs="Times New Roman"/>
        </w:rPr>
      </w:pPr>
      <w:r w:rsidRPr="00B4428E">
        <w:rPr>
          <w:rFonts w:ascii="Times New Roman" w:hAnsi="Times New Roman" w:cs="Times New Roman"/>
        </w:rPr>
        <w:t>E.  Amendments to Part 1 Rules</w:t>
      </w:r>
      <w:r w:rsidRPr="00B4428E">
        <w:rPr>
          <w:rFonts w:ascii="Times New Roman" w:hAnsi="Times New Roman" w:cs="Times New Roman"/>
        </w:rPr>
        <w:tab/>
        <w:t>5</w:t>
      </w:r>
    </w:p>
    <w:p w:rsidR="00B4428E" w:rsidRPr="00B4428E" w:rsidP="00B4428E" w14:paraId="3C35DB24" w14:textId="77777777">
      <w:pPr>
        <w:rPr>
          <w:rFonts w:ascii="Times New Roman" w:hAnsi="Times New Roman" w:cs="Times New Roman"/>
        </w:rPr>
      </w:pPr>
      <w:r w:rsidRPr="00B4428E">
        <w:rPr>
          <w:rFonts w:ascii="Times New Roman" w:hAnsi="Times New Roman" w:cs="Times New Roman"/>
        </w:rPr>
        <w:t>III. RECORDKEEPING AND REPORTING REQUIREMENTS</w:t>
      </w:r>
      <w:r w:rsidRPr="00B4428E">
        <w:rPr>
          <w:rFonts w:ascii="Times New Roman" w:hAnsi="Times New Roman" w:cs="Times New Roman"/>
        </w:rPr>
        <w:tab/>
        <w:t>5</w:t>
      </w:r>
    </w:p>
    <w:p w:rsidR="00B4428E" w:rsidRPr="00B4428E" w:rsidP="00B4428E" w14:paraId="7924D34F" w14:textId="77777777">
      <w:pPr>
        <w:rPr>
          <w:rFonts w:ascii="Times New Roman" w:hAnsi="Times New Roman" w:cs="Times New Roman"/>
        </w:rPr>
      </w:pPr>
      <w:r w:rsidRPr="00B4428E">
        <w:rPr>
          <w:rFonts w:ascii="Times New Roman" w:hAnsi="Times New Roman" w:cs="Times New Roman"/>
        </w:rPr>
        <w:t>IV. IMPLEMENTATION DATE</w:t>
      </w:r>
      <w:r w:rsidRPr="00B4428E">
        <w:rPr>
          <w:rFonts w:ascii="Times New Roman" w:hAnsi="Times New Roman" w:cs="Times New Roman"/>
        </w:rPr>
        <w:tab/>
        <w:t>5</w:t>
      </w:r>
    </w:p>
    <w:p w:rsidR="00B4428E" w:rsidRPr="00B4428E" w:rsidP="00B4428E" w14:paraId="14CB78BC" w14:textId="77777777">
      <w:pPr>
        <w:rPr>
          <w:rFonts w:ascii="Times New Roman" w:hAnsi="Times New Roman" w:cs="Times New Roman"/>
        </w:rPr>
      </w:pPr>
      <w:r w:rsidRPr="00B4428E">
        <w:rPr>
          <w:rFonts w:ascii="Times New Roman" w:hAnsi="Times New Roman" w:cs="Times New Roman"/>
        </w:rPr>
        <w:t>V. INTERNET LINKS</w:t>
      </w:r>
      <w:r w:rsidRPr="00B4428E">
        <w:rPr>
          <w:rFonts w:ascii="Times New Roman" w:hAnsi="Times New Roman" w:cs="Times New Roman"/>
        </w:rPr>
        <w:tab/>
        <w:t>5</w:t>
      </w:r>
    </w:p>
    <w:p w:rsidR="00B4428E" w:rsidRPr="00B4428E" w:rsidP="00B4428E" w14:paraId="1C6303D2" w14:textId="5CE381A9">
      <w:pPr>
        <w:rPr>
          <w:rFonts w:ascii="Times New Roman" w:hAnsi="Times New Roman" w:cs="Times New Roman"/>
        </w:rPr>
      </w:pPr>
      <w:r w:rsidRPr="00B4428E">
        <w:rPr>
          <w:rFonts w:ascii="Times New Roman" w:hAnsi="Times New Roman" w:cs="Times New Roman"/>
        </w:rPr>
        <w:br w:type="page"/>
      </w:r>
      <w:bookmarkStart w:id="0" w:name="_GoBack"/>
      <w:bookmarkEnd w:id="0"/>
    </w:p>
    <w:p w:rsidR="004A5D6B" w:rsidRPr="002B56A6" w:rsidP="002B56A6" w14:paraId="7FCAEC40" w14:textId="4F44EDD3">
      <w:pPr>
        <w:pStyle w:val="Heading1"/>
        <w:spacing w:line="240" w:lineRule="auto"/>
        <w:ind w:left="720"/>
      </w:pPr>
      <w:bookmarkStart w:id="1" w:name="_Toc512508555"/>
      <w:r w:rsidRPr="002B56A6">
        <w:t>OBJECTIVES OF THE PROCEEDING</w:t>
      </w:r>
      <w:bookmarkEnd w:id="1"/>
    </w:p>
    <w:p w:rsidR="00D641D3" w:rsidRPr="002B56A6" w:rsidP="005C16B1" w14:paraId="05C28CAF" w14:textId="0D400898">
      <w:pPr>
        <w:spacing w:after="0" w:line="240" w:lineRule="auto"/>
        <w:ind w:firstLine="720"/>
        <w:rPr>
          <w:rFonts w:ascii="Times New Roman" w:hAnsi="Times New Roman" w:cs="Times New Roman"/>
        </w:rPr>
      </w:pPr>
      <w:r w:rsidRPr="002B56A6">
        <w:rPr>
          <w:rFonts w:ascii="Times New Roman" w:hAnsi="Times New Roman" w:cs="Times New Roman"/>
        </w:rPr>
        <w:t xml:space="preserve">In </w:t>
      </w:r>
      <w:r w:rsidRPr="00277F88">
        <w:rPr>
          <w:rFonts w:ascii="Times New Roman" w:hAnsi="Times New Roman" w:cs="Times New Roman"/>
        </w:rPr>
        <w:t>the</w:t>
      </w:r>
      <w:r w:rsidRPr="002B56A6">
        <w:rPr>
          <w:rFonts w:ascii="Times New Roman" w:hAnsi="Times New Roman" w:cs="Times New Roman"/>
          <w:i/>
        </w:rPr>
        <w:t xml:space="preserve"> </w:t>
      </w:r>
      <w:r w:rsidR="00C75F82">
        <w:rPr>
          <w:rFonts w:ascii="Times New Roman" w:hAnsi="Times New Roman" w:cs="Times New Roman"/>
          <w:i/>
        </w:rPr>
        <w:t xml:space="preserve">Second </w:t>
      </w:r>
      <w:r w:rsidRPr="002B56A6">
        <w:rPr>
          <w:rFonts w:ascii="Times New Roman" w:hAnsi="Times New Roman" w:cs="Times New Roman"/>
          <w:i/>
        </w:rPr>
        <w:t xml:space="preserve">Report and Order </w:t>
      </w:r>
      <w:r w:rsidRPr="002B56A6">
        <w:rPr>
          <w:rFonts w:ascii="Times New Roman" w:hAnsi="Times New Roman" w:cs="Times New Roman"/>
        </w:rPr>
        <w:t xml:space="preserve">in </w:t>
      </w:r>
      <w:r w:rsidR="00D403F9">
        <w:rPr>
          <w:rFonts w:ascii="Times New Roman" w:hAnsi="Times New Roman" w:cs="Times New Roman"/>
        </w:rPr>
        <w:t xml:space="preserve">FCC 17-152, </w:t>
      </w:r>
      <w:r w:rsidRPr="002B56A6">
        <w:rPr>
          <w:rFonts w:ascii="Times New Roman" w:hAnsi="Times New Roman" w:cs="Times New Roman"/>
        </w:rPr>
        <w:t>GN Docket No. 14-</w:t>
      </w:r>
      <w:r w:rsidRPr="002B56A6" w:rsidR="006A1040">
        <w:rPr>
          <w:rFonts w:ascii="Times New Roman" w:hAnsi="Times New Roman" w:cs="Times New Roman"/>
        </w:rPr>
        <w:t>1</w:t>
      </w:r>
      <w:r w:rsidRPr="002B56A6">
        <w:rPr>
          <w:rFonts w:ascii="Times New Roman" w:hAnsi="Times New Roman" w:cs="Times New Roman"/>
        </w:rPr>
        <w:t xml:space="preserve">77, IB Docket Nos. 15-256, </w:t>
      </w:r>
      <w:r w:rsidRPr="002B56A6" w:rsidR="00E13B2C">
        <w:rPr>
          <w:rFonts w:ascii="Times New Roman" w:hAnsi="Times New Roman" w:cs="Times New Roman"/>
        </w:rPr>
        <w:t>97-95</w:t>
      </w:r>
      <w:r w:rsidRPr="002B56A6">
        <w:rPr>
          <w:rFonts w:ascii="Times New Roman" w:hAnsi="Times New Roman" w:cs="Times New Roman"/>
        </w:rPr>
        <w:t xml:space="preserve">, and WT Docket No. 10-112, released </w:t>
      </w:r>
      <w:r w:rsidRPr="002B56A6" w:rsidR="0001069B">
        <w:rPr>
          <w:rFonts w:ascii="Times New Roman" w:hAnsi="Times New Roman" w:cs="Times New Roman"/>
        </w:rPr>
        <w:t>November 22, 2017</w:t>
      </w:r>
      <w:r w:rsidRPr="002B56A6">
        <w:rPr>
          <w:rFonts w:ascii="Times New Roman" w:hAnsi="Times New Roman" w:cs="Times New Roman"/>
        </w:rPr>
        <w:t xml:space="preserve">, the Commission (1) </w:t>
      </w:r>
      <w:r w:rsidRPr="002B56A6" w:rsidR="00E13B2C">
        <w:rPr>
          <w:rFonts w:ascii="Times New Roman" w:hAnsi="Times New Roman" w:cs="Times New Roman"/>
        </w:rPr>
        <w:t>designated the 24 GHz and 47 GHz bands as Part 30 U</w:t>
      </w:r>
      <w:r w:rsidRPr="002B56A6" w:rsidR="00807890">
        <w:rPr>
          <w:rFonts w:ascii="Times New Roman" w:hAnsi="Times New Roman" w:cs="Times New Roman"/>
        </w:rPr>
        <w:t>pper Microwave Flexible Use</w:t>
      </w:r>
      <w:r w:rsidR="0002013B">
        <w:rPr>
          <w:rFonts w:ascii="Times New Roman" w:hAnsi="Times New Roman" w:cs="Times New Roman"/>
        </w:rPr>
        <w:t xml:space="preserve"> (UMFUS)</w:t>
      </w:r>
      <w:r w:rsidR="00D403F9">
        <w:rPr>
          <w:rFonts w:ascii="Times New Roman" w:hAnsi="Times New Roman" w:cs="Times New Roman"/>
        </w:rPr>
        <w:t>;</w:t>
      </w:r>
      <w:r w:rsidRPr="002B56A6" w:rsidR="00807890">
        <w:rPr>
          <w:rFonts w:ascii="Times New Roman" w:hAnsi="Times New Roman" w:cs="Times New Roman"/>
        </w:rPr>
        <w:t xml:space="preserve"> </w:t>
      </w:r>
      <w:r w:rsidRPr="002B56A6">
        <w:rPr>
          <w:rFonts w:ascii="Times New Roman" w:hAnsi="Times New Roman" w:cs="Times New Roman"/>
        </w:rPr>
        <w:t xml:space="preserve">(2) </w:t>
      </w:r>
      <w:r w:rsidRPr="002B56A6" w:rsidR="00E13B2C">
        <w:rPr>
          <w:rFonts w:ascii="Times New Roman" w:hAnsi="Times New Roman" w:cs="Times New Roman"/>
        </w:rPr>
        <w:t>amended rules for performance requirements for fixed point-to-point links</w:t>
      </w:r>
      <w:r w:rsidR="00D403F9">
        <w:rPr>
          <w:rFonts w:ascii="Times New Roman" w:hAnsi="Times New Roman" w:cs="Times New Roman"/>
        </w:rPr>
        <w:t>;</w:t>
      </w:r>
      <w:r w:rsidRPr="002B56A6">
        <w:rPr>
          <w:rFonts w:ascii="Times New Roman" w:hAnsi="Times New Roman" w:cs="Times New Roman"/>
        </w:rPr>
        <w:t xml:space="preserve"> (3</w:t>
      </w:r>
      <w:r w:rsidRPr="002B56A6" w:rsidR="00E13B2C">
        <w:rPr>
          <w:rFonts w:ascii="Times New Roman" w:hAnsi="Times New Roman" w:cs="Times New Roman"/>
        </w:rPr>
        <w:t>) increased the spectrum holding</w:t>
      </w:r>
      <w:r w:rsidR="000E1D0D">
        <w:rPr>
          <w:rFonts w:ascii="Times New Roman" w:hAnsi="Times New Roman" w:cs="Times New Roman"/>
        </w:rPr>
        <w:t xml:space="preserve"> threshold</w:t>
      </w:r>
      <w:r w:rsidR="00F92DCA">
        <w:rPr>
          <w:rFonts w:ascii="Times New Roman" w:hAnsi="Times New Roman" w:cs="Times New Roman"/>
        </w:rPr>
        <w:t>, which</w:t>
      </w:r>
      <w:r w:rsidRPr="002B56A6" w:rsidR="00E13B2C">
        <w:rPr>
          <w:rFonts w:ascii="Times New Roman" w:hAnsi="Times New Roman" w:cs="Times New Roman"/>
        </w:rPr>
        <w:t xml:space="preserve"> trigge</w:t>
      </w:r>
      <w:r w:rsidR="00F92DCA">
        <w:rPr>
          <w:rFonts w:ascii="Times New Roman" w:hAnsi="Times New Roman" w:cs="Times New Roman"/>
        </w:rPr>
        <w:t xml:space="preserve">rs </w:t>
      </w:r>
      <w:r w:rsidRPr="002B56A6" w:rsidR="00E13B2C">
        <w:rPr>
          <w:rFonts w:ascii="Times New Roman" w:hAnsi="Times New Roman" w:cs="Times New Roman"/>
        </w:rPr>
        <w:t>secondary market transaction review</w:t>
      </w:r>
      <w:r w:rsidR="00F92DCA">
        <w:rPr>
          <w:rFonts w:ascii="Times New Roman" w:hAnsi="Times New Roman" w:cs="Times New Roman"/>
        </w:rPr>
        <w:t>,</w:t>
      </w:r>
      <w:r w:rsidRPr="002B56A6" w:rsidR="00E13B2C">
        <w:rPr>
          <w:rFonts w:ascii="Times New Roman" w:hAnsi="Times New Roman" w:cs="Times New Roman"/>
        </w:rPr>
        <w:t xml:space="preserve"> from 1250 </w:t>
      </w:r>
      <w:r w:rsidR="00D9486A">
        <w:rPr>
          <w:rFonts w:ascii="Times New Roman" w:hAnsi="Times New Roman" w:cs="Times New Roman"/>
        </w:rPr>
        <w:t>megahertz</w:t>
      </w:r>
      <w:r w:rsidRPr="002B56A6" w:rsidR="00E13B2C">
        <w:rPr>
          <w:rFonts w:ascii="Times New Roman" w:hAnsi="Times New Roman" w:cs="Times New Roman"/>
        </w:rPr>
        <w:t xml:space="preserve"> to 1850 </w:t>
      </w:r>
      <w:r w:rsidR="00D9486A">
        <w:rPr>
          <w:rFonts w:ascii="Times New Roman" w:hAnsi="Times New Roman" w:cs="Times New Roman"/>
        </w:rPr>
        <w:t>megahertz</w:t>
      </w:r>
      <w:r w:rsidR="00D403F9">
        <w:rPr>
          <w:rFonts w:ascii="Times New Roman" w:hAnsi="Times New Roman" w:cs="Times New Roman"/>
        </w:rPr>
        <w:t>;</w:t>
      </w:r>
      <w:r w:rsidRPr="002B56A6" w:rsidR="00E13B2C">
        <w:rPr>
          <w:rFonts w:ascii="Times New Roman" w:hAnsi="Times New Roman" w:cs="Times New Roman"/>
        </w:rPr>
        <w:t xml:space="preserve"> and (4) adopted rules allowing Part 15 </w:t>
      </w:r>
      <w:r w:rsidR="000E1D0D">
        <w:rPr>
          <w:rFonts w:ascii="Times New Roman" w:hAnsi="Times New Roman" w:cs="Times New Roman"/>
        </w:rPr>
        <w:t>o</w:t>
      </w:r>
      <w:r w:rsidRPr="002B56A6" w:rsidR="00E13B2C">
        <w:rPr>
          <w:rFonts w:ascii="Times New Roman" w:hAnsi="Times New Roman" w:cs="Times New Roman"/>
        </w:rPr>
        <w:t>perat</w:t>
      </w:r>
      <w:r w:rsidR="00F92DCA">
        <w:rPr>
          <w:rFonts w:ascii="Times New Roman" w:hAnsi="Times New Roman" w:cs="Times New Roman"/>
        </w:rPr>
        <w:t xml:space="preserve">ion on-board aircraft in the 57 </w:t>
      </w:r>
      <w:r w:rsidR="00DE4A14">
        <w:rPr>
          <w:rFonts w:ascii="Times New Roman" w:hAnsi="Times New Roman" w:cs="Times New Roman"/>
        </w:rPr>
        <w:t>–</w:t>
      </w:r>
      <w:r w:rsidR="00F92DCA">
        <w:rPr>
          <w:rFonts w:ascii="Times New Roman" w:hAnsi="Times New Roman" w:cs="Times New Roman"/>
        </w:rPr>
        <w:t xml:space="preserve"> </w:t>
      </w:r>
      <w:r w:rsidRPr="002B56A6" w:rsidR="00E13B2C">
        <w:rPr>
          <w:rFonts w:ascii="Times New Roman" w:hAnsi="Times New Roman" w:cs="Times New Roman"/>
        </w:rPr>
        <w:t>71 GHz bands</w:t>
      </w:r>
      <w:r w:rsidRPr="002B56A6">
        <w:rPr>
          <w:rFonts w:ascii="Times New Roman" w:hAnsi="Times New Roman" w:cs="Times New Roman"/>
        </w:rPr>
        <w:t xml:space="preserve">. </w:t>
      </w:r>
      <w:r w:rsidRPr="002B56A6" w:rsidR="00300EA6">
        <w:rPr>
          <w:rFonts w:ascii="Times New Roman" w:hAnsi="Times New Roman" w:cs="Times New Roman"/>
        </w:rPr>
        <w:t xml:space="preserve"> </w:t>
      </w:r>
      <w:r w:rsidR="0070618A">
        <w:rPr>
          <w:rFonts w:ascii="Times New Roman" w:hAnsi="Times New Roman" w:cs="Times New Roman"/>
        </w:rPr>
        <w:t xml:space="preserve">The </w:t>
      </w:r>
      <w:r w:rsidR="0070618A">
        <w:rPr>
          <w:rFonts w:ascii="Times New Roman" w:hAnsi="Times New Roman" w:cs="Times New Roman"/>
          <w:i/>
        </w:rPr>
        <w:t xml:space="preserve">Second Report and Order </w:t>
      </w:r>
      <w:r w:rsidRPr="0070618A" w:rsidR="0070618A">
        <w:rPr>
          <w:rFonts w:ascii="Times New Roman" w:hAnsi="Times New Roman" w:cs="Times New Roman"/>
        </w:rPr>
        <w:t>take</w:t>
      </w:r>
      <w:r w:rsidR="0070618A">
        <w:rPr>
          <w:rFonts w:ascii="Times New Roman" w:hAnsi="Times New Roman" w:cs="Times New Roman"/>
        </w:rPr>
        <w:t>s</w:t>
      </w:r>
      <w:r w:rsidRPr="0070618A" w:rsidR="0070618A">
        <w:rPr>
          <w:rFonts w:ascii="Times New Roman" w:hAnsi="Times New Roman" w:cs="Times New Roman"/>
        </w:rPr>
        <w:t xml:space="preserve"> further actions to make available millimeter wave (mmW) spectrum, at or above 24 GHz, for fifth-generation (5G) wireless, Internet of Things</w:t>
      </w:r>
      <w:r w:rsidR="00EB4094">
        <w:rPr>
          <w:rFonts w:ascii="Times New Roman" w:hAnsi="Times New Roman" w:cs="Times New Roman"/>
        </w:rPr>
        <w:t xml:space="preserve"> (IoT)</w:t>
      </w:r>
      <w:r w:rsidRPr="0070618A" w:rsidR="0070618A">
        <w:rPr>
          <w:rFonts w:ascii="Times New Roman" w:hAnsi="Times New Roman" w:cs="Times New Roman"/>
        </w:rPr>
        <w:t xml:space="preserve">, and other advanced spectrum-based services.  In doing so, </w:t>
      </w:r>
      <w:r w:rsidR="00D403F9">
        <w:rPr>
          <w:rFonts w:ascii="Times New Roman" w:hAnsi="Times New Roman" w:cs="Times New Roman"/>
        </w:rPr>
        <w:t>the Commission</w:t>
      </w:r>
      <w:r w:rsidRPr="0070618A" w:rsidR="0070618A">
        <w:rPr>
          <w:rFonts w:ascii="Times New Roman" w:hAnsi="Times New Roman" w:cs="Times New Roman"/>
        </w:rPr>
        <w:t xml:space="preserve"> help</w:t>
      </w:r>
      <w:r w:rsidR="00D403F9">
        <w:rPr>
          <w:rFonts w:ascii="Times New Roman" w:hAnsi="Times New Roman" w:cs="Times New Roman"/>
        </w:rPr>
        <w:t>s</w:t>
      </w:r>
      <w:r w:rsidRPr="0070618A" w:rsidR="0070618A">
        <w:rPr>
          <w:rFonts w:ascii="Times New Roman" w:hAnsi="Times New Roman" w:cs="Times New Roman"/>
        </w:rPr>
        <w:t xml:space="preserve"> </w:t>
      </w:r>
      <w:r w:rsidR="00D403F9">
        <w:rPr>
          <w:rFonts w:ascii="Times New Roman" w:hAnsi="Times New Roman" w:cs="Times New Roman"/>
        </w:rPr>
        <w:t xml:space="preserve">to </w:t>
      </w:r>
      <w:r w:rsidRPr="0070618A" w:rsidR="0070618A">
        <w:rPr>
          <w:rFonts w:ascii="Times New Roman" w:hAnsi="Times New Roman" w:cs="Times New Roman"/>
        </w:rPr>
        <w:t>ensure continued American leadership in wireless broadband, which represents a critical component of economic growth, job creation, public safety, and global competitiveness.</w:t>
      </w:r>
    </w:p>
    <w:p w:rsidR="00807890" w:rsidRPr="002B56A6" w:rsidP="002B56A6" w14:paraId="085A656D" w14:textId="1DF349C7">
      <w:pPr>
        <w:pStyle w:val="ListParagraph"/>
        <w:spacing w:line="240" w:lineRule="auto"/>
        <w:rPr>
          <w:rFonts w:ascii="Times New Roman" w:hAnsi="Times New Roman" w:cs="Times New Roman"/>
        </w:rPr>
      </w:pPr>
    </w:p>
    <w:p w:rsidR="00807890" w:rsidRPr="002B56A6" w:rsidP="002B56A6" w14:paraId="0EF1AE17" w14:textId="37DBE851">
      <w:pPr>
        <w:pStyle w:val="Heading1"/>
        <w:spacing w:line="240" w:lineRule="auto"/>
        <w:ind w:left="720"/>
      </w:pPr>
      <w:bookmarkStart w:id="2" w:name="_Toc512508556"/>
      <w:r w:rsidRPr="002B56A6">
        <w:t>COMPLIANCE REQUIREMENTS</w:t>
      </w:r>
      <w:bookmarkEnd w:id="2"/>
      <w:r w:rsidRPr="002B56A6">
        <w:t xml:space="preserve"> </w:t>
      </w:r>
    </w:p>
    <w:p w:rsidR="007B4174" w:rsidRPr="002B56A6" w:rsidP="002B56A6" w14:paraId="68B05144" w14:textId="0083D9AD">
      <w:pPr>
        <w:pStyle w:val="Heading2"/>
        <w:spacing w:line="240" w:lineRule="auto"/>
      </w:pPr>
      <w:bookmarkStart w:id="3" w:name="_Toc512508557"/>
      <w:r w:rsidRPr="002B56A6">
        <w:t>Additional Bands</w:t>
      </w:r>
      <w:r w:rsidR="00E51F0C">
        <w:t xml:space="preserve"> (</w:t>
      </w:r>
      <w:r w:rsidRPr="00FA3443" w:rsidR="00E51F0C">
        <w:t>47 CFR §</w:t>
      </w:r>
      <w:r w:rsidRPr="00FA3443" w:rsidR="00E2117E">
        <w:t xml:space="preserve"> </w:t>
      </w:r>
      <w:r w:rsidRPr="00FA3443" w:rsidR="00677DC7">
        <w:t>30.4</w:t>
      </w:r>
      <w:r w:rsidRPr="00677DC7" w:rsidR="00E2117E">
        <w:t>)</w:t>
      </w:r>
      <w:bookmarkEnd w:id="3"/>
    </w:p>
    <w:p w:rsidR="007B4174" w:rsidRPr="002B56A6" w:rsidP="002B56A6" w14:paraId="4F2A7E49" w14:textId="0480951B">
      <w:pPr>
        <w:pStyle w:val="Heading3"/>
        <w:spacing w:line="240" w:lineRule="auto"/>
      </w:pPr>
      <w:bookmarkStart w:id="4" w:name="_Toc512508558"/>
      <w:r>
        <w:t xml:space="preserve">24.25 – 24.45 GHz and 24.75 – </w:t>
      </w:r>
      <w:r w:rsidRPr="002B56A6" w:rsidR="00C05401">
        <w:t>25.25 GHz (24 GHz Band)</w:t>
      </w:r>
      <w:bookmarkEnd w:id="4"/>
      <w:r>
        <w:rPr>
          <w:rStyle w:val="FootnoteReference"/>
        </w:rPr>
        <w:footnoteReference w:id="3"/>
      </w:r>
    </w:p>
    <w:p w:rsidR="00222A89" w:rsidRPr="005C16B1" w:rsidP="006F0B06" w14:paraId="2C3B9588" w14:textId="293AB374">
      <w:pPr>
        <w:pStyle w:val="ListParagraph"/>
        <w:numPr>
          <w:ilvl w:val="0"/>
          <w:numId w:val="6"/>
        </w:numPr>
        <w:spacing w:after="0" w:line="240" w:lineRule="auto"/>
        <w:contextualSpacing w:val="0"/>
        <w:rPr>
          <w:rFonts w:ascii="Times New Roman" w:hAnsi="Times New Roman" w:cs="Times New Roman"/>
          <w:b/>
        </w:rPr>
      </w:pPr>
      <w:r w:rsidRPr="002B56A6">
        <w:rPr>
          <w:rFonts w:ascii="Times New Roman" w:hAnsi="Times New Roman" w:cs="Times New Roman"/>
          <w:i/>
        </w:rPr>
        <w:t>Suitability for Mobile Use.</w:t>
      </w:r>
      <w:r w:rsidRPr="002B56A6">
        <w:rPr>
          <w:rFonts w:ascii="Times New Roman" w:hAnsi="Times New Roman" w:cs="Times New Roman"/>
        </w:rPr>
        <w:t xml:space="preserve"> </w:t>
      </w:r>
      <w:r w:rsidRPr="002B56A6" w:rsidR="00BA0734">
        <w:rPr>
          <w:rFonts w:ascii="Times New Roman" w:hAnsi="Times New Roman" w:cs="Times New Roman"/>
        </w:rPr>
        <w:t xml:space="preserve"> </w:t>
      </w:r>
      <w:r w:rsidR="00406AA4">
        <w:rPr>
          <w:rFonts w:ascii="Times New Roman" w:hAnsi="Times New Roman" w:cs="Times New Roman"/>
        </w:rPr>
        <w:t>T</w:t>
      </w:r>
      <w:r w:rsidRPr="002B56A6" w:rsidR="00BA0734">
        <w:rPr>
          <w:rFonts w:ascii="Times New Roman" w:hAnsi="Times New Roman" w:cs="Times New Roman"/>
        </w:rPr>
        <w:t xml:space="preserve">he </w:t>
      </w:r>
      <w:r w:rsidRPr="005C16B1" w:rsidR="003D7D03">
        <w:rPr>
          <w:rFonts w:ascii="Times New Roman" w:hAnsi="Times New Roman" w:cs="Times New Roman"/>
          <w:i/>
        </w:rPr>
        <w:t>Second</w:t>
      </w:r>
      <w:r w:rsidR="003D7D03">
        <w:rPr>
          <w:rFonts w:ascii="Times New Roman" w:hAnsi="Times New Roman" w:cs="Times New Roman"/>
        </w:rPr>
        <w:t xml:space="preserve"> </w:t>
      </w:r>
      <w:r w:rsidRPr="002B56A6" w:rsidR="00BA0734">
        <w:rPr>
          <w:rFonts w:ascii="Times New Roman" w:hAnsi="Times New Roman" w:cs="Times New Roman"/>
          <w:i/>
        </w:rPr>
        <w:t>Report and Order</w:t>
      </w:r>
      <w:r w:rsidRPr="002B56A6" w:rsidR="00BA0734">
        <w:rPr>
          <w:rFonts w:ascii="Times New Roman" w:hAnsi="Times New Roman" w:cs="Times New Roman"/>
        </w:rPr>
        <w:t xml:space="preserve"> allocates </w:t>
      </w:r>
      <w:r w:rsidR="00B3679B">
        <w:rPr>
          <w:rFonts w:ascii="Times New Roman" w:hAnsi="Times New Roman" w:cs="Times New Roman"/>
        </w:rPr>
        <w:t xml:space="preserve">the </w:t>
      </w:r>
      <w:r w:rsidRPr="002B56A6" w:rsidR="00BA0734">
        <w:rPr>
          <w:rFonts w:ascii="Times New Roman" w:hAnsi="Times New Roman" w:cs="Times New Roman"/>
        </w:rPr>
        <w:t>24 GHz band for fixed and mobile use</w:t>
      </w:r>
      <w:r w:rsidR="006F0B06">
        <w:rPr>
          <w:rFonts w:ascii="Times New Roman" w:hAnsi="Times New Roman" w:cs="Times New Roman"/>
        </w:rPr>
        <w:t xml:space="preserve"> </w:t>
      </w:r>
      <w:r w:rsidRPr="006F0B06" w:rsidR="006F0B06">
        <w:rPr>
          <w:rFonts w:ascii="Times New Roman" w:hAnsi="Times New Roman" w:cs="Times New Roman"/>
        </w:rPr>
        <w:t>allowing entities to obtain flexible use licenses that authorize both fixed and mobile use</w:t>
      </w:r>
      <w:r w:rsidRPr="002B56A6" w:rsidR="00BA0734">
        <w:rPr>
          <w:rFonts w:ascii="Times New Roman" w:hAnsi="Times New Roman" w:cs="Times New Roman"/>
        </w:rPr>
        <w:t xml:space="preserve">.  </w:t>
      </w:r>
    </w:p>
    <w:p w:rsidR="007631F7" w:rsidRPr="002B56A6" w:rsidP="005C16B1" w14:paraId="04E4422D" w14:textId="2219600B">
      <w:pPr>
        <w:pStyle w:val="ListParagraph"/>
        <w:spacing w:after="0" w:line="240" w:lineRule="auto"/>
        <w:ind w:left="1800"/>
        <w:contextualSpacing w:val="0"/>
        <w:rPr>
          <w:rFonts w:ascii="Times New Roman" w:hAnsi="Times New Roman" w:cs="Times New Roman"/>
          <w:b/>
        </w:rPr>
      </w:pPr>
    </w:p>
    <w:p w:rsidR="00BA0734" w:rsidRPr="002B56A6" w:rsidP="002B56A6" w14:paraId="43CB5B90" w14:textId="6F8538F5">
      <w:pPr>
        <w:pStyle w:val="ListParagraph"/>
        <w:numPr>
          <w:ilvl w:val="1"/>
          <w:numId w:val="6"/>
        </w:numPr>
        <w:spacing w:line="240" w:lineRule="auto"/>
        <w:contextualSpacing w:val="0"/>
        <w:rPr>
          <w:rFonts w:ascii="Times New Roman" w:hAnsi="Times New Roman" w:cs="Times New Roman"/>
          <w:b/>
        </w:rPr>
      </w:pPr>
      <w:r w:rsidRPr="002B56A6">
        <w:rPr>
          <w:rFonts w:ascii="Times New Roman" w:hAnsi="Times New Roman" w:cs="Times New Roman"/>
        </w:rPr>
        <w:t>24.25</w:t>
      </w:r>
      <w:r w:rsidR="00DE4A14">
        <w:rPr>
          <w:rFonts w:ascii="Times New Roman" w:hAnsi="Times New Roman" w:cs="Times New Roman"/>
        </w:rPr>
        <w:t xml:space="preserve"> – </w:t>
      </w:r>
      <w:r w:rsidRPr="002B56A6">
        <w:rPr>
          <w:rFonts w:ascii="Times New Roman" w:hAnsi="Times New Roman" w:cs="Times New Roman"/>
        </w:rPr>
        <w:t xml:space="preserve">24.45 </w:t>
      </w:r>
      <w:r w:rsidR="00677DC7">
        <w:rPr>
          <w:rFonts w:ascii="Times New Roman" w:hAnsi="Times New Roman" w:cs="Times New Roman"/>
        </w:rPr>
        <w:t xml:space="preserve">GHz </w:t>
      </w:r>
      <w:r w:rsidRPr="002B56A6">
        <w:rPr>
          <w:rFonts w:ascii="Times New Roman" w:hAnsi="Times New Roman" w:cs="Times New Roman"/>
        </w:rPr>
        <w:t>will be allocated for non-Federal Fixed and Mobile services on a co-primary basis.</w:t>
      </w:r>
    </w:p>
    <w:p w:rsidR="008C16A9" w:rsidRPr="00E35EAF" w:rsidP="00E35EAF" w14:paraId="56E43A44" w14:textId="7304B0D1">
      <w:pPr>
        <w:pStyle w:val="ListParagraph"/>
        <w:numPr>
          <w:ilvl w:val="1"/>
          <w:numId w:val="6"/>
        </w:numPr>
        <w:spacing w:line="240" w:lineRule="auto"/>
        <w:contextualSpacing w:val="0"/>
        <w:rPr>
          <w:rFonts w:ascii="Times New Roman" w:hAnsi="Times New Roman" w:cs="Times New Roman"/>
          <w:b/>
        </w:rPr>
      </w:pPr>
      <w:r>
        <w:rPr>
          <w:rFonts w:ascii="Times New Roman" w:hAnsi="Times New Roman" w:cs="Times New Roman"/>
        </w:rPr>
        <w:t xml:space="preserve">24.75 – </w:t>
      </w:r>
      <w:r w:rsidRPr="002B56A6" w:rsidR="00BA0734">
        <w:rPr>
          <w:rFonts w:ascii="Times New Roman" w:hAnsi="Times New Roman" w:cs="Times New Roman"/>
        </w:rPr>
        <w:t xml:space="preserve">25.25 </w:t>
      </w:r>
      <w:r w:rsidR="00677DC7">
        <w:rPr>
          <w:rFonts w:ascii="Times New Roman" w:hAnsi="Times New Roman" w:cs="Times New Roman"/>
        </w:rPr>
        <w:t xml:space="preserve">GHz </w:t>
      </w:r>
      <w:r w:rsidRPr="002B56A6" w:rsidR="00BA0734">
        <w:rPr>
          <w:rFonts w:ascii="Times New Roman" w:hAnsi="Times New Roman" w:cs="Times New Roman"/>
        </w:rPr>
        <w:t>will be allocated for non-Federal Fixed, Mobile, and Fixed-Satellite</w:t>
      </w:r>
      <w:r w:rsidRPr="002B56A6" w:rsidR="00F82514">
        <w:rPr>
          <w:rFonts w:ascii="Times New Roman" w:hAnsi="Times New Roman" w:cs="Times New Roman"/>
        </w:rPr>
        <w:t xml:space="preserve"> services on a co-primary basis.</w:t>
      </w:r>
    </w:p>
    <w:p w:rsidR="00D773EC" w:rsidRPr="005C16B1" w:rsidP="002B56A6" w14:paraId="0C9C32B9" w14:textId="35F703F3">
      <w:pPr>
        <w:pStyle w:val="ListParagraph"/>
        <w:numPr>
          <w:ilvl w:val="0"/>
          <w:numId w:val="6"/>
        </w:numPr>
        <w:spacing w:line="240" w:lineRule="auto"/>
        <w:contextualSpacing w:val="0"/>
        <w:rPr>
          <w:rFonts w:ascii="Times New Roman" w:hAnsi="Times New Roman" w:cs="Times New Roman"/>
          <w:b/>
        </w:rPr>
      </w:pPr>
      <w:r w:rsidRPr="002B56A6">
        <w:rPr>
          <w:rFonts w:ascii="Times New Roman" w:hAnsi="Times New Roman" w:cs="Times New Roman"/>
          <w:i/>
        </w:rPr>
        <w:t>Geographic Area Licensing</w:t>
      </w:r>
      <w:r w:rsidRPr="002B56A6" w:rsidR="00C302E2">
        <w:rPr>
          <w:rFonts w:ascii="Times New Roman" w:hAnsi="Times New Roman" w:cs="Times New Roman"/>
        </w:rPr>
        <w:t xml:space="preserve">. </w:t>
      </w:r>
      <w:r w:rsidR="0031482B">
        <w:rPr>
          <w:rFonts w:ascii="Times New Roman" w:hAnsi="Times New Roman" w:cs="Times New Roman"/>
        </w:rPr>
        <w:t xml:space="preserve"> </w:t>
      </w:r>
      <w:r w:rsidRPr="00D773EC" w:rsidR="00E3500E">
        <w:rPr>
          <w:rFonts w:ascii="Times New Roman" w:hAnsi="Times New Roman" w:cs="Times New Roman"/>
        </w:rPr>
        <w:t xml:space="preserve">The </w:t>
      </w:r>
      <w:r w:rsidRPr="007342D5" w:rsidR="002E5152">
        <w:rPr>
          <w:rFonts w:ascii="Times New Roman" w:hAnsi="Times New Roman" w:cs="Times New Roman"/>
          <w:i/>
        </w:rPr>
        <w:t>Second</w:t>
      </w:r>
      <w:r w:rsidR="002E5152">
        <w:rPr>
          <w:rFonts w:ascii="Times New Roman" w:hAnsi="Times New Roman" w:cs="Times New Roman"/>
        </w:rPr>
        <w:t xml:space="preserve"> </w:t>
      </w:r>
      <w:r w:rsidRPr="00D773EC" w:rsidR="00E3500E">
        <w:rPr>
          <w:rFonts w:ascii="Times New Roman" w:hAnsi="Times New Roman" w:cs="Times New Roman"/>
          <w:i/>
        </w:rPr>
        <w:t>Report and Order</w:t>
      </w:r>
      <w:r w:rsidRPr="00D773EC" w:rsidR="00E3500E">
        <w:rPr>
          <w:rFonts w:ascii="Times New Roman" w:hAnsi="Times New Roman" w:cs="Times New Roman"/>
        </w:rPr>
        <w:t xml:space="preserve"> adopts geographic licensing</w:t>
      </w:r>
      <w:r w:rsidRPr="005C16B1">
        <w:t xml:space="preserve"> </w:t>
      </w:r>
      <w:r w:rsidRPr="005C16B1">
        <w:rPr>
          <w:rFonts w:ascii="Times New Roman" w:hAnsi="Times New Roman" w:cs="Times New Roman"/>
        </w:rPr>
        <w:t>throughout the 24 GHz band</w:t>
      </w:r>
      <w:r w:rsidRPr="00D773EC" w:rsidR="00E3500E">
        <w:rPr>
          <w:rFonts w:ascii="Times New Roman" w:hAnsi="Times New Roman" w:cs="Times New Roman"/>
        </w:rPr>
        <w:t>,</w:t>
      </w:r>
      <w:r w:rsidRPr="002B56A6" w:rsidR="00E3500E">
        <w:rPr>
          <w:rFonts w:ascii="Times New Roman" w:hAnsi="Times New Roman" w:cs="Times New Roman"/>
        </w:rPr>
        <w:t xml:space="preserve"> by adding both parts of the 24 GHz band </w:t>
      </w:r>
      <w:r>
        <w:rPr>
          <w:rFonts w:ascii="Times New Roman" w:hAnsi="Times New Roman" w:cs="Times New Roman"/>
        </w:rPr>
        <w:t xml:space="preserve">(upper and lower segments) </w:t>
      </w:r>
      <w:r w:rsidRPr="002B56A6" w:rsidR="00E3500E">
        <w:rPr>
          <w:rFonts w:ascii="Times New Roman" w:hAnsi="Times New Roman" w:cs="Times New Roman"/>
        </w:rPr>
        <w:t xml:space="preserve">to Part 30 UMFUS.  </w:t>
      </w:r>
    </w:p>
    <w:p w:rsidR="00F82514" w:rsidRPr="005C16B1" w:rsidP="005C16B1" w14:paraId="5F52ABE3" w14:textId="426B9FC6">
      <w:pPr>
        <w:pStyle w:val="ListParagraph"/>
        <w:numPr>
          <w:ilvl w:val="1"/>
          <w:numId w:val="6"/>
        </w:numPr>
        <w:spacing w:line="240" w:lineRule="auto"/>
        <w:contextualSpacing w:val="0"/>
        <w:rPr>
          <w:rFonts w:ascii="Times New Roman" w:hAnsi="Times New Roman" w:cs="Times New Roman"/>
          <w:b/>
        </w:rPr>
      </w:pPr>
      <w:r w:rsidRPr="002B56A6">
        <w:rPr>
          <w:rFonts w:ascii="Times New Roman" w:hAnsi="Times New Roman" w:cs="Times New Roman"/>
        </w:rPr>
        <w:t xml:space="preserve">Licenses shall be divided into </w:t>
      </w:r>
      <w:r w:rsidR="001C78E8">
        <w:rPr>
          <w:rFonts w:ascii="Times New Roman" w:hAnsi="Times New Roman" w:cs="Times New Roman"/>
        </w:rPr>
        <w:t>Partial Economic Areas (</w:t>
      </w:r>
      <w:r w:rsidRPr="002B56A6">
        <w:rPr>
          <w:rFonts w:ascii="Times New Roman" w:hAnsi="Times New Roman" w:cs="Times New Roman"/>
        </w:rPr>
        <w:t>PEAs</w:t>
      </w:r>
      <w:r w:rsidR="001C78E8">
        <w:rPr>
          <w:rFonts w:ascii="Times New Roman" w:hAnsi="Times New Roman" w:cs="Times New Roman"/>
        </w:rPr>
        <w:t>)</w:t>
      </w:r>
      <w:r w:rsidR="00D773EC">
        <w:rPr>
          <w:rFonts w:ascii="Times New Roman" w:hAnsi="Times New Roman" w:cs="Times New Roman"/>
        </w:rPr>
        <w:t xml:space="preserve"> as the license area size</w:t>
      </w:r>
      <w:r w:rsidRPr="002B56A6">
        <w:rPr>
          <w:rFonts w:ascii="Times New Roman" w:hAnsi="Times New Roman" w:cs="Times New Roman"/>
        </w:rPr>
        <w:t>, consistent with rules for the 39 GHz band.</w:t>
      </w:r>
      <w:r w:rsidR="00D773EC">
        <w:rPr>
          <w:rFonts w:ascii="Times New Roman" w:hAnsi="Times New Roman" w:cs="Times New Roman"/>
        </w:rPr>
        <w:t xml:space="preserve">  </w:t>
      </w:r>
      <w:r w:rsidRPr="005C16B1">
        <w:rPr>
          <w:rFonts w:ascii="Times New Roman" w:hAnsi="Times New Roman" w:cs="Times New Roman"/>
        </w:rPr>
        <w:t>Partitioning remains available for licensees who desire smaller areas.</w:t>
      </w:r>
    </w:p>
    <w:p w:rsidR="00124BB4" w:rsidP="002B56A6" w14:paraId="25FCD7F6" w14:textId="4F1443AB">
      <w:pPr>
        <w:pStyle w:val="ListParagraph"/>
        <w:numPr>
          <w:ilvl w:val="0"/>
          <w:numId w:val="6"/>
        </w:numPr>
        <w:spacing w:line="240" w:lineRule="auto"/>
        <w:contextualSpacing w:val="0"/>
        <w:rPr>
          <w:rFonts w:ascii="Times New Roman" w:hAnsi="Times New Roman" w:cs="Times New Roman"/>
        </w:rPr>
      </w:pPr>
      <w:r w:rsidRPr="002B56A6">
        <w:rPr>
          <w:rFonts w:ascii="Times New Roman" w:hAnsi="Times New Roman" w:cs="Times New Roman"/>
          <w:i/>
        </w:rPr>
        <w:t>Band Plan</w:t>
      </w:r>
      <w:r w:rsidRPr="002B56A6">
        <w:rPr>
          <w:rFonts w:ascii="Times New Roman" w:hAnsi="Times New Roman" w:cs="Times New Roman"/>
        </w:rPr>
        <w:t>.  The 24 GHz band shall be licensed</w:t>
      </w:r>
      <w:r w:rsidR="0056063A">
        <w:rPr>
          <w:rFonts w:ascii="Times New Roman" w:hAnsi="Times New Roman" w:cs="Times New Roman"/>
        </w:rPr>
        <w:t xml:space="preserve"> </w:t>
      </w:r>
      <w:r w:rsidRPr="002B56A6" w:rsidR="0056063A">
        <w:rPr>
          <w:rFonts w:ascii="Times New Roman" w:hAnsi="Times New Roman" w:cs="Times New Roman"/>
        </w:rPr>
        <w:t xml:space="preserve">in </w:t>
      </w:r>
      <w:r w:rsidR="0056063A">
        <w:rPr>
          <w:rFonts w:ascii="Times New Roman" w:hAnsi="Times New Roman" w:cs="Times New Roman"/>
        </w:rPr>
        <w:t>seven (7)</w:t>
      </w:r>
      <w:r w:rsidRPr="002B56A6">
        <w:rPr>
          <w:rFonts w:ascii="Times New Roman" w:hAnsi="Times New Roman" w:cs="Times New Roman"/>
        </w:rPr>
        <w:t xml:space="preserve"> 100 </w:t>
      </w:r>
      <w:r w:rsidR="00D9486A">
        <w:rPr>
          <w:rFonts w:ascii="Times New Roman" w:hAnsi="Times New Roman" w:cs="Times New Roman"/>
        </w:rPr>
        <w:t>megahertz</w:t>
      </w:r>
      <w:r w:rsidRPr="002B56A6">
        <w:rPr>
          <w:rFonts w:ascii="Times New Roman" w:hAnsi="Times New Roman" w:cs="Times New Roman"/>
        </w:rPr>
        <w:t xml:space="preserve"> chan</w:t>
      </w:r>
      <w:r w:rsidR="00DE4A14">
        <w:rPr>
          <w:rFonts w:ascii="Times New Roman" w:hAnsi="Times New Roman" w:cs="Times New Roman"/>
        </w:rPr>
        <w:t xml:space="preserve">nels.  </w:t>
      </w:r>
    </w:p>
    <w:p w:rsidR="00124BB4" w:rsidP="005C16B1" w14:paraId="5A1C4AC0" w14:textId="77777777">
      <w:pPr>
        <w:pStyle w:val="ListParagraph"/>
        <w:numPr>
          <w:ilvl w:val="1"/>
          <w:numId w:val="6"/>
        </w:numPr>
        <w:spacing w:line="240" w:lineRule="auto"/>
        <w:contextualSpacing w:val="0"/>
        <w:rPr>
          <w:rFonts w:ascii="Times New Roman" w:hAnsi="Times New Roman" w:cs="Times New Roman"/>
        </w:rPr>
      </w:pPr>
      <w:r>
        <w:rPr>
          <w:rFonts w:ascii="Times New Roman" w:hAnsi="Times New Roman" w:cs="Times New Roman"/>
        </w:rPr>
        <w:t xml:space="preserve">The lower segment (24.25 – </w:t>
      </w:r>
      <w:r w:rsidRPr="002B56A6" w:rsidR="00A35696">
        <w:rPr>
          <w:rFonts w:ascii="Times New Roman" w:hAnsi="Times New Roman" w:cs="Times New Roman"/>
        </w:rPr>
        <w:t>24.45</w:t>
      </w:r>
      <w:r w:rsidR="001D78F1">
        <w:rPr>
          <w:rFonts w:ascii="Times New Roman" w:hAnsi="Times New Roman" w:cs="Times New Roman"/>
        </w:rPr>
        <w:t xml:space="preserve"> GHz</w:t>
      </w:r>
      <w:r w:rsidRPr="002B56A6" w:rsidR="00A35696">
        <w:rPr>
          <w:rFonts w:ascii="Times New Roman" w:hAnsi="Times New Roman" w:cs="Times New Roman"/>
        </w:rPr>
        <w:t>) will be comprised of two</w:t>
      </w:r>
      <w:r w:rsidR="0056063A">
        <w:rPr>
          <w:rFonts w:ascii="Times New Roman" w:hAnsi="Times New Roman" w:cs="Times New Roman"/>
        </w:rPr>
        <w:t xml:space="preserve"> (2)</w:t>
      </w:r>
      <w:r w:rsidRPr="002B56A6" w:rsidR="00A35696">
        <w:rPr>
          <w:rFonts w:ascii="Times New Roman" w:hAnsi="Times New Roman" w:cs="Times New Roman"/>
        </w:rPr>
        <w:t xml:space="preserve"> 100 </w:t>
      </w:r>
      <w:r w:rsidR="00D9486A">
        <w:rPr>
          <w:rFonts w:ascii="Times New Roman" w:hAnsi="Times New Roman" w:cs="Times New Roman"/>
        </w:rPr>
        <w:t>megahertz</w:t>
      </w:r>
      <w:r w:rsidRPr="002B56A6" w:rsidR="00A35696">
        <w:rPr>
          <w:rFonts w:ascii="Times New Roman" w:hAnsi="Times New Roman" w:cs="Times New Roman"/>
        </w:rPr>
        <w:t xml:space="preserve"> channels, </w:t>
      </w:r>
      <w:r>
        <w:rPr>
          <w:rFonts w:ascii="Times New Roman" w:hAnsi="Times New Roman" w:cs="Times New Roman"/>
        </w:rPr>
        <w:t xml:space="preserve">while the upper segment (24.75 – </w:t>
      </w:r>
      <w:r w:rsidRPr="002B56A6" w:rsidR="00A35696">
        <w:rPr>
          <w:rFonts w:ascii="Times New Roman" w:hAnsi="Times New Roman" w:cs="Times New Roman"/>
        </w:rPr>
        <w:t>25.25</w:t>
      </w:r>
      <w:r w:rsidR="001D78F1">
        <w:rPr>
          <w:rFonts w:ascii="Times New Roman" w:hAnsi="Times New Roman" w:cs="Times New Roman"/>
        </w:rPr>
        <w:t xml:space="preserve"> GHz</w:t>
      </w:r>
      <w:r w:rsidRPr="002B56A6" w:rsidR="00A35696">
        <w:rPr>
          <w:rFonts w:ascii="Times New Roman" w:hAnsi="Times New Roman" w:cs="Times New Roman"/>
        </w:rPr>
        <w:t>) will be comprised of five</w:t>
      </w:r>
      <w:r w:rsidR="0056063A">
        <w:rPr>
          <w:rFonts w:ascii="Times New Roman" w:hAnsi="Times New Roman" w:cs="Times New Roman"/>
        </w:rPr>
        <w:t xml:space="preserve"> (5)</w:t>
      </w:r>
      <w:r w:rsidRPr="002B56A6" w:rsidR="00A35696">
        <w:rPr>
          <w:rFonts w:ascii="Times New Roman" w:hAnsi="Times New Roman" w:cs="Times New Roman"/>
        </w:rPr>
        <w:t xml:space="preserve"> 100 </w:t>
      </w:r>
      <w:r w:rsidR="00D9486A">
        <w:rPr>
          <w:rFonts w:ascii="Times New Roman" w:hAnsi="Times New Roman" w:cs="Times New Roman"/>
        </w:rPr>
        <w:t>megahertz</w:t>
      </w:r>
      <w:r w:rsidRPr="002B56A6" w:rsidR="00A35696">
        <w:rPr>
          <w:rFonts w:ascii="Times New Roman" w:hAnsi="Times New Roman" w:cs="Times New Roman"/>
        </w:rPr>
        <w:t xml:space="preserve"> channels.</w:t>
      </w:r>
      <w:r w:rsidR="00767930">
        <w:rPr>
          <w:rFonts w:ascii="Times New Roman" w:hAnsi="Times New Roman" w:cs="Times New Roman"/>
        </w:rPr>
        <w:t xml:space="preserve">  </w:t>
      </w:r>
    </w:p>
    <w:p w:rsidR="00442BD8" w:rsidRPr="002B56A6" w:rsidP="005C16B1" w14:paraId="282FBBC1" w14:textId="18C14F48">
      <w:pPr>
        <w:pStyle w:val="ListParagraph"/>
        <w:numPr>
          <w:ilvl w:val="1"/>
          <w:numId w:val="6"/>
        </w:numPr>
        <w:spacing w:line="240" w:lineRule="auto"/>
        <w:contextualSpacing w:val="0"/>
        <w:rPr>
          <w:rFonts w:ascii="Times New Roman" w:hAnsi="Times New Roman" w:cs="Times New Roman"/>
        </w:rPr>
      </w:pPr>
      <w:r w:rsidRPr="005C16B1">
        <w:rPr>
          <w:rFonts w:ascii="Times New Roman" w:hAnsi="Times New Roman" w:cs="Times New Roman"/>
        </w:rPr>
        <w:t xml:space="preserve">This arrangement will </w:t>
      </w:r>
      <w:r w:rsidR="00D86EC0">
        <w:rPr>
          <w:rFonts w:ascii="Times New Roman" w:hAnsi="Times New Roman" w:cs="Times New Roman"/>
        </w:rPr>
        <w:t>provide licensees with the flexibility to use the technology of their choice</w:t>
      </w:r>
      <w:r w:rsidRPr="005C16B1">
        <w:rPr>
          <w:rFonts w:ascii="Times New Roman" w:hAnsi="Times New Roman" w:cs="Times New Roman"/>
        </w:rPr>
        <w:t>.</w:t>
      </w:r>
    </w:p>
    <w:p w:rsidR="00A35696" w:rsidRPr="005C16B1" w:rsidP="002B56A6" w14:paraId="4A42A451" w14:textId="0A270811">
      <w:pPr>
        <w:pStyle w:val="ListParagraph"/>
        <w:numPr>
          <w:ilvl w:val="0"/>
          <w:numId w:val="6"/>
        </w:numPr>
        <w:spacing w:line="240" w:lineRule="auto"/>
        <w:contextualSpacing w:val="0"/>
        <w:rPr>
          <w:rFonts w:ascii="Times New Roman" w:hAnsi="Times New Roman" w:cs="Times New Roman"/>
          <w:i/>
        </w:rPr>
      </w:pPr>
      <w:r w:rsidRPr="002B56A6">
        <w:rPr>
          <w:rFonts w:ascii="Times New Roman" w:hAnsi="Times New Roman" w:cs="Times New Roman"/>
          <w:i/>
        </w:rPr>
        <w:t>Satellite Sharing in the Upper Segment of the 24 GHz Band</w:t>
      </w:r>
      <w:r w:rsidRPr="002B56A6">
        <w:rPr>
          <w:rFonts w:ascii="Times New Roman" w:hAnsi="Times New Roman" w:cs="Times New Roman"/>
        </w:rPr>
        <w:t xml:space="preserve">. </w:t>
      </w:r>
      <w:r w:rsidRPr="002B56A6" w:rsidR="00534154">
        <w:rPr>
          <w:rFonts w:ascii="Times New Roman" w:hAnsi="Times New Roman" w:cs="Times New Roman"/>
        </w:rPr>
        <w:t xml:space="preserve"> </w:t>
      </w:r>
      <w:r w:rsidRPr="002B56A6" w:rsidR="000E5E55">
        <w:rPr>
          <w:rFonts w:ascii="Times New Roman" w:hAnsi="Times New Roman" w:cs="Times New Roman"/>
        </w:rPr>
        <w:t xml:space="preserve">The </w:t>
      </w:r>
      <w:r w:rsidRPr="005C16B1" w:rsidR="003319FC">
        <w:rPr>
          <w:rFonts w:ascii="Times New Roman" w:hAnsi="Times New Roman" w:cs="Times New Roman"/>
          <w:i/>
        </w:rPr>
        <w:t>Second</w:t>
      </w:r>
      <w:r w:rsidR="003319FC">
        <w:rPr>
          <w:rFonts w:ascii="Times New Roman" w:hAnsi="Times New Roman" w:cs="Times New Roman"/>
        </w:rPr>
        <w:t xml:space="preserve"> </w:t>
      </w:r>
      <w:r w:rsidRPr="002B56A6" w:rsidR="000E5E55">
        <w:rPr>
          <w:rFonts w:ascii="Times New Roman" w:hAnsi="Times New Roman" w:cs="Times New Roman"/>
          <w:i/>
        </w:rPr>
        <w:t>Report and Order</w:t>
      </w:r>
      <w:r w:rsidRPr="002B56A6" w:rsidR="000E5E55">
        <w:rPr>
          <w:rFonts w:ascii="Times New Roman" w:hAnsi="Times New Roman" w:cs="Times New Roman"/>
        </w:rPr>
        <w:t xml:space="preserve"> makes no major changes to </w:t>
      </w:r>
      <w:r w:rsidRPr="002B56A6" w:rsidR="00534154">
        <w:rPr>
          <w:rFonts w:ascii="Times New Roman" w:hAnsi="Times New Roman" w:cs="Times New Roman"/>
        </w:rPr>
        <w:t xml:space="preserve">earth station siting.  Satellite operators may continue to apply for, and deploy, any earth station satellites consistent with current Commission </w:t>
      </w:r>
      <w:r w:rsidR="00510306">
        <w:rPr>
          <w:rFonts w:ascii="Times New Roman" w:hAnsi="Times New Roman" w:cs="Times New Roman"/>
        </w:rPr>
        <w:t>r</w:t>
      </w:r>
      <w:r w:rsidRPr="002B56A6" w:rsidR="00534154">
        <w:rPr>
          <w:rFonts w:ascii="Times New Roman" w:hAnsi="Times New Roman" w:cs="Times New Roman"/>
        </w:rPr>
        <w:t>ules.</w:t>
      </w:r>
    </w:p>
    <w:p w:rsidR="00767930" w:rsidRPr="005C16B1" w:rsidP="005C16B1" w14:paraId="79A6A305" w14:textId="07D30989">
      <w:pPr>
        <w:pStyle w:val="ListParagraph"/>
        <w:numPr>
          <w:ilvl w:val="1"/>
          <w:numId w:val="6"/>
        </w:numPr>
        <w:spacing w:line="240" w:lineRule="auto"/>
        <w:contextualSpacing w:val="0"/>
        <w:rPr>
          <w:rFonts w:ascii="Times New Roman" w:hAnsi="Times New Roman" w:cs="Times New Roman"/>
          <w:i/>
        </w:rPr>
      </w:pPr>
      <w:r w:rsidRPr="005C16B1">
        <w:rPr>
          <w:rFonts w:ascii="Times New Roman" w:hAnsi="Times New Roman" w:cs="Times New Roman"/>
        </w:rPr>
        <w:t xml:space="preserve">New </w:t>
      </w:r>
      <w:r w:rsidRPr="005C16B1" w:rsidR="001C78E8">
        <w:rPr>
          <w:rFonts w:ascii="Times New Roman" w:hAnsi="Times New Roman" w:cs="Times New Roman"/>
        </w:rPr>
        <w:t>Broadcast Satellite Service (</w:t>
      </w:r>
      <w:r w:rsidRPr="005C16B1">
        <w:rPr>
          <w:rFonts w:ascii="Times New Roman" w:hAnsi="Times New Roman" w:cs="Times New Roman"/>
        </w:rPr>
        <w:t>BSS</w:t>
      </w:r>
      <w:r w:rsidR="001C78E8">
        <w:rPr>
          <w:rFonts w:ascii="Times New Roman" w:hAnsi="Times New Roman" w:cs="Times New Roman"/>
        </w:rPr>
        <w:t>)</w:t>
      </w:r>
      <w:r w:rsidRPr="005C16B1">
        <w:rPr>
          <w:rFonts w:ascii="Times New Roman" w:hAnsi="Times New Roman" w:cs="Times New Roman"/>
        </w:rPr>
        <w:t xml:space="preserve"> feeder link earth stations may be authorized across the entire upper segment (24.75-25.25 GHz), while non-BSS </w:t>
      </w:r>
      <w:r w:rsidRPr="005C16B1" w:rsidR="001C78E8">
        <w:rPr>
          <w:rFonts w:ascii="Times New Roman" w:hAnsi="Times New Roman" w:cs="Times New Roman"/>
        </w:rPr>
        <w:t xml:space="preserve">Fixed Satellite Service </w:t>
      </w:r>
      <w:r w:rsidR="001C78E8">
        <w:rPr>
          <w:rFonts w:ascii="Times New Roman" w:hAnsi="Times New Roman" w:cs="Times New Roman"/>
        </w:rPr>
        <w:t>(</w:t>
      </w:r>
      <w:r w:rsidRPr="005C16B1">
        <w:rPr>
          <w:rFonts w:ascii="Times New Roman" w:hAnsi="Times New Roman" w:cs="Times New Roman"/>
        </w:rPr>
        <w:t>FSS</w:t>
      </w:r>
      <w:r w:rsidR="001C78E8">
        <w:rPr>
          <w:rFonts w:ascii="Times New Roman" w:hAnsi="Times New Roman" w:cs="Times New Roman"/>
        </w:rPr>
        <w:t>)</w:t>
      </w:r>
      <w:r w:rsidRPr="005C16B1">
        <w:rPr>
          <w:rFonts w:ascii="Times New Roman" w:hAnsi="Times New Roman" w:cs="Times New Roman"/>
        </w:rPr>
        <w:t xml:space="preserve"> earth stations may be authorized in the 24.75-25.05 GHz portion</w:t>
      </w:r>
      <w:r w:rsidRPr="00767930">
        <w:rPr>
          <w:rFonts w:ascii="Times New Roman" w:hAnsi="Times New Roman" w:cs="Times New Roman"/>
          <w:i/>
        </w:rPr>
        <w:t>.</w:t>
      </w:r>
    </w:p>
    <w:p w:rsidR="00767930" w:rsidRPr="005C16B1" w:rsidP="005C16B1" w14:paraId="08C8F0BA" w14:textId="77777777">
      <w:pPr>
        <w:pStyle w:val="ListParagraph"/>
        <w:numPr>
          <w:ilvl w:val="1"/>
          <w:numId w:val="6"/>
        </w:numPr>
        <w:spacing w:line="240" w:lineRule="auto"/>
        <w:contextualSpacing w:val="0"/>
        <w:rPr>
          <w:rFonts w:ascii="Times New Roman" w:hAnsi="Times New Roman" w:cs="Times New Roman"/>
          <w:i/>
        </w:rPr>
      </w:pPr>
      <w:r w:rsidRPr="005C16B1">
        <w:rPr>
          <w:rFonts w:ascii="Times New Roman" w:hAnsi="Times New Roman" w:cs="Times New Roman"/>
        </w:rPr>
        <w:t>All earth stations either authorized or for which applications have been filed as of the release date of the</w:t>
      </w:r>
      <w:r w:rsidRPr="00767930">
        <w:rPr>
          <w:rFonts w:ascii="Times New Roman" w:hAnsi="Times New Roman" w:cs="Times New Roman"/>
          <w:i/>
        </w:rPr>
        <w:t xml:space="preserve"> Second Report and Order </w:t>
      </w:r>
      <w:r w:rsidRPr="005C16B1">
        <w:rPr>
          <w:rFonts w:ascii="Times New Roman" w:hAnsi="Times New Roman" w:cs="Times New Roman"/>
        </w:rPr>
        <w:t>will be grandfathered into the eventual sharing regime on a co-primary basis.</w:t>
      </w:r>
    </w:p>
    <w:p w:rsidR="003319FC" w:rsidRPr="005C16B1" w:rsidP="005C16B1" w14:paraId="1FC7D76E" w14:textId="376FEE73">
      <w:pPr>
        <w:pStyle w:val="ListParagraph"/>
        <w:numPr>
          <w:ilvl w:val="1"/>
          <w:numId w:val="6"/>
        </w:numPr>
        <w:spacing w:line="240" w:lineRule="auto"/>
        <w:contextualSpacing w:val="0"/>
        <w:rPr>
          <w:rFonts w:ascii="Times New Roman" w:hAnsi="Times New Roman" w:cs="Times New Roman"/>
        </w:rPr>
      </w:pPr>
      <w:r w:rsidRPr="005C16B1">
        <w:rPr>
          <w:rFonts w:ascii="Times New Roman" w:hAnsi="Times New Roman" w:cs="Times New Roman"/>
        </w:rPr>
        <w:t xml:space="preserve">Earth stations whose applications are filed after release of the </w:t>
      </w:r>
      <w:r w:rsidRPr="004239D4">
        <w:rPr>
          <w:rFonts w:ascii="Times New Roman" w:hAnsi="Times New Roman" w:cs="Times New Roman"/>
          <w:i/>
        </w:rPr>
        <w:t>Second Report and Order</w:t>
      </w:r>
      <w:r w:rsidRPr="005C16B1">
        <w:rPr>
          <w:rFonts w:ascii="Times New Roman" w:hAnsi="Times New Roman" w:cs="Times New Roman"/>
        </w:rPr>
        <w:t xml:space="preserve"> may be processed subject to compliance with any rules </w:t>
      </w:r>
      <w:r w:rsidR="004239D4">
        <w:rPr>
          <w:rFonts w:ascii="Times New Roman" w:hAnsi="Times New Roman" w:cs="Times New Roman"/>
        </w:rPr>
        <w:t xml:space="preserve">the Commission </w:t>
      </w:r>
      <w:r w:rsidRPr="005C16B1">
        <w:rPr>
          <w:rFonts w:ascii="Times New Roman" w:hAnsi="Times New Roman" w:cs="Times New Roman"/>
        </w:rPr>
        <w:t>adopt</w:t>
      </w:r>
      <w:r w:rsidR="004239D4">
        <w:rPr>
          <w:rFonts w:ascii="Times New Roman" w:hAnsi="Times New Roman" w:cs="Times New Roman"/>
        </w:rPr>
        <w:t>s</w:t>
      </w:r>
      <w:r w:rsidRPr="005C16B1">
        <w:rPr>
          <w:rFonts w:ascii="Times New Roman" w:hAnsi="Times New Roman" w:cs="Times New Roman"/>
        </w:rPr>
        <w:t xml:space="preserve"> as a result of the proposals in subsequent orders </w:t>
      </w:r>
      <w:r w:rsidR="00B3679B">
        <w:rPr>
          <w:rFonts w:ascii="Times New Roman" w:hAnsi="Times New Roman" w:cs="Times New Roman"/>
        </w:rPr>
        <w:t xml:space="preserve">in </w:t>
      </w:r>
      <w:r w:rsidRPr="005C16B1">
        <w:rPr>
          <w:rFonts w:ascii="Times New Roman" w:hAnsi="Times New Roman" w:cs="Times New Roman"/>
        </w:rPr>
        <w:t>this proceeding.</w:t>
      </w:r>
    </w:p>
    <w:p w:rsidR="00534154" w:rsidRPr="002B56A6" w:rsidP="002B56A6" w14:paraId="50A051DB" w14:textId="78B022BD">
      <w:pPr>
        <w:pStyle w:val="ListParagraph"/>
        <w:numPr>
          <w:ilvl w:val="0"/>
          <w:numId w:val="6"/>
        </w:numPr>
        <w:spacing w:line="240" w:lineRule="auto"/>
        <w:contextualSpacing w:val="0"/>
        <w:rPr>
          <w:rFonts w:ascii="Times New Roman" w:hAnsi="Times New Roman" w:cs="Times New Roman"/>
          <w:i/>
        </w:rPr>
      </w:pPr>
      <w:r w:rsidRPr="002B56A6">
        <w:rPr>
          <w:rFonts w:ascii="Times New Roman" w:hAnsi="Times New Roman" w:cs="Times New Roman"/>
          <w:i/>
        </w:rPr>
        <w:t>Mobile Rights for Incumbents</w:t>
      </w:r>
      <w:r w:rsidRPr="002B56A6">
        <w:rPr>
          <w:rFonts w:ascii="Times New Roman" w:hAnsi="Times New Roman" w:cs="Times New Roman"/>
        </w:rPr>
        <w:t>.  Existing licenses will be automatically converted to UMFUS</w:t>
      </w:r>
      <w:r w:rsidR="008D369A">
        <w:rPr>
          <w:rFonts w:ascii="Times New Roman" w:hAnsi="Times New Roman" w:cs="Times New Roman"/>
        </w:rPr>
        <w:t>, and licensees will consequently have rights to operate mobile wireless service in this band</w:t>
      </w:r>
      <w:r w:rsidRPr="002B56A6">
        <w:rPr>
          <w:rFonts w:ascii="Times New Roman" w:hAnsi="Times New Roman" w:cs="Times New Roman"/>
        </w:rPr>
        <w:t>.  This will allow already-licensed spectrum to be developed for mobile or flexible use as soon as possible.</w:t>
      </w:r>
    </w:p>
    <w:p w:rsidR="00534154" w:rsidRPr="002B56A6" w:rsidP="002B56A6" w14:paraId="31710F8F" w14:textId="74BC61A8">
      <w:pPr>
        <w:pStyle w:val="ListParagraph"/>
        <w:numPr>
          <w:ilvl w:val="1"/>
          <w:numId w:val="6"/>
        </w:numPr>
        <w:spacing w:line="240" w:lineRule="auto"/>
        <w:contextualSpacing w:val="0"/>
        <w:rPr>
          <w:rFonts w:ascii="Times New Roman" w:hAnsi="Times New Roman" w:cs="Times New Roman"/>
          <w:i/>
        </w:rPr>
      </w:pPr>
      <w:r>
        <w:rPr>
          <w:rFonts w:ascii="Times New Roman" w:hAnsi="Times New Roman" w:cs="Times New Roman"/>
        </w:rPr>
        <w:t>I</w:t>
      </w:r>
      <w:r w:rsidRPr="002B56A6">
        <w:rPr>
          <w:rFonts w:ascii="Times New Roman" w:hAnsi="Times New Roman" w:cs="Times New Roman"/>
        </w:rPr>
        <w:t>ncumbent license</w:t>
      </w:r>
      <w:r w:rsidR="001D78F1">
        <w:rPr>
          <w:rFonts w:ascii="Times New Roman" w:hAnsi="Times New Roman" w:cs="Times New Roman"/>
        </w:rPr>
        <w:t>e</w:t>
      </w:r>
      <w:r w:rsidRPr="002B56A6">
        <w:rPr>
          <w:rFonts w:ascii="Times New Roman" w:hAnsi="Times New Roman" w:cs="Times New Roman"/>
        </w:rPr>
        <w:t xml:space="preserve">s </w:t>
      </w:r>
      <w:r>
        <w:rPr>
          <w:rFonts w:ascii="Times New Roman" w:hAnsi="Times New Roman" w:cs="Times New Roman"/>
        </w:rPr>
        <w:t xml:space="preserve">will be subject </w:t>
      </w:r>
      <w:r w:rsidRPr="002B56A6">
        <w:rPr>
          <w:rFonts w:ascii="Times New Roman" w:hAnsi="Times New Roman" w:cs="Times New Roman"/>
        </w:rPr>
        <w:t>to performance requirements</w:t>
      </w:r>
      <w:r w:rsidR="0027592D">
        <w:rPr>
          <w:rFonts w:ascii="Times New Roman" w:hAnsi="Times New Roman" w:cs="Times New Roman"/>
        </w:rPr>
        <w:t xml:space="preserve"> in Section 30.104 of the rules</w:t>
      </w:r>
      <w:r w:rsidRPr="002B56A6">
        <w:rPr>
          <w:rFonts w:ascii="Times New Roman" w:hAnsi="Times New Roman" w:cs="Times New Roman"/>
        </w:rPr>
        <w:t>. Buildout requirements will be applied at the next license renewal.</w:t>
      </w:r>
    </w:p>
    <w:p w:rsidR="00534154" w:rsidRPr="002B56A6" w:rsidP="002B56A6" w14:paraId="596EA1FC" w14:textId="0FF76C19">
      <w:pPr>
        <w:pStyle w:val="ListParagraph"/>
        <w:numPr>
          <w:ilvl w:val="1"/>
          <w:numId w:val="6"/>
        </w:numPr>
        <w:spacing w:line="240" w:lineRule="auto"/>
        <w:contextualSpacing w:val="0"/>
        <w:rPr>
          <w:rFonts w:ascii="Times New Roman" w:hAnsi="Times New Roman" w:cs="Times New Roman"/>
          <w:i/>
        </w:rPr>
      </w:pPr>
      <w:r>
        <w:rPr>
          <w:rFonts w:ascii="Times New Roman" w:hAnsi="Times New Roman" w:cs="Times New Roman"/>
        </w:rPr>
        <w:t>L</w:t>
      </w:r>
      <w:r w:rsidRPr="002B56A6">
        <w:rPr>
          <w:rFonts w:ascii="Times New Roman" w:hAnsi="Times New Roman" w:cs="Times New Roman"/>
        </w:rPr>
        <w:t>icense</w:t>
      </w:r>
      <w:r>
        <w:rPr>
          <w:rFonts w:ascii="Times New Roman" w:hAnsi="Times New Roman" w:cs="Times New Roman"/>
        </w:rPr>
        <w:t>e</w:t>
      </w:r>
      <w:r w:rsidRPr="002B56A6">
        <w:rPr>
          <w:rFonts w:ascii="Times New Roman" w:hAnsi="Times New Roman" w:cs="Times New Roman"/>
        </w:rPr>
        <w:t xml:space="preserve">s </w:t>
      </w:r>
      <w:r>
        <w:rPr>
          <w:rFonts w:ascii="Times New Roman" w:hAnsi="Times New Roman" w:cs="Times New Roman"/>
        </w:rPr>
        <w:t xml:space="preserve">whose license terms </w:t>
      </w:r>
      <w:r w:rsidRPr="002B56A6">
        <w:rPr>
          <w:rFonts w:ascii="Times New Roman" w:hAnsi="Times New Roman" w:cs="Times New Roman"/>
        </w:rPr>
        <w:t xml:space="preserve">end between </w:t>
      </w:r>
      <w:r w:rsidRPr="001D76F1" w:rsidR="001D76F1">
        <w:rPr>
          <w:rFonts w:ascii="Times New Roman" w:hAnsi="Times New Roman" w:cs="Times New Roman"/>
        </w:rPr>
        <w:t>Jan</w:t>
      </w:r>
      <w:r w:rsidR="00D9486A">
        <w:rPr>
          <w:rFonts w:ascii="Times New Roman" w:hAnsi="Times New Roman" w:cs="Times New Roman"/>
        </w:rPr>
        <w:t>uary</w:t>
      </w:r>
      <w:r w:rsidRPr="001D76F1" w:rsidR="001D76F1">
        <w:rPr>
          <w:rFonts w:ascii="Times New Roman" w:hAnsi="Times New Roman" w:cs="Times New Roman"/>
        </w:rPr>
        <w:t xml:space="preserve"> 2</w:t>
      </w:r>
      <w:r w:rsidRPr="001D76F1">
        <w:rPr>
          <w:rFonts w:ascii="Times New Roman" w:hAnsi="Times New Roman" w:cs="Times New Roman"/>
        </w:rPr>
        <w:t>, 2018</w:t>
      </w:r>
      <w:r w:rsidRPr="002B56A6">
        <w:rPr>
          <w:rFonts w:ascii="Times New Roman" w:hAnsi="Times New Roman" w:cs="Times New Roman"/>
        </w:rPr>
        <w:t xml:space="preserve"> </w:t>
      </w:r>
      <w:r w:rsidR="008D369A">
        <w:rPr>
          <w:rFonts w:ascii="Times New Roman" w:hAnsi="Times New Roman" w:cs="Times New Roman"/>
        </w:rPr>
        <w:t xml:space="preserve">(the date of the publication of the </w:t>
      </w:r>
      <w:r w:rsidRPr="000733B3" w:rsidR="008D369A">
        <w:rPr>
          <w:rFonts w:ascii="Times New Roman" w:hAnsi="Times New Roman" w:cs="Times New Roman"/>
          <w:i/>
        </w:rPr>
        <w:t>Second Report and Order</w:t>
      </w:r>
      <w:r w:rsidR="008D369A">
        <w:rPr>
          <w:rFonts w:ascii="Times New Roman" w:hAnsi="Times New Roman" w:cs="Times New Roman"/>
        </w:rPr>
        <w:t xml:space="preserve"> in the Federal Register) </w:t>
      </w:r>
      <w:r w:rsidRPr="002B56A6">
        <w:rPr>
          <w:rFonts w:ascii="Times New Roman" w:hAnsi="Times New Roman" w:cs="Times New Roman"/>
        </w:rPr>
        <w:t>and June 1, 2024, will have until June 1, 2024 to meet the buildout requirement.</w:t>
      </w:r>
    </w:p>
    <w:p w:rsidR="0001069B" w:rsidRPr="002B56A6" w:rsidP="002B56A6" w14:paraId="044933DE" w14:textId="58737465">
      <w:pPr>
        <w:pStyle w:val="Heading3"/>
        <w:spacing w:line="240" w:lineRule="auto"/>
      </w:pPr>
      <w:bookmarkStart w:id="5" w:name="_Toc512508559"/>
      <w:r w:rsidRPr="002B56A6">
        <w:t>47.2 – 48.2 GHz Band (47 GHz band)</w:t>
      </w:r>
      <w:bookmarkEnd w:id="5"/>
      <w:r>
        <w:rPr>
          <w:rStyle w:val="FootnoteReference"/>
        </w:rPr>
        <w:footnoteReference w:id="4"/>
      </w:r>
    </w:p>
    <w:p w:rsidR="003D7D03" w:rsidRPr="003D7D03" w:rsidP="002B56A6" w14:paraId="07576DAB" w14:textId="63EB5579">
      <w:pPr>
        <w:pStyle w:val="ListParagraph"/>
        <w:numPr>
          <w:ilvl w:val="1"/>
          <w:numId w:val="7"/>
        </w:numPr>
        <w:spacing w:line="240" w:lineRule="auto"/>
        <w:contextualSpacing w:val="0"/>
        <w:rPr>
          <w:rFonts w:ascii="Times New Roman" w:hAnsi="Times New Roman" w:cs="Times New Roman"/>
        </w:rPr>
      </w:pPr>
      <w:r w:rsidRPr="002B56A6">
        <w:rPr>
          <w:rFonts w:ascii="Times New Roman" w:hAnsi="Times New Roman" w:cs="Times New Roman"/>
          <w:i/>
        </w:rPr>
        <w:t>Suitability for Mobile Service</w:t>
      </w:r>
      <w:r w:rsidRPr="002B56A6">
        <w:rPr>
          <w:rFonts w:ascii="Times New Roman" w:hAnsi="Times New Roman" w:cs="Times New Roman"/>
        </w:rPr>
        <w:t xml:space="preserve">. </w:t>
      </w:r>
      <w:r w:rsidR="00127B68">
        <w:rPr>
          <w:rFonts w:ascii="Times New Roman" w:hAnsi="Times New Roman" w:cs="Times New Roman"/>
        </w:rPr>
        <w:t xml:space="preserve"> </w:t>
      </w:r>
      <w:r w:rsidRPr="003D7D03">
        <w:rPr>
          <w:rFonts w:ascii="Times New Roman" w:hAnsi="Times New Roman" w:cs="Times New Roman"/>
        </w:rPr>
        <w:t xml:space="preserve">The </w:t>
      </w:r>
      <w:r w:rsidRPr="003D7D03">
        <w:rPr>
          <w:rFonts w:ascii="Times New Roman" w:hAnsi="Times New Roman" w:cs="Times New Roman"/>
          <w:i/>
        </w:rPr>
        <w:t>Second</w:t>
      </w:r>
      <w:r w:rsidRPr="003D7D03">
        <w:rPr>
          <w:rFonts w:ascii="Times New Roman" w:hAnsi="Times New Roman" w:cs="Times New Roman"/>
        </w:rPr>
        <w:t xml:space="preserve"> </w:t>
      </w:r>
      <w:r w:rsidRPr="003D7D03">
        <w:rPr>
          <w:rFonts w:ascii="Times New Roman" w:hAnsi="Times New Roman" w:cs="Times New Roman"/>
          <w:i/>
        </w:rPr>
        <w:t>Report and Order</w:t>
      </w:r>
      <w:r w:rsidRPr="003D7D03">
        <w:rPr>
          <w:rFonts w:ascii="Times New Roman" w:hAnsi="Times New Roman" w:cs="Times New Roman"/>
        </w:rPr>
        <w:t xml:space="preserve"> </w:t>
      </w:r>
      <w:r w:rsidRPr="005C16B1">
        <w:rPr>
          <w:rFonts w:ascii="Times New Roman" w:hAnsi="Times New Roman" w:cs="Times New Roman"/>
        </w:rPr>
        <w:t>establishes UMFUS service rules in the 47.2-48.2 GHz band</w:t>
      </w:r>
      <w:r w:rsidRPr="003D7D03">
        <w:rPr>
          <w:rFonts w:ascii="Times New Roman" w:hAnsi="Times New Roman" w:cs="Times New Roman"/>
        </w:rPr>
        <w:t>.</w:t>
      </w:r>
    </w:p>
    <w:p w:rsidR="003D7D03" w:rsidRPr="003D7D03" w:rsidP="005C16B1" w14:paraId="4016FE6E" w14:textId="3CD81422">
      <w:pPr>
        <w:pStyle w:val="ListParagraph"/>
        <w:numPr>
          <w:ilvl w:val="2"/>
          <w:numId w:val="7"/>
        </w:numPr>
        <w:spacing w:line="240" w:lineRule="auto"/>
        <w:ind w:hanging="360"/>
        <w:contextualSpacing w:val="0"/>
        <w:rPr>
          <w:rFonts w:ascii="Times New Roman" w:hAnsi="Times New Roman" w:cs="Times New Roman"/>
        </w:rPr>
      </w:pPr>
      <w:r w:rsidRPr="003D7D03">
        <w:rPr>
          <w:rFonts w:ascii="Times New Roman" w:hAnsi="Times New Roman" w:cs="Times New Roman"/>
        </w:rPr>
        <w:t>Part 30</w:t>
      </w:r>
      <w:r w:rsidRPr="003D7D03" w:rsidR="00127B68">
        <w:rPr>
          <w:rFonts w:ascii="Times New Roman" w:hAnsi="Times New Roman" w:cs="Times New Roman"/>
        </w:rPr>
        <w:t xml:space="preserve"> UMFUS</w:t>
      </w:r>
      <w:r w:rsidRPr="003D7D03" w:rsidR="001B665C">
        <w:rPr>
          <w:rFonts w:ascii="Times New Roman" w:hAnsi="Times New Roman" w:cs="Times New Roman"/>
        </w:rPr>
        <w:t xml:space="preserve"> rules</w:t>
      </w:r>
      <w:r w:rsidRPr="003D7D03" w:rsidR="00127B68">
        <w:rPr>
          <w:rFonts w:ascii="Times New Roman" w:hAnsi="Times New Roman" w:cs="Times New Roman"/>
        </w:rPr>
        <w:t xml:space="preserve"> </w:t>
      </w:r>
      <w:r w:rsidRPr="003D7D03">
        <w:rPr>
          <w:rFonts w:ascii="Times New Roman" w:hAnsi="Times New Roman" w:cs="Times New Roman"/>
        </w:rPr>
        <w:t xml:space="preserve">will be applied </w:t>
      </w:r>
      <w:r w:rsidRPr="003D7D03" w:rsidR="00127B68">
        <w:rPr>
          <w:rFonts w:ascii="Times New Roman" w:hAnsi="Times New Roman" w:cs="Times New Roman"/>
        </w:rPr>
        <w:t>to the 47 GHz band</w:t>
      </w:r>
      <w:r w:rsidRPr="003D7D03" w:rsidR="001B665C">
        <w:rPr>
          <w:rFonts w:ascii="Times New Roman" w:hAnsi="Times New Roman" w:cs="Times New Roman"/>
        </w:rPr>
        <w:t xml:space="preserve">.  </w:t>
      </w:r>
    </w:p>
    <w:p w:rsidR="001B665C" w:rsidRPr="003D7D03" w:rsidP="005C16B1" w14:paraId="4D2B9C79" w14:textId="48891EAA">
      <w:pPr>
        <w:pStyle w:val="ListParagraph"/>
        <w:numPr>
          <w:ilvl w:val="2"/>
          <w:numId w:val="7"/>
        </w:numPr>
        <w:spacing w:line="240" w:lineRule="auto"/>
        <w:ind w:hanging="360"/>
        <w:contextualSpacing w:val="0"/>
        <w:rPr>
          <w:rFonts w:ascii="Times New Roman" w:hAnsi="Times New Roman" w:cs="Times New Roman"/>
        </w:rPr>
      </w:pPr>
      <w:r w:rsidRPr="003D7D03">
        <w:rPr>
          <w:rFonts w:ascii="Times New Roman" w:hAnsi="Times New Roman" w:cs="Times New Roman"/>
        </w:rPr>
        <w:t>UMFUS licenses</w:t>
      </w:r>
      <w:r w:rsidRPr="003D7D03" w:rsidR="003D7D03">
        <w:rPr>
          <w:rFonts w:ascii="Times New Roman" w:hAnsi="Times New Roman" w:cs="Times New Roman"/>
        </w:rPr>
        <w:t xml:space="preserve"> in the 47 GHz band</w:t>
      </w:r>
      <w:r w:rsidRPr="003D7D03">
        <w:rPr>
          <w:rFonts w:ascii="Times New Roman" w:hAnsi="Times New Roman" w:cs="Times New Roman"/>
        </w:rPr>
        <w:t xml:space="preserve"> will be issued with both fixed and mobile rights. </w:t>
      </w:r>
    </w:p>
    <w:p w:rsidR="00124BB4" w:rsidRPr="005C16B1" w:rsidP="005C16B1" w14:paraId="159AC912" w14:textId="221BFE9E">
      <w:pPr>
        <w:pStyle w:val="ListParagraph"/>
        <w:numPr>
          <w:ilvl w:val="1"/>
          <w:numId w:val="7"/>
        </w:numPr>
        <w:spacing w:after="0" w:line="240" w:lineRule="auto"/>
        <w:contextualSpacing w:val="0"/>
        <w:rPr>
          <w:rFonts w:ascii="Times New Roman" w:hAnsi="Times New Roman" w:cs="Times New Roman"/>
        </w:rPr>
      </w:pPr>
      <w:r w:rsidRPr="002B56A6">
        <w:rPr>
          <w:rFonts w:ascii="Times New Roman" w:hAnsi="Times New Roman" w:cs="Times New Roman"/>
          <w:i/>
        </w:rPr>
        <w:t>Geographic Area Licensing</w:t>
      </w:r>
      <w:r w:rsidRPr="002B56A6">
        <w:rPr>
          <w:rFonts w:ascii="Times New Roman" w:hAnsi="Times New Roman" w:cs="Times New Roman"/>
        </w:rPr>
        <w:t>.</w:t>
      </w:r>
      <w:r w:rsidRPr="002B56A6" w:rsidR="00D1149E">
        <w:rPr>
          <w:rFonts w:ascii="Times New Roman" w:hAnsi="Times New Roman" w:cs="Times New Roman"/>
        </w:rPr>
        <w:t xml:space="preserve"> </w:t>
      </w:r>
      <w:r w:rsidR="00046F83">
        <w:rPr>
          <w:rFonts w:ascii="Times New Roman" w:hAnsi="Times New Roman" w:cs="Times New Roman"/>
        </w:rPr>
        <w:t xml:space="preserve"> </w:t>
      </w:r>
      <w:r w:rsidRPr="002B56A6" w:rsidR="00890C06">
        <w:rPr>
          <w:rFonts w:ascii="Times New Roman" w:hAnsi="Times New Roman" w:cs="Times New Roman"/>
        </w:rPr>
        <w:t xml:space="preserve">Licenses shall be divided into </w:t>
      </w:r>
      <w:r w:rsidR="00890C06">
        <w:rPr>
          <w:rFonts w:ascii="Times New Roman" w:hAnsi="Times New Roman" w:cs="Times New Roman"/>
        </w:rPr>
        <w:t>Partial Economic Areas (</w:t>
      </w:r>
      <w:r w:rsidRPr="002B56A6" w:rsidR="00890C06">
        <w:rPr>
          <w:rFonts w:ascii="Times New Roman" w:hAnsi="Times New Roman" w:cs="Times New Roman"/>
        </w:rPr>
        <w:t>PEAs</w:t>
      </w:r>
      <w:r w:rsidR="00890C06">
        <w:rPr>
          <w:rFonts w:ascii="Times New Roman" w:hAnsi="Times New Roman" w:cs="Times New Roman"/>
        </w:rPr>
        <w:t>) as the license area size</w:t>
      </w:r>
      <w:r w:rsidRPr="002B56A6" w:rsidR="00890C06">
        <w:rPr>
          <w:rFonts w:ascii="Times New Roman" w:hAnsi="Times New Roman" w:cs="Times New Roman"/>
        </w:rPr>
        <w:t>, consistent with rules for the 39 GHz band.</w:t>
      </w:r>
      <w:r w:rsidR="00890C06">
        <w:rPr>
          <w:rFonts w:ascii="Times New Roman" w:hAnsi="Times New Roman" w:cs="Times New Roman"/>
        </w:rPr>
        <w:t xml:space="preserve">  </w:t>
      </w:r>
      <w:r w:rsidRPr="005C16B1" w:rsidR="00890C06">
        <w:rPr>
          <w:rFonts w:ascii="Times New Roman" w:hAnsi="Times New Roman" w:cs="Times New Roman"/>
        </w:rPr>
        <w:t>Partitioning remains available for licensees who desire smaller areas.</w:t>
      </w:r>
    </w:p>
    <w:p w:rsidR="00D1149E" w:rsidRPr="002279E6" w:rsidP="005C16B1" w14:paraId="0D65406F" w14:textId="5704AFC9">
      <w:pPr>
        <w:spacing w:after="0" w:line="240" w:lineRule="auto"/>
      </w:pPr>
    </w:p>
    <w:p w:rsidR="00D1149E" w:rsidRPr="00C22713" w:rsidP="00C22713" w14:paraId="00658E63" w14:textId="4C011762">
      <w:pPr>
        <w:pStyle w:val="ListParagraph"/>
        <w:numPr>
          <w:ilvl w:val="1"/>
          <w:numId w:val="7"/>
        </w:numPr>
        <w:spacing w:line="240" w:lineRule="auto"/>
        <w:contextualSpacing w:val="0"/>
        <w:rPr>
          <w:rFonts w:ascii="Times New Roman" w:hAnsi="Times New Roman" w:cs="Times New Roman"/>
        </w:rPr>
      </w:pPr>
      <w:r w:rsidRPr="00C22713">
        <w:rPr>
          <w:rFonts w:ascii="Times New Roman" w:hAnsi="Times New Roman" w:cs="Times New Roman"/>
          <w:i/>
        </w:rPr>
        <w:t>Non-Federal Satellite Terrestrial Sharing</w:t>
      </w:r>
      <w:r w:rsidR="00687EFF">
        <w:rPr>
          <w:rFonts w:ascii="Times New Roman" w:hAnsi="Times New Roman" w:cs="Times New Roman"/>
          <w:i/>
        </w:rPr>
        <w:t xml:space="preserve"> </w:t>
      </w:r>
      <w:r w:rsidRPr="00C22713">
        <w:rPr>
          <w:rFonts w:ascii="Times New Roman" w:hAnsi="Times New Roman" w:cs="Times New Roman"/>
          <w:i/>
        </w:rPr>
        <w:t>- Licensing of Gateway Earth Stations</w:t>
      </w:r>
      <w:r w:rsidRPr="00C22713">
        <w:rPr>
          <w:rFonts w:ascii="Times New Roman" w:hAnsi="Times New Roman" w:cs="Times New Roman"/>
        </w:rPr>
        <w:t xml:space="preserve">. </w:t>
      </w:r>
      <w:r w:rsidRPr="00C22713" w:rsidR="00E23EF0">
        <w:rPr>
          <w:rFonts w:ascii="Times New Roman" w:hAnsi="Times New Roman" w:cs="Times New Roman"/>
        </w:rPr>
        <w:t xml:space="preserve"> </w:t>
      </w:r>
      <w:r w:rsidRPr="005C16B1" w:rsidR="00AD1764">
        <w:rPr>
          <w:rFonts w:ascii="Times New Roman" w:hAnsi="Times New Roman" w:cs="Times New Roman"/>
          <w:i/>
        </w:rPr>
        <w:t xml:space="preserve">The </w:t>
      </w:r>
      <w:r w:rsidRPr="005C16B1" w:rsidR="007556CF">
        <w:rPr>
          <w:rFonts w:ascii="Times New Roman" w:hAnsi="Times New Roman" w:cs="Times New Roman"/>
          <w:i/>
        </w:rPr>
        <w:t>Second Report and Order</w:t>
      </w:r>
      <w:r w:rsidRPr="00C22713" w:rsidR="007556CF">
        <w:rPr>
          <w:rFonts w:ascii="Times New Roman" w:hAnsi="Times New Roman" w:cs="Times New Roman"/>
        </w:rPr>
        <w:t xml:space="preserve"> added the </w:t>
      </w:r>
      <w:r w:rsidRPr="00C22713" w:rsidR="00046F83">
        <w:rPr>
          <w:rFonts w:ascii="Times New Roman" w:hAnsi="Times New Roman" w:cs="Times New Roman"/>
        </w:rPr>
        <w:t>47 GHz</w:t>
      </w:r>
      <w:r w:rsidRPr="00C22713" w:rsidR="007556CF">
        <w:rPr>
          <w:rFonts w:ascii="Times New Roman" w:hAnsi="Times New Roman" w:cs="Times New Roman"/>
        </w:rPr>
        <w:t xml:space="preserve"> band </w:t>
      </w:r>
      <w:r w:rsidRPr="00C22713" w:rsidR="002D5CD7">
        <w:rPr>
          <w:rFonts w:ascii="Times New Roman" w:hAnsi="Times New Roman" w:cs="Times New Roman"/>
        </w:rPr>
        <w:t xml:space="preserve">to Section 25.136(d) of the Commission’s rules which allows </w:t>
      </w:r>
      <w:r w:rsidRPr="00C22713" w:rsidR="007556CF">
        <w:rPr>
          <w:rFonts w:ascii="Times New Roman" w:hAnsi="Times New Roman" w:cs="Times New Roman"/>
        </w:rPr>
        <w:t xml:space="preserve">for </w:t>
      </w:r>
      <w:r w:rsidRPr="00C22713" w:rsidR="002D5CD7">
        <w:rPr>
          <w:rFonts w:ascii="Times New Roman" w:hAnsi="Times New Roman" w:cs="Times New Roman"/>
        </w:rPr>
        <w:t>sharing between terrestrial operations and F</w:t>
      </w:r>
      <w:r w:rsidRPr="00C22713" w:rsidR="007556CF">
        <w:rPr>
          <w:rFonts w:ascii="Times New Roman" w:hAnsi="Times New Roman" w:cs="Times New Roman"/>
        </w:rPr>
        <w:t xml:space="preserve">SS </w:t>
      </w:r>
      <w:r w:rsidRPr="00C22713" w:rsidR="002D5CD7">
        <w:rPr>
          <w:rFonts w:ascii="Times New Roman" w:hAnsi="Times New Roman" w:cs="Times New Roman"/>
        </w:rPr>
        <w:t xml:space="preserve">earth stations in uplink bands. </w:t>
      </w:r>
      <w:r w:rsidRPr="00C22713" w:rsidR="00EB4094">
        <w:rPr>
          <w:rFonts w:ascii="Times New Roman" w:hAnsi="Times New Roman" w:cs="Times New Roman"/>
        </w:rPr>
        <w:t>A footnote to the U.S. Table of Allocations was also adopted specifying the relative interference protection obligations of FSS and UMFUS stations in this band.</w:t>
      </w:r>
      <w:r w:rsidR="00EB4094">
        <w:rPr>
          <w:rFonts w:ascii="Times New Roman" w:hAnsi="Times New Roman" w:cs="Times New Roman"/>
        </w:rPr>
        <w:t xml:space="preserve">  </w:t>
      </w:r>
      <w:r w:rsidRPr="00C22713" w:rsidR="0093358B">
        <w:rPr>
          <w:rFonts w:ascii="Times New Roman" w:hAnsi="Times New Roman" w:cs="Times New Roman"/>
        </w:rPr>
        <w:t>The intention of the Commission is that this band will remain predominantly a terrestrial band.</w:t>
      </w:r>
    </w:p>
    <w:p w:rsidR="002D5CD7" w:rsidRPr="002B56A6" w:rsidP="000C265D" w14:paraId="531417F2" w14:textId="7CEA0263">
      <w:pPr>
        <w:pStyle w:val="ListParagraph"/>
        <w:numPr>
          <w:ilvl w:val="2"/>
          <w:numId w:val="7"/>
        </w:numPr>
        <w:spacing w:line="240" w:lineRule="auto"/>
        <w:ind w:hanging="360"/>
        <w:contextualSpacing w:val="0"/>
        <w:rPr>
          <w:rFonts w:ascii="Times New Roman" w:hAnsi="Times New Roman" w:cs="Times New Roman"/>
        </w:rPr>
      </w:pPr>
      <w:r>
        <w:rPr>
          <w:rFonts w:ascii="Times New Roman" w:hAnsi="Times New Roman" w:cs="Times New Roman"/>
        </w:rPr>
        <w:t>T</w:t>
      </w:r>
      <w:r w:rsidRPr="002B56A6">
        <w:rPr>
          <w:rFonts w:ascii="Times New Roman" w:hAnsi="Times New Roman" w:cs="Times New Roman"/>
        </w:rPr>
        <w:t>hree FSS earth stations per county (maximum of 15 in each PEA</w:t>
      </w:r>
      <w:r w:rsidR="00687EFF">
        <w:rPr>
          <w:rFonts w:ascii="Times New Roman" w:hAnsi="Times New Roman" w:cs="Times New Roman"/>
        </w:rPr>
        <w:t>)</w:t>
      </w:r>
      <w:r w:rsidRPr="002B56A6">
        <w:rPr>
          <w:rFonts w:ascii="Times New Roman" w:hAnsi="Times New Roman" w:cs="Times New Roman"/>
        </w:rPr>
        <w:t xml:space="preserve"> are permitted to deploy under conditions similar to those in the 28 GHz bands</w:t>
      </w:r>
      <w:r>
        <w:rPr>
          <w:rStyle w:val="FootnoteReference"/>
          <w:rFonts w:ascii="Times New Roman" w:hAnsi="Times New Roman" w:cs="Times New Roman"/>
        </w:rPr>
        <w:footnoteReference w:id="5"/>
      </w:r>
      <w:r w:rsidRPr="002B56A6">
        <w:rPr>
          <w:rFonts w:ascii="Times New Roman" w:hAnsi="Times New Roman" w:cs="Times New Roman"/>
        </w:rPr>
        <w:t xml:space="preserve"> without having to protect UMFUS stations.</w:t>
      </w:r>
    </w:p>
    <w:p w:rsidR="004D0644" w:rsidP="000C265D" w14:paraId="02A55AEC" w14:textId="5E89D7D7">
      <w:pPr>
        <w:pStyle w:val="ListParagraph"/>
        <w:numPr>
          <w:ilvl w:val="2"/>
          <w:numId w:val="7"/>
        </w:numPr>
        <w:spacing w:line="240" w:lineRule="auto"/>
        <w:ind w:hanging="360"/>
        <w:contextualSpacing w:val="0"/>
        <w:rPr>
          <w:rFonts w:ascii="Times New Roman" w:hAnsi="Times New Roman" w:cs="Times New Roman"/>
        </w:rPr>
      </w:pPr>
      <w:r w:rsidRPr="002B56A6">
        <w:rPr>
          <w:rFonts w:ascii="Times New Roman" w:hAnsi="Times New Roman" w:cs="Times New Roman"/>
        </w:rPr>
        <w:t xml:space="preserve">UMFUS licensees </w:t>
      </w:r>
      <w:r w:rsidR="00EB4094">
        <w:rPr>
          <w:rFonts w:ascii="Times New Roman" w:hAnsi="Times New Roman" w:cs="Times New Roman"/>
        </w:rPr>
        <w:t xml:space="preserve">are </w:t>
      </w:r>
      <w:r w:rsidRPr="002B56A6">
        <w:rPr>
          <w:rFonts w:ascii="Times New Roman" w:hAnsi="Times New Roman" w:cs="Times New Roman"/>
        </w:rPr>
        <w:t xml:space="preserve">permitted to operate in conformance with Part 30 </w:t>
      </w:r>
      <w:r w:rsidR="006B2912">
        <w:rPr>
          <w:rFonts w:ascii="Times New Roman" w:hAnsi="Times New Roman" w:cs="Times New Roman"/>
        </w:rPr>
        <w:t xml:space="preserve">technical </w:t>
      </w:r>
      <w:r w:rsidRPr="002B56A6">
        <w:rPr>
          <w:rFonts w:ascii="Times New Roman" w:hAnsi="Times New Roman" w:cs="Times New Roman"/>
        </w:rPr>
        <w:t xml:space="preserve">rules </w:t>
      </w:r>
      <w:r w:rsidR="006B2912">
        <w:rPr>
          <w:rFonts w:ascii="Times New Roman" w:hAnsi="Times New Roman" w:cs="Times New Roman"/>
        </w:rPr>
        <w:t xml:space="preserve">(Part 30, Subpart C) </w:t>
      </w:r>
      <w:r w:rsidRPr="002B56A6">
        <w:rPr>
          <w:rFonts w:ascii="Times New Roman" w:hAnsi="Times New Roman" w:cs="Times New Roman"/>
        </w:rPr>
        <w:t xml:space="preserve">and FSS licensees can operate </w:t>
      </w:r>
      <w:r w:rsidRPr="002B56A6" w:rsidR="00FA770C">
        <w:rPr>
          <w:rFonts w:ascii="Times New Roman" w:hAnsi="Times New Roman" w:cs="Times New Roman"/>
        </w:rPr>
        <w:t>simultane</w:t>
      </w:r>
      <w:r w:rsidR="00FA770C">
        <w:rPr>
          <w:rFonts w:ascii="Times New Roman" w:hAnsi="Times New Roman" w:cs="Times New Roman"/>
        </w:rPr>
        <w:t>ously</w:t>
      </w:r>
      <w:r w:rsidRPr="002B56A6">
        <w:rPr>
          <w:rFonts w:ascii="Times New Roman" w:hAnsi="Times New Roman" w:cs="Times New Roman"/>
        </w:rPr>
        <w:t xml:space="preserve"> with t</w:t>
      </w:r>
      <w:r w:rsidR="0093358B">
        <w:rPr>
          <w:rFonts w:ascii="Times New Roman" w:hAnsi="Times New Roman" w:cs="Times New Roman"/>
        </w:rPr>
        <w:t>errestrial</w:t>
      </w:r>
      <w:r w:rsidRPr="002B56A6">
        <w:rPr>
          <w:rFonts w:ascii="Times New Roman" w:hAnsi="Times New Roman" w:cs="Times New Roman"/>
        </w:rPr>
        <w:t xml:space="preserve"> operations. </w:t>
      </w:r>
    </w:p>
    <w:p w:rsidR="0093358B" w:rsidP="003E7F98" w14:paraId="1C9DB3B4" w14:textId="3DEE79B1">
      <w:pPr>
        <w:pStyle w:val="ListParagraph"/>
        <w:numPr>
          <w:ilvl w:val="2"/>
          <w:numId w:val="7"/>
        </w:numPr>
        <w:spacing w:line="240" w:lineRule="auto"/>
        <w:ind w:hanging="360"/>
        <w:contextualSpacing w:val="0"/>
        <w:rPr>
          <w:rFonts w:ascii="Times New Roman" w:hAnsi="Times New Roman" w:cs="Times New Roman"/>
        </w:rPr>
      </w:pPr>
      <w:r w:rsidRPr="0093641B">
        <w:rPr>
          <w:rFonts w:ascii="Times New Roman" w:hAnsi="Times New Roman" w:cs="Times New Roman"/>
        </w:rPr>
        <w:t xml:space="preserve">FSS </w:t>
      </w:r>
      <w:r>
        <w:rPr>
          <w:rFonts w:ascii="Times New Roman" w:hAnsi="Times New Roman" w:cs="Times New Roman"/>
        </w:rPr>
        <w:t xml:space="preserve">licensees </w:t>
      </w:r>
      <w:r w:rsidRPr="0093641B">
        <w:rPr>
          <w:rFonts w:ascii="Times New Roman" w:hAnsi="Times New Roman" w:cs="Times New Roman"/>
        </w:rPr>
        <w:t xml:space="preserve">and terrestrial operations </w:t>
      </w:r>
      <w:r w:rsidR="00212FD7">
        <w:rPr>
          <w:rFonts w:ascii="Times New Roman" w:hAnsi="Times New Roman" w:cs="Times New Roman"/>
        </w:rPr>
        <w:t xml:space="preserve">are encouraged to </w:t>
      </w:r>
      <w:r w:rsidRPr="0093641B">
        <w:rPr>
          <w:rFonts w:ascii="Times New Roman" w:hAnsi="Times New Roman" w:cs="Times New Roman"/>
        </w:rPr>
        <w:t xml:space="preserve">work cooperatively on coexistence in this band.  </w:t>
      </w:r>
    </w:p>
    <w:p w:rsidR="0093641B" w:rsidRPr="0046112E" w:rsidP="0046112E" w14:paraId="6903BB0F" w14:textId="4876E923">
      <w:pPr>
        <w:pStyle w:val="ListParagraph"/>
        <w:numPr>
          <w:ilvl w:val="2"/>
          <w:numId w:val="7"/>
        </w:numPr>
        <w:spacing w:line="240" w:lineRule="auto"/>
        <w:ind w:hanging="360"/>
        <w:contextualSpacing w:val="0"/>
        <w:rPr>
          <w:rFonts w:ascii="Times New Roman" w:hAnsi="Times New Roman" w:cs="Times New Roman"/>
        </w:rPr>
      </w:pPr>
      <w:r>
        <w:rPr>
          <w:rFonts w:ascii="Times New Roman" w:hAnsi="Times New Roman" w:cs="Times New Roman"/>
        </w:rPr>
        <w:t xml:space="preserve">FSS licensees in the 47 GHz band who request earth station authorizations pursuant to the provisions noted above must coordinate their proposed operations with co-channel UMFUS licensees and must provide sufficient information in their applications to demonstrate compliance with the siting criteria contained in Section 25.136 of the Commission’s </w:t>
      </w:r>
      <w:r w:rsidR="00510306">
        <w:rPr>
          <w:rFonts w:ascii="Times New Roman" w:hAnsi="Times New Roman" w:cs="Times New Roman"/>
        </w:rPr>
        <w:t>r</w:t>
      </w:r>
      <w:r>
        <w:rPr>
          <w:rFonts w:ascii="Times New Roman" w:hAnsi="Times New Roman" w:cs="Times New Roman"/>
        </w:rPr>
        <w:t>ules.</w:t>
      </w:r>
    </w:p>
    <w:p w:rsidR="00431134" w:rsidRPr="002B56A6" w:rsidP="002B56A6" w14:paraId="4F2C27E8" w14:textId="130E70A0">
      <w:pPr>
        <w:pStyle w:val="ListParagraph"/>
        <w:numPr>
          <w:ilvl w:val="1"/>
          <w:numId w:val="7"/>
        </w:numPr>
        <w:spacing w:line="240" w:lineRule="auto"/>
        <w:contextualSpacing w:val="0"/>
        <w:rPr>
          <w:rFonts w:ascii="Times New Roman" w:hAnsi="Times New Roman" w:cs="Times New Roman"/>
        </w:rPr>
      </w:pPr>
      <w:r w:rsidRPr="002B56A6">
        <w:rPr>
          <w:rFonts w:ascii="Times New Roman" w:hAnsi="Times New Roman" w:cs="Times New Roman"/>
          <w:i/>
        </w:rPr>
        <w:t>Band Plan</w:t>
      </w:r>
      <w:r w:rsidRPr="002B56A6">
        <w:rPr>
          <w:rFonts w:ascii="Times New Roman" w:hAnsi="Times New Roman" w:cs="Times New Roman"/>
        </w:rPr>
        <w:t xml:space="preserve">. </w:t>
      </w:r>
      <w:r w:rsidRPr="002B56A6" w:rsidR="008C1538">
        <w:rPr>
          <w:rFonts w:ascii="Times New Roman" w:hAnsi="Times New Roman" w:cs="Times New Roman"/>
        </w:rPr>
        <w:t xml:space="preserve"> </w:t>
      </w:r>
      <w:r w:rsidRPr="00D809D6" w:rsidR="00B46967">
        <w:rPr>
          <w:rFonts w:ascii="Times New Roman" w:hAnsi="Times New Roman" w:cs="Times New Roman"/>
        </w:rPr>
        <w:t xml:space="preserve">The </w:t>
      </w:r>
      <w:r w:rsidRPr="00D809D6" w:rsidR="00D809D6">
        <w:rPr>
          <w:rFonts w:ascii="Times New Roman" w:hAnsi="Times New Roman" w:cs="Times New Roman"/>
          <w:i/>
        </w:rPr>
        <w:t>Second Report and Order</w:t>
      </w:r>
      <w:r w:rsidRPr="00D809D6" w:rsidR="00D809D6">
        <w:rPr>
          <w:rFonts w:ascii="Times New Roman" w:hAnsi="Times New Roman" w:cs="Times New Roman"/>
        </w:rPr>
        <w:t xml:space="preserve"> </w:t>
      </w:r>
      <w:r w:rsidR="00D809D6">
        <w:rPr>
          <w:rFonts w:ascii="Times New Roman" w:hAnsi="Times New Roman" w:cs="Times New Roman"/>
        </w:rPr>
        <w:t>licens</w:t>
      </w:r>
      <w:r w:rsidRPr="00D809D6" w:rsidR="00D809D6">
        <w:rPr>
          <w:rFonts w:ascii="Times New Roman" w:hAnsi="Times New Roman" w:cs="Times New Roman"/>
        </w:rPr>
        <w:t xml:space="preserve">es </w:t>
      </w:r>
      <w:r w:rsidRPr="005C16B1" w:rsidR="00D809D6">
        <w:rPr>
          <w:rFonts w:ascii="Times New Roman" w:hAnsi="Times New Roman" w:cs="Times New Roman"/>
        </w:rPr>
        <w:t xml:space="preserve">the </w:t>
      </w:r>
      <w:r w:rsidRPr="00D809D6" w:rsidR="00B46967">
        <w:rPr>
          <w:rFonts w:ascii="Times New Roman" w:hAnsi="Times New Roman" w:cs="Times New Roman"/>
        </w:rPr>
        <w:t xml:space="preserve">47 GHz </w:t>
      </w:r>
      <w:r w:rsidRPr="00D809D6" w:rsidR="00D809D6">
        <w:rPr>
          <w:rFonts w:ascii="Times New Roman" w:hAnsi="Times New Roman" w:cs="Times New Roman"/>
        </w:rPr>
        <w:t>b</w:t>
      </w:r>
      <w:r w:rsidRPr="00D809D6" w:rsidR="00B46967">
        <w:rPr>
          <w:rFonts w:ascii="Times New Roman" w:hAnsi="Times New Roman" w:cs="Times New Roman"/>
        </w:rPr>
        <w:t>and as five</w:t>
      </w:r>
      <w:r w:rsidRPr="00D809D6" w:rsidR="00046F83">
        <w:rPr>
          <w:rFonts w:ascii="Times New Roman" w:hAnsi="Times New Roman" w:cs="Times New Roman"/>
        </w:rPr>
        <w:t xml:space="preserve"> (5)</w:t>
      </w:r>
      <w:r w:rsidRPr="00D809D6" w:rsidR="00B46967">
        <w:rPr>
          <w:rFonts w:ascii="Times New Roman" w:hAnsi="Times New Roman" w:cs="Times New Roman"/>
        </w:rPr>
        <w:t xml:space="preserve"> 200 </w:t>
      </w:r>
      <w:r w:rsidRPr="00D809D6" w:rsidR="00D9486A">
        <w:rPr>
          <w:rFonts w:ascii="Times New Roman" w:hAnsi="Times New Roman" w:cs="Times New Roman"/>
        </w:rPr>
        <w:t>megahertz</w:t>
      </w:r>
      <w:r w:rsidRPr="00D809D6" w:rsidR="00B46967">
        <w:rPr>
          <w:rFonts w:ascii="Times New Roman" w:hAnsi="Times New Roman" w:cs="Times New Roman"/>
        </w:rPr>
        <w:t xml:space="preserve"> blocks.</w:t>
      </w:r>
    </w:p>
    <w:p w:rsidR="00B46967" w:rsidRPr="002B56A6" w:rsidP="000C265D" w14:paraId="6C03D9FA" w14:textId="3C412E06">
      <w:pPr>
        <w:pStyle w:val="ListParagraph"/>
        <w:numPr>
          <w:ilvl w:val="2"/>
          <w:numId w:val="7"/>
        </w:numPr>
        <w:spacing w:line="240" w:lineRule="auto"/>
        <w:ind w:hanging="360"/>
        <w:contextualSpacing w:val="0"/>
        <w:rPr>
          <w:rFonts w:ascii="Times New Roman" w:hAnsi="Times New Roman" w:cs="Times New Roman"/>
        </w:rPr>
      </w:pPr>
      <w:r w:rsidRPr="002B56A6">
        <w:rPr>
          <w:rFonts w:ascii="Times New Roman" w:hAnsi="Times New Roman" w:cs="Times New Roman"/>
        </w:rPr>
        <w:t xml:space="preserve">Licensees are </w:t>
      </w:r>
      <w:r w:rsidR="00B16FA7">
        <w:rPr>
          <w:rFonts w:ascii="Times New Roman" w:hAnsi="Times New Roman" w:cs="Times New Roman"/>
        </w:rPr>
        <w:t xml:space="preserve">allowed </w:t>
      </w:r>
      <w:r w:rsidRPr="002B56A6">
        <w:rPr>
          <w:rFonts w:ascii="Times New Roman" w:hAnsi="Times New Roman" w:cs="Times New Roman"/>
        </w:rPr>
        <w:t>to acquire all five licenses in the band, subject to compliance with the Commission’s spectrum aggregation policies</w:t>
      </w:r>
      <w:r w:rsidR="00837679">
        <w:rPr>
          <w:rFonts w:ascii="Times New Roman" w:hAnsi="Times New Roman" w:cs="Times New Roman"/>
        </w:rPr>
        <w:t xml:space="preserve"> (</w:t>
      </w:r>
      <w:r w:rsidR="00837679">
        <w:rPr>
          <w:rFonts w:ascii="Times New Roman" w:hAnsi="Times New Roman" w:cs="Times New Roman"/>
          <w:i/>
        </w:rPr>
        <w:t xml:space="preserve">see </w:t>
      </w:r>
      <w:r w:rsidR="00837679">
        <w:rPr>
          <w:rFonts w:ascii="Times New Roman" w:hAnsi="Times New Roman" w:cs="Times New Roman"/>
        </w:rPr>
        <w:t>Section C. below)</w:t>
      </w:r>
      <w:r w:rsidRPr="002B56A6">
        <w:rPr>
          <w:rFonts w:ascii="Times New Roman" w:hAnsi="Times New Roman" w:cs="Times New Roman"/>
        </w:rPr>
        <w:t>.</w:t>
      </w:r>
    </w:p>
    <w:p w:rsidR="008C1538" w:rsidRPr="002B56A6" w:rsidP="005C16B1" w14:paraId="0602BEC7" w14:textId="14DAB7CA">
      <w:pPr>
        <w:pStyle w:val="Heading2"/>
      </w:pPr>
      <w:bookmarkStart w:id="6" w:name="_Toc512508560"/>
      <w:r w:rsidRPr="002B56A6">
        <w:t>Performance Requirements</w:t>
      </w:r>
      <w:r w:rsidR="00D4296D">
        <w:t xml:space="preserve"> </w:t>
      </w:r>
      <w:r w:rsidRPr="00D4296D" w:rsidR="00D4296D">
        <w:t>–</w:t>
      </w:r>
      <w:r w:rsidRPr="002B56A6">
        <w:t xml:space="preserve"> Additional Metrics</w:t>
      </w:r>
      <w:r w:rsidR="0078111D">
        <w:t xml:space="preserve"> (</w:t>
      </w:r>
      <w:r w:rsidRPr="00FA3443" w:rsidR="0078111D">
        <w:t xml:space="preserve">47 CFR </w:t>
      </w:r>
      <w:r w:rsidRPr="00FA3443" w:rsidR="00E51F0C">
        <w:t>§</w:t>
      </w:r>
      <w:r w:rsidRPr="00FA3443" w:rsidR="00E2117E">
        <w:t xml:space="preserve"> </w:t>
      </w:r>
      <w:r w:rsidRPr="00FA3443" w:rsidR="00677DC7">
        <w:t>30.104</w:t>
      </w:r>
      <w:r w:rsidR="0078111D">
        <w:t>)</w:t>
      </w:r>
      <w:bookmarkStart w:id="7" w:name="_Toc512508561"/>
      <w:bookmarkEnd w:id="6"/>
      <w:bookmarkEnd w:id="7"/>
      <w:r>
        <w:rPr>
          <w:rStyle w:val="FootnoteReference"/>
        </w:rPr>
        <w:footnoteReference w:id="6"/>
      </w:r>
    </w:p>
    <w:p w:rsidR="008C1538" w:rsidRPr="002B56A6" w:rsidP="004F68CA" w14:paraId="325D8DCB" w14:textId="25C977AF">
      <w:pPr>
        <w:pStyle w:val="ListParagraph"/>
        <w:numPr>
          <w:ilvl w:val="1"/>
          <w:numId w:val="8"/>
        </w:numPr>
        <w:spacing w:line="240" w:lineRule="auto"/>
        <w:contextualSpacing w:val="0"/>
        <w:rPr>
          <w:rFonts w:ascii="Times New Roman" w:hAnsi="Times New Roman" w:cs="Times New Roman"/>
        </w:rPr>
      </w:pPr>
      <w:r w:rsidRPr="002B56A6">
        <w:rPr>
          <w:rFonts w:ascii="Times New Roman" w:hAnsi="Times New Roman" w:cs="Times New Roman"/>
          <w:i/>
        </w:rPr>
        <w:t>Buildout-Based Metrics for IoT-type Services</w:t>
      </w:r>
      <w:r w:rsidR="00CE713A">
        <w:rPr>
          <w:rFonts w:ascii="Times New Roman" w:hAnsi="Times New Roman" w:cs="Times New Roman"/>
        </w:rPr>
        <w:t xml:space="preserve">.  </w:t>
      </w:r>
      <w:r w:rsidR="00F5648A">
        <w:rPr>
          <w:rFonts w:ascii="Times New Roman" w:hAnsi="Times New Roman" w:cs="Times New Roman"/>
        </w:rPr>
        <w:t>As a supplement to previously adopted performance requirements</w:t>
      </w:r>
      <w:r w:rsidR="00D86EC0">
        <w:rPr>
          <w:rFonts w:ascii="Times New Roman" w:hAnsi="Times New Roman" w:cs="Times New Roman"/>
        </w:rPr>
        <w:t xml:space="preserve"> for fixed services</w:t>
      </w:r>
      <w:r w:rsidR="00F5648A">
        <w:rPr>
          <w:rFonts w:ascii="Times New Roman" w:hAnsi="Times New Roman" w:cs="Times New Roman"/>
        </w:rPr>
        <w:t>,</w:t>
      </w:r>
      <w:r>
        <w:rPr>
          <w:rStyle w:val="FootnoteReference"/>
          <w:rFonts w:ascii="Times New Roman" w:hAnsi="Times New Roman" w:cs="Times New Roman"/>
        </w:rPr>
        <w:footnoteReference w:id="7"/>
      </w:r>
      <w:r w:rsidR="00F5648A">
        <w:rPr>
          <w:rFonts w:ascii="Times New Roman" w:hAnsi="Times New Roman" w:cs="Times New Roman"/>
        </w:rPr>
        <w:t xml:space="preserve"> t</w:t>
      </w:r>
      <w:r w:rsidRPr="002B56A6" w:rsidR="00174550">
        <w:rPr>
          <w:rFonts w:ascii="Times New Roman" w:hAnsi="Times New Roman" w:cs="Times New Roman"/>
        </w:rPr>
        <w:t>he Commission adopted a specific definition of “fixed point-to-point link</w:t>
      </w:r>
      <w:r w:rsidR="004F68CA">
        <w:rPr>
          <w:rFonts w:ascii="Times New Roman" w:hAnsi="Times New Roman" w:cs="Times New Roman"/>
        </w:rPr>
        <w:t>,</w:t>
      </w:r>
      <w:r w:rsidRPr="002B56A6" w:rsidR="00174550">
        <w:rPr>
          <w:rFonts w:ascii="Times New Roman" w:hAnsi="Times New Roman" w:cs="Times New Roman"/>
        </w:rPr>
        <w:t xml:space="preserve">” which </w:t>
      </w:r>
      <w:r w:rsidRPr="005C16B1" w:rsidR="00AD69C3">
        <w:t>i</w:t>
      </w:r>
      <w:r w:rsidRPr="005C16B1" w:rsidR="00AD69C3">
        <w:rPr>
          <w:rFonts w:ascii="Times New Roman" w:hAnsi="Times New Roman" w:cs="Times New Roman"/>
        </w:rPr>
        <w:t>ncludes the use of point-to-point stations as already defined in Part 30 and</w:t>
      </w:r>
      <w:r w:rsidRPr="00A625DC" w:rsidR="00AD69C3">
        <w:rPr>
          <w:rFonts w:ascii="Times New Roman" w:hAnsi="Times New Roman" w:cs="Times New Roman"/>
        </w:rPr>
        <w:t xml:space="preserve"> </w:t>
      </w:r>
      <w:r w:rsidRPr="00A625DC" w:rsidR="00174550">
        <w:rPr>
          <w:rFonts w:ascii="Times New Roman" w:hAnsi="Times New Roman" w:cs="Times New Roman"/>
        </w:rPr>
        <w:t>is based on power</w:t>
      </w:r>
      <w:r w:rsidRPr="002B56A6" w:rsidR="00174550">
        <w:rPr>
          <w:rFonts w:ascii="Times New Roman" w:hAnsi="Times New Roman" w:cs="Times New Roman"/>
        </w:rPr>
        <w:t xml:space="preserve"> level.  This definition is meant to separate traditional point-to-point links from sensor and device connections anticipated in IoT deployment.</w:t>
      </w:r>
      <w:r>
        <w:rPr>
          <w:rStyle w:val="FootnoteReference"/>
          <w:rFonts w:ascii="Times New Roman" w:hAnsi="Times New Roman" w:cs="Times New Roman"/>
        </w:rPr>
        <w:footnoteReference w:id="8"/>
      </w:r>
      <w:r w:rsidR="004F68CA">
        <w:rPr>
          <w:rFonts w:ascii="Times New Roman" w:hAnsi="Times New Roman" w:cs="Times New Roman"/>
        </w:rPr>
        <w:t xml:space="preserve">  </w:t>
      </w:r>
      <w:r w:rsidRPr="004F68CA" w:rsidR="004F68CA">
        <w:rPr>
          <w:rFonts w:ascii="Times New Roman" w:hAnsi="Times New Roman" w:cs="Times New Roman"/>
        </w:rPr>
        <w:t>The definition does not apply to a network of fixed sensors or smart devices operating at low power over short distances.</w:t>
      </w:r>
      <w:r w:rsidRPr="002B56A6" w:rsidR="00174550">
        <w:rPr>
          <w:rFonts w:ascii="Times New Roman" w:hAnsi="Times New Roman" w:cs="Times New Roman"/>
        </w:rPr>
        <w:t xml:space="preserve"> </w:t>
      </w:r>
    </w:p>
    <w:p w:rsidR="00AD69C3" w:rsidP="00A625DC" w14:paraId="4A1572BF" w14:textId="55D83EE1">
      <w:pPr>
        <w:pStyle w:val="ListParagraph"/>
        <w:numPr>
          <w:ilvl w:val="3"/>
          <w:numId w:val="8"/>
        </w:numPr>
        <w:spacing w:line="240" w:lineRule="auto"/>
        <w:ind w:left="2520"/>
        <w:contextualSpacing w:val="0"/>
        <w:rPr>
          <w:rFonts w:ascii="Times New Roman" w:hAnsi="Times New Roman" w:cs="Times New Roman"/>
        </w:rPr>
      </w:pPr>
      <w:r w:rsidRPr="00A625DC">
        <w:rPr>
          <w:rFonts w:ascii="Times New Roman" w:hAnsi="Times New Roman" w:cs="Times New Roman"/>
        </w:rPr>
        <w:t xml:space="preserve">The new definition of “fixed point-to-point link” </w:t>
      </w:r>
      <w:r w:rsidRPr="00A625DC" w:rsidR="004F68CA">
        <w:rPr>
          <w:rFonts w:ascii="Times New Roman" w:hAnsi="Times New Roman" w:cs="Times New Roman"/>
        </w:rPr>
        <w:t>i</w:t>
      </w:r>
      <w:r w:rsidRPr="00A625DC">
        <w:rPr>
          <w:rFonts w:ascii="Times New Roman" w:hAnsi="Times New Roman" w:cs="Times New Roman"/>
        </w:rPr>
        <w:t xml:space="preserve">s </w:t>
      </w:r>
      <w:r w:rsidRPr="00A625DC" w:rsidR="004F68CA">
        <w:rPr>
          <w:rFonts w:ascii="Times New Roman" w:hAnsi="Times New Roman" w:cs="Times New Roman"/>
        </w:rPr>
        <w:t>“</w:t>
      </w:r>
      <w:r w:rsidRPr="00A625DC">
        <w:rPr>
          <w:rFonts w:ascii="Times New Roman" w:hAnsi="Times New Roman" w:cs="Times New Roman"/>
        </w:rPr>
        <w:t>a radio transmission between point-to-point stations (as already defined in Part 30), where the transmit power exceeds +43 dBm.</w:t>
      </w:r>
      <w:r w:rsidRPr="00D403F9" w:rsidR="004F68CA">
        <w:rPr>
          <w:rFonts w:ascii="Times New Roman" w:hAnsi="Times New Roman" w:cs="Times New Roman"/>
        </w:rPr>
        <w:t>"</w:t>
      </w:r>
    </w:p>
    <w:p w:rsidR="004F68CA" w:rsidRPr="00A625DC" w:rsidP="00A625DC" w14:paraId="33DFE699" w14:textId="3D012A00">
      <w:pPr>
        <w:pStyle w:val="ListParagraph"/>
        <w:numPr>
          <w:ilvl w:val="3"/>
          <w:numId w:val="8"/>
        </w:numPr>
        <w:spacing w:line="240" w:lineRule="auto"/>
        <w:ind w:left="2520"/>
        <w:contextualSpacing w:val="0"/>
        <w:rPr>
          <w:rFonts w:ascii="Times New Roman" w:hAnsi="Times New Roman" w:cs="Times New Roman"/>
        </w:rPr>
      </w:pPr>
      <w:r>
        <w:rPr>
          <w:rFonts w:ascii="Times New Roman" w:hAnsi="Times New Roman" w:cs="Times New Roman"/>
        </w:rPr>
        <w:t xml:space="preserve">Under the new definition, </w:t>
      </w:r>
      <w:r w:rsidRPr="005C16B1">
        <w:rPr>
          <w:rFonts w:ascii="Times New Roman" w:hAnsi="Times New Roman" w:cs="Times New Roman"/>
        </w:rPr>
        <w:t xml:space="preserve">stations or devices transmitting using power levels </w:t>
      </w:r>
      <w:r w:rsidR="001D78F1">
        <w:rPr>
          <w:rFonts w:ascii="Times New Roman" w:hAnsi="Times New Roman" w:cs="Times New Roman"/>
        </w:rPr>
        <w:t xml:space="preserve">+43 dBm or lower </w:t>
      </w:r>
      <w:r w:rsidRPr="005C16B1">
        <w:rPr>
          <w:rFonts w:ascii="Times New Roman" w:hAnsi="Times New Roman" w:cs="Times New Roman"/>
        </w:rPr>
        <w:t xml:space="preserve">will not count towards the number of fixed links required </w:t>
      </w:r>
      <w:r>
        <w:rPr>
          <w:rFonts w:ascii="Times New Roman" w:hAnsi="Times New Roman" w:cs="Times New Roman"/>
        </w:rPr>
        <w:t xml:space="preserve">for </w:t>
      </w:r>
      <w:r w:rsidRPr="005C16B1">
        <w:rPr>
          <w:rFonts w:ascii="Times New Roman" w:hAnsi="Times New Roman" w:cs="Times New Roman"/>
        </w:rPr>
        <w:t>that performance metric.</w:t>
      </w:r>
    </w:p>
    <w:p w:rsidR="00C730C0" w:rsidRPr="002B56A6" w:rsidP="000C265D" w14:paraId="2F9E53EC" w14:textId="70B50908">
      <w:pPr>
        <w:pStyle w:val="ListParagraph"/>
        <w:numPr>
          <w:ilvl w:val="3"/>
          <w:numId w:val="8"/>
        </w:numPr>
        <w:spacing w:line="240" w:lineRule="auto"/>
        <w:ind w:left="2520"/>
        <w:contextualSpacing w:val="0"/>
        <w:rPr>
          <w:rFonts w:ascii="Times New Roman" w:hAnsi="Times New Roman" w:cs="Times New Roman"/>
        </w:rPr>
      </w:pPr>
      <w:r w:rsidRPr="002B56A6">
        <w:rPr>
          <w:rFonts w:ascii="Times New Roman" w:hAnsi="Times New Roman" w:cs="Times New Roman"/>
        </w:rPr>
        <w:t xml:space="preserve">Licensees whose networks include low-power connections </w:t>
      </w:r>
      <w:r w:rsidR="006E4118">
        <w:rPr>
          <w:rFonts w:ascii="Times New Roman" w:hAnsi="Times New Roman" w:cs="Times New Roman"/>
        </w:rPr>
        <w:t xml:space="preserve">that </w:t>
      </w:r>
      <w:r w:rsidRPr="002B56A6">
        <w:rPr>
          <w:rFonts w:ascii="Times New Roman" w:hAnsi="Times New Roman" w:cs="Times New Roman"/>
        </w:rPr>
        <w:t>fall below the new threshold must rely on another part of their network to demonstrate buildout (e.g.</w:t>
      </w:r>
      <w:r w:rsidR="00B3679B">
        <w:rPr>
          <w:rFonts w:ascii="Times New Roman" w:hAnsi="Times New Roman" w:cs="Times New Roman"/>
        </w:rPr>
        <w:t>,</w:t>
      </w:r>
      <w:r w:rsidRPr="002B56A6">
        <w:rPr>
          <w:rFonts w:ascii="Times New Roman" w:hAnsi="Times New Roman" w:cs="Times New Roman"/>
        </w:rPr>
        <w:t xml:space="preserve"> mobile area coverage, or higher-power fixed backhaul links)</w:t>
      </w:r>
      <w:r w:rsidR="00BF0266">
        <w:rPr>
          <w:rFonts w:ascii="Times New Roman" w:hAnsi="Times New Roman" w:cs="Times New Roman"/>
        </w:rPr>
        <w:t>.</w:t>
      </w:r>
    </w:p>
    <w:p w:rsidR="0001069B" w:rsidRPr="002B56A6" w:rsidP="002B56A6" w14:paraId="6806647E" w14:textId="22355FAE">
      <w:pPr>
        <w:pStyle w:val="Heading2"/>
        <w:spacing w:line="240" w:lineRule="auto"/>
      </w:pPr>
      <w:bookmarkStart w:id="8" w:name="_Toc512508563"/>
      <w:r w:rsidRPr="002B56A6">
        <w:t>Mobile Spectrum Holdings Policies</w:t>
      </w:r>
      <w:r>
        <w:rPr>
          <w:rStyle w:val="FootnoteReference"/>
        </w:rPr>
        <w:footnoteReference w:id="9"/>
      </w:r>
      <w:r w:rsidR="00E51F0C">
        <w:t xml:space="preserve"> </w:t>
      </w:r>
      <w:bookmarkEnd w:id="8"/>
    </w:p>
    <w:p w:rsidR="00024F9C" w:rsidP="005C16B1" w14:paraId="78BD79A1" w14:textId="1516ABB2">
      <w:pPr>
        <w:pStyle w:val="ListParagraph"/>
        <w:numPr>
          <w:ilvl w:val="0"/>
          <w:numId w:val="10"/>
        </w:numPr>
        <w:spacing w:line="240" w:lineRule="auto"/>
        <w:ind w:left="1800"/>
        <w:contextualSpacing w:val="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 xml:space="preserve">Second Report and Order </w:t>
      </w:r>
      <w:r w:rsidR="005D5801">
        <w:rPr>
          <w:rFonts w:ascii="Times New Roman" w:hAnsi="Times New Roman" w:cs="Times New Roman"/>
        </w:rPr>
        <w:t xml:space="preserve">declined to adopt pre-auction bidding limits </w:t>
      </w:r>
      <w:r w:rsidRPr="00C33EBA" w:rsidR="00C33EBA">
        <w:rPr>
          <w:rFonts w:ascii="Times New Roman" w:hAnsi="Times New Roman" w:cs="Times New Roman"/>
        </w:rPr>
        <w:t xml:space="preserve">on the amount of spectrum an entity may acquire at auction in </w:t>
      </w:r>
      <w:r w:rsidR="00C33EBA">
        <w:rPr>
          <w:rFonts w:ascii="Times New Roman" w:hAnsi="Times New Roman" w:cs="Times New Roman"/>
        </w:rPr>
        <w:t>24 GHz and 47 GHz.</w:t>
      </w:r>
    </w:p>
    <w:p w:rsidR="00077C5C" w:rsidRPr="005C16B1" w:rsidP="005C16B1" w14:paraId="33E5AC7E" w14:textId="7CD17EC7">
      <w:pPr>
        <w:pStyle w:val="ListParagraph"/>
        <w:numPr>
          <w:ilvl w:val="0"/>
          <w:numId w:val="10"/>
        </w:numPr>
        <w:spacing w:line="240" w:lineRule="auto"/>
        <w:ind w:left="1800"/>
        <w:contextualSpacing w:val="0"/>
        <w:rPr>
          <w:rFonts w:ascii="Times New Roman" w:hAnsi="Times New Roman" w:cs="Times New Roman"/>
        </w:rPr>
      </w:pPr>
      <w:r w:rsidRPr="002A24DC">
        <w:rPr>
          <w:rFonts w:ascii="Times New Roman" w:hAnsi="Times New Roman" w:cs="Times New Roman"/>
        </w:rPr>
        <w:t>T</w:t>
      </w:r>
      <w:r w:rsidRPr="002A24DC">
        <w:rPr>
          <w:rFonts w:ascii="Times New Roman" w:hAnsi="Times New Roman" w:cs="Times New Roman"/>
        </w:rPr>
        <w:t xml:space="preserve">he </w:t>
      </w:r>
      <w:r w:rsidRPr="00D403F9" w:rsidR="00D9486A">
        <w:rPr>
          <w:rFonts w:ascii="Times New Roman" w:hAnsi="Times New Roman" w:cs="Times New Roman"/>
          <w:i/>
        </w:rPr>
        <w:t xml:space="preserve">Second </w:t>
      </w:r>
      <w:r w:rsidRPr="003E2EEF">
        <w:rPr>
          <w:rFonts w:ascii="Times New Roman" w:hAnsi="Times New Roman" w:cs="Times New Roman"/>
          <w:i/>
        </w:rPr>
        <w:t>Report and Order</w:t>
      </w:r>
      <w:r w:rsidRPr="003E2EEF">
        <w:rPr>
          <w:rFonts w:ascii="Times New Roman" w:hAnsi="Times New Roman" w:cs="Times New Roman"/>
        </w:rPr>
        <w:t xml:space="preserve"> increases the spectrum threshold for secondary markets review from 1250 </w:t>
      </w:r>
      <w:r w:rsidRPr="003E2EEF" w:rsidR="00D9486A">
        <w:rPr>
          <w:rFonts w:ascii="Times New Roman" w:hAnsi="Times New Roman" w:cs="Times New Roman"/>
        </w:rPr>
        <w:t>megahertz</w:t>
      </w:r>
      <w:r w:rsidRPr="003E2EEF">
        <w:rPr>
          <w:rFonts w:ascii="Times New Roman" w:hAnsi="Times New Roman" w:cs="Times New Roman"/>
        </w:rPr>
        <w:t xml:space="preserve"> of mmW spectrum to 1850 </w:t>
      </w:r>
      <w:r w:rsidRPr="003E2EEF" w:rsidR="00D9486A">
        <w:rPr>
          <w:rFonts w:ascii="Times New Roman" w:hAnsi="Times New Roman" w:cs="Times New Roman"/>
        </w:rPr>
        <w:t>megahertz</w:t>
      </w:r>
      <w:r w:rsidRPr="003E2EEF">
        <w:rPr>
          <w:rFonts w:ascii="Times New Roman" w:hAnsi="Times New Roman" w:cs="Times New Roman"/>
        </w:rPr>
        <w:t xml:space="preserve">.  </w:t>
      </w:r>
      <w:r w:rsidRPr="005C16B1">
        <w:rPr>
          <w:rFonts w:ascii="Times New Roman" w:hAnsi="Times New Roman" w:cs="Times New Roman"/>
        </w:rPr>
        <w:t>This threshold will apply to the 24 and 47 GHz bands, as well as the 28, 37, and 39 GHz bands.</w:t>
      </w:r>
      <w:r w:rsidR="00C33EBA">
        <w:rPr>
          <w:rFonts w:ascii="Times New Roman" w:hAnsi="Times New Roman" w:cs="Times New Roman"/>
        </w:rPr>
        <w:t xml:space="preserve">  The </w:t>
      </w:r>
      <w:r w:rsidRPr="00C33EBA" w:rsidR="00C33EBA">
        <w:rPr>
          <w:rFonts w:ascii="Times New Roman" w:hAnsi="Times New Roman" w:cs="Times New Roman"/>
        </w:rPr>
        <w:t xml:space="preserve">spectrum threshold </w:t>
      </w:r>
      <w:r w:rsidR="00C33EBA">
        <w:rPr>
          <w:rFonts w:ascii="Times New Roman" w:hAnsi="Times New Roman" w:cs="Times New Roman"/>
        </w:rPr>
        <w:t xml:space="preserve">is not a fixed limit but </w:t>
      </w:r>
      <w:r w:rsidRPr="00C33EBA" w:rsidR="00C33EBA">
        <w:rPr>
          <w:rFonts w:ascii="Times New Roman" w:hAnsi="Times New Roman" w:cs="Times New Roman"/>
        </w:rPr>
        <w:t>identif</w:t>
      </w:r>
      <w:r w:rsidR="00C33EBA">
        <w:rPr>
          <w:rFonts w:ascii="Times New Roman" w:hAnsi="Times New Roman" w:cs="Times New Roman"/>
        </w:rPr>
        <w:t xml:space="preserve">ies </w:t>
      </w:r>
      <w:r w:rsidRPr="00C33EBA" w:rsidR="00C33EBA">
        <w:rPr>
          <w:rFonts w:ascii="Times New Roman" w:hAnsi="Times New Roman" w:cs="Times New Roman"/>
        </w:rPr>
        <w:t>those markets that may warrant further competitive analysis for purposes of the Commission’s case-by-case review of proposed secondary market transactions.</w:t>
      </w:r>
    </w:p>
    <w:p w:rsidR="007E3056" w:rsidRPr="002B56A6" w:rsidP="002B56A6" w14:paraId="0D171FDD" w14:textId="08D24186">
      <w:pPr>
        <w:pStyle w:val="Heading2"/>
        <w:spacing w:line="240" w:lineRule="auto"/>
      </w:pPr>
      <w:bookmarkStart w:id="9" w:name="_Toc512508564"/>
      <w:r>
        <w:t xml:space="preserve">Operation on Aircraft in 57 – </w:t>
      </w:r>
      <w:r w:rsidRPr="002B56A6">
        <w:t>71 GHz Band</w:t>
      </w:r>
      <w:r w:rsidR="00E51F0C">
        <w:t xml:space="preserve"> (47 CFR §</w:t>
      </w:r>
      <w:r w:rsidR="00677DC7">
        <w:t xml:space="preserve"> </w:t>
      </w:r>
      <w:r w:rsidR="00DB11D4">
        <w:t>15.255</w:t>
      </w:r>
      <w:r w:rsidR="002F5FF4">
        <w:t>)</w:t>
      </w:r>
      <w:bookmarkEnd w:id="9"/>
      <w:r>
        <w:rPr>
          <w:rStyle w:val="FootnoteReference"/>
        </w:rPr>
        <w:footnoteReference w:id="10"/>
      </w:r>
    </w:p>
    <w:p w:rsidR="00077C5C" w:rsidRPr="005C16B1" w:rsidP="00C22713" w14:paraId="4B2E1CB4" w14:textId="215CF9F7">
      <w:pPr>
        <w:pStyle w:val="ListParagraph"/>
        <w:numPr>
          <w:ilvl w:val="0"/>
          <w:numId w:val="11"/>
        </w:numPr>
        <w:spacing w:line="240" w:lineRule="auto"/>
        <w:ind w:left="1800"/>
        <w:contextualSpacing w:val="0"/>
        <w:rPr>
          <w:rFonts w:ascii="Times New Roman" w:hAnsi="Times New Roman" w:cs="Times New Roman"/>
        </w:rPr>
      </w:pPr>
      <w:r w:rsidRPr="002B56A6">
        <w:rPr>
          <w:rFonts w:ascii="Times New Roman" w:hAnsi="Times New Roman" w:cs="Times New Roman"/>
        </w:rPr>
        <w:t xml:space="preserve">The </w:t>
      </w:r>
      <w:r w:rsidR="00827715">
        <w:rPr>
          <w:rFonts w:ascii="Times New Roman" w:hAnsi="Times New Roman" w:cs="Times New Roman"/>
          <w:i/>
        </w:rPr>
        <w:t xml:space="preserve">Second </w:t>
      </w:r>
      <w:r w:rsidRPr="002B56A6">
        <w:rPr>
          <w:rFonts w:ascii="Times New Roman" w:hAnsi="Times New Roman" w:cs="Times New Roman"/>
          <w:i/>
        </w:rPr>
        <w:t>Report and Order</w:t>
      </w:r>
      <w:r w:rsidRPr="002B56A6">
        <w:rPr>
          <w:rFonts w:ascii="Times New Roman" w:hAnsi="Times New Roman" w:cs="Times New Roman"/>
        </w:rPr>
        <w:t xml:space="preserve"> adopts a rule that allow</w:t>
      </w:r>
      <w:r w:rsidR="00827715">
        <w:rPr>
          <w:rFonts w:ascii="Times New Roman" w:hAnsi="Times New Roman" w:cs="Times New Roman"/>
        </w:rPr>
        <w:t>s</w:t>
      </w:r>
      <w:r w:rsidRPr="002B56A6">
        <w:rPr>
          <w:rFonts w:ascii="Times New Roman" w:hAnsi="Times New Roman" w:cs="Times New Roman"/>
        </w:rPr>
        <w:t xml:space="preserve"> unlicensed operation while airborne on most aircraft</w:t>
      </w:r>
      <w:r w:rsidR="00827715">
        <w:rPr>
          <w:rFonts w:ascii="Times New Roman" w:hAnsi="Times New Roman" w:cs="Times New Roman"/>
        </w:rPr>
        <w:t xml:space="preserve"> </w:t>
      </w:r>
      <w:r w:rsidRPr="005C16B1" w:rsidR="00827715">
        <w:rPr>
          <w:rFonts w:ascii="Times New Roman" w:hAnsi="Times New Roman" w:cs="Times New Roman"/>
        </w:rPr>
        <w:t>in the 57</w:t>
      </w:r>
      <w:r w:rsidRPr="005C16B1" w:rsidR="00827715">
        <w:rPr>
          <w:rFonts w:ascii="Times New Roman" w:hAnsi="Times New Roman" w:cs="Times New Roman"/>
        </w:rPr>
        <w:noBreakHyphen/>
        <w:t>71 GHz band</w:t>
      </w:r>
      <w:r w:rsidRPr="002B56A6">
        <w:rPr>
          <w:rFonts w:ascii="Times New Roman" w:hAnsi="Times New Roman" w:cs="Times New Roman"/>
        </w:rPr>
        <w:t xml:space="preserve"> under the Part 15 </w:t>
      </w:r>
      <w:r w:rsidR="00510306">
        <w:rPr>
          <w:rFonts w:ascii="Times New Roman" w:hAnsi="Times New Roman" w:cs="Times New Roman"/>
        </w:rPr>
        <w:t>r</w:t>
      </w:r>
      <w:r w:rsidRPr="002B56A6">
        <w:rPr>
          <w:rFonts w:ascii="Times New Roman" w:hAnsi="Times New Roman" w:cs="Times New Roman"/>
        </w:rPr>
        <w:t xml:space="preserve">ules.  </w:t>
      </w:r>
      <w:r w:rsidRPr="005C16B1">
        <w:rPr>
          <w:rFonts w:ascii="Times New Roman" w:hAnsi="Times New Roman" w:cs="Times New Roman"/>
        </w:rPr>
        <w:t xml:space="preserve">This allows for up to six </w:t>
      </w:r>
      <w:r w:rsidRPr="005C16B1" w:rsidR="00EB42D1">
        <w:rPr>
          <w:rFonts w:ascii="Times New Roman" w:hAnsi="Times New Roman" w:cs="Times New Roman"/>
        </w:rPr>
        <w:t xml:space="preserve">(6) </w:t>
      </w:r>
      <w:r w:rsidRPr="005C16B1">
        <w:rPr>
          <w:rFonts w:ascii="Times New Roman" w:hAnsi="Times New Roman" w:cs="Times New Roman"/>
        </w:rPr>
        <w:t xml:space="preserve">non-overlapping WiGig channels of 2160 </w:t>
      </w:r>
      <w:r w:rsidRPr="005C16B1" w:rsidR="00D9486A">
        <w:rPr>
          <w:rFonts w:ascii="Times New Roman" w:hAnsi="Times New Roman" w:cs="Times New Roman"/>
        </w:rPr>
        <w:t>megahertz</w:t>
      </w:r>
      <w:r w:rsidRPr="005C16B1">
        <w:rPr>
          <w:rFonts w:ascii="Times New Roman" w:hAnsi="Times New Roman" w:cs="Times New Roman"/>
        </w:rPr>
        <w:t xml:space="preserve"> each.  </w:t>
      </w:r>
    </w:p>
    <w:p w:rsidR="00244B35" w:rsidP="005C16B1" w14:paraId="431000CE" w14:textId="77777777">
      <w:pPr>
        <w:pStyle w:val="ListParagraph"/>
        <w:numPr>
          <w:ilvl w:val="0"/>
          <w:numId w:val="11"/>
        </w:numPr>
        <w:spacing w:line="240" w:lineRule="auto"/>
        <w:ind w:left="1800"/>
        <w:contextualSpacing w:val="0"/>
        <w:rPr>
          <w:rFonts w:ascii="Times New Roman" w:hAnsi="Times New Roman" w:cs="Times New Roman"/>
        </w:rPr>
      </w:pPr>
      <w:r w:rsidRPr="00244B35">
        <w:rPr>
          <w:rFonts w:ascii="Times New Roman" w:hAnsi="Times New Roman" w:cs="Times New Roman"/>
        </w:rPr>
        <w:t>The use of 6</w:t>
      </w:r>
      <w:r>
        <w:rPr>
          <w:rFonts w:ascii="Times New Roman" w:hAnsi="Times New Roman" w:cs="Times New Roman"/>
        </w:rPr>
        <w:t>0 GHz unlicensed transmitters is</w:t>
      </w:r>
      <w:r w:rsidRPr="00244B35">
        <w:rPr>
          <w:rFonts w:ascii="Times New Roman" w:hAnsi="Times New Roman" w:cs="Times New Roman"/>
        </w:rPr>
        <w:t xml:space="preserve"> excluded on board aircraft where there is little attenuation of RF signals by the body/fuselage of the aircraft.  These aircraft include, for example, toy/model aircraft, unmanned aerial vehicles (UAV) such as drones, small/light crop spraying aircraft and aerostats.</w:t>
      </w:r>
    </w:p>
    <w:p w:rsidR="00FA3443" w14:paraId="0C2C0C0F" w14:textId="56394576">
      <w:r>
        <w:br w:type="page"/>
      </w:r>
    </w:p>
    <w:p w:rsidR="007E3056" w:rsidRPr="002B56A6" w:rsidP="00127B68" w14:paraId="57FBA963" w14:textId="09959734">
      <w:pPr>
        <w:pStyle w:val="Heading2"/>
        <w:spacing w:line="240" w:lineRule="auto"/>
        <w:contextualSpacing w:val="0"/>
      </w:pPr>
      <w:bookmarkStart w:id="10" w:name="_Toc512508565"/>
      <w:r w:rsidRPr="002B56A6">
        <w:t xml:space="preserve">Amendments to Part 1 Rules </w:t>
      </w:r>
      <w:r w:rsidR="0078111D">
        <w:t xml:space="preserve">(47 CFR </w:t>
      </w:r>
      <w:r w:rsidR="00E86055">
        <w:t>§§</w:t>
      </w:r>
      <w:r w:rsidR="0078111D">
        <w:t xml:space="preserve"> 1.901</w:t>
      </w:r>
      <w:r w:rsidR="00E86055">
        <w:t xml:space="preserve"> &amp; 1.902</w:t>
      </w:r>
      <w:r w:rsidR="0078111D">
        <w:t>)</w:t>
      </w:r>
      <w:bookmarkEnd w:id="10"/>
      <w:r>
        <w:rPr>
          <w:rStyle w:val="FootnoteReference"/>
        </w:rPr>
        <w:footnoteReference w:id="11"/>
      </w:r>
    </w:p>
    <w:p w:rsidR="00D927AC" w:rsidRPr="002B56A6" w:rsidP="005C16B1" w14:paraId="6C9E30E6" w14:textId="16AF7DEB">
      <w:pPr>
        <w:pStyle w:val="ListParagraph"/>
        <w:numPr>
          <w:ilvl w:val="0"/>
          <w:numId w:val="11"/>
        </w:numPr>
        <w:spacing w:after="0" w:line="240" w:lineRule="auto"/>
        <w:ind w:left="1800"/>
        <w:contextualSpacing w:val="0"/>
        <w:rPr>
          <w:rFonts w:ascii="Times New Roman" w:hAnsi="Times New Roman" w:cs="Times New Roman"/>
        </w:rPr>
      </w:pPr>
      <w:r w:rsidRPr="002B56A6">
        <w:rPr>
          <w:rFonts w:ascii="Times New Roman" w:hAnsi="Times New Roman" w:cs="Times New Roman"/>
        </w:rPr>
        <w:t>As a change to rule</w:t>
      </w:r>
      <w:r w:rsidR="000C265D">
        <w:rPr>
          <w:rFonts w:ascii="Times New Roman" w:hAnsi="Times New Roman" w:cs="Times New Roman"/>
        </w:rPr>
        <w:t>s</w:t>
      </w:r>
      <w:r w:rsidRPr="002B56A6">
        <w:rPr>
          <w:rFonts w:ascii="Times New Roman" w:hAnsi="Times New Roman" w:cs="Times New Roman"/>
        </w:rPr>
        <w:t xml:space="preserve"> of practice and procedure, the </w:t>
      </w:r>
      <w:r w:rsidRPr="005C16B1" w:rsidR="000C1080">
        <w:rPr>
          <w:rFonts w:ascii="Times New Roman" w:hAnsi="Times New Roman" w:cs="Times New Roman"/>
          <w:i/>
        </w:rPr>
        <w:t xml:space="preserve">Second </w:t>
      </w:r>
      <w:r w:rsidRPr="002B56A6">
        <w:rPr>
          <w:rFonts w:ascii="Times New Roman" w:hAnsi="Times New Roman" w:cs="Times New Roman"/>
          <w:i/>
        </w:rPr>
        <w:t>Report and Order</w:t>
      </w:r>
      <w:r w:rsidRPr="002B56A6">
        <w:rPr>
          <w:rFonts w:ascii="Times New Roman" w:hAnsi="Times New Roman" w:cs="Times New Roman"/>
        </w:rPr>
        <w:t xml:space="preserve"> amends Sections 1.901 and 1.902 of the Commission’s rules to include Part 30 (UMFUS) in the list of sections to which the Part 1, Subpart F rules apply.</w:t>
      </w:r>
      <w:r w:rsidR="009C682B">
        <w:rPr>
          <w:rFonts w:ascii="Times New Roman" w:hAnsi="Times New Roman" w:cs="Times New Roman"/>
        </w:rPr>
        <w:t xml:space="preserve">  </w:t>
      </w:r>
      <w:r w:rsidRPr="002B56A6" w:rsidR="009C682B">
        <w:rPr>
          <w:rFonts w:ascii="Times New Roman" w:hAnsi="Times New Roman" w:cs="Times New Roman"/>
        </w:rPr>
        <w:t xml:space="preserve">This modification clarifies and codifies that </w:t>
      </w:r>
      <w:r w:rsidR="00FC1236">
        <w:rPr>
          <w:rFonts w:ascii="Times New Roman" w:hAnsi="Times New Roman" w:cs="Times New Roman"/>
        </w:rPr>
        <w:t xml:space="preserve">operation under </w:t>
      </w:r>
      <w:r w:rsidRPr="002B56A6" w:rsidR="009C682B">
        <w:rPr>
          <w:rFonts w:ascii="Times New Roman" w:hAnsi="Times New Roman" w:cs="Times New Roman"/>
        </w:rPr>
        <w:t xml:space="preserve">Part 30 </w:t>
      </w:r>
      <w:r w:rsidR="00FC1236">
        <w:rPr>
          <w:rFonts w:ascii="Times New Roman" w:hAnsi="Times New Roman" w:cs="Times New Roman"/>
        </w:rPr>
        <w:t xml:space="preserve">of the rules </w:t>
      </w:r>
      <w:r w:rsidRPr="002B56A6" w:rsidR="009C682B">
        <w:rPr>
          <w:rFonts w:ascii="Times New Roman" w:hAnsi="Times New Roman" w:cs="Times New Roman"/>
        </w:rPr>
        <w:t xml:space="preserve">is </w:t>
      </w:r>
      <w:r w:rsidR="00FC1236">
        <w:rPr>
          <w:rFonts w:ascii="Times New Roman" w:hAnsi="Times New Roman" w:cs="Times New Roman"/>
        </w:rPr>
        <w:t xml:space="preserve">also </w:t>
      </w:r>
      <w:r w:rsidRPr="002B56A6" w:rsidR="009C682B">
        <w:rPr>
          <w:rFonts w:ascii="Times New Roman" w:hAnsi="Times New Roman" w:cs="Times New Roman"/>
        </w:rPr>
        <w:t xml:space="preserve">governed by those </w:t>
      </w:r>
      <w:r w:rsidR="00FC1236">
        <w:rPr>
          <w:rFonts w:ascii="Times New Roman" w:hAnsi="Times New Roman" w:cs="Times New Roman"/>
        </w:rPr>
        <w:t xml:space="preserve">Part 1, Subpart F </w:t>
      </w:r>
      <w:r w:rsidRPr="002B56A6" w:rsidR="009C682B">
        <w:rPr>
          <w:rFonts w:ascii="Times New Roman" w:hAnsi="Times New Roman" w:cs="Times New Roman"/>
        </w:rPr>
        <w:t>rules</w:t>
      </w:r>
      <w:r w:rsidR="00407157">
        <w:rPr>
          <w:rFonts w:ascii="Times New Roman" w:hAnsi="Times New Roman" w:cs="Times New Roman"/>
        </w:rPr>
        <w:t>.</w:t>
      </w:r>
    </w:p>
    <w:p w:rsidR="00D927AC" w:rsidRPr="002B56A6" w:rsidP="005C16B1" w14:paraId="0BC6E404" w14:textId="04B84626">
      <w:pPr>
        <w:pStyle w:val="ListParagraph"/>
        <w:spacing w:after="0" w:line="240" w:lineRule="auto"/>
        <w:ind w:left="2520"/>
        <w:contextualSpacing w:val="0"/>
        <w:rPr>
          <w:rFonts w:ascii="Times New Roman" w:hAnsi="Times New Roman" w:cs="Times New Roman"/>
        </w:rPr>
      </w:pPr>
    </w:p>
    <w:p w:rsidR="0001069B" w:rsidP="002B56A6" w14:paraId="682615B0" w14:textId="5196B46A">
      <w:pPr>
        <w:pStyle w:val="Heading1"/>
        <w:spacing w:line="240" w:lineRule="auto"/>
        <w:ind w:left="720"/>
      </w:pPr>
      <w:bookmarkStart w:id="11" w:name="_Toc512508566"/>
      <w:r w:rsidRPr="002B56A6">
        <w:t>RECORDKEEPING AND REPORTING REQUIREMENTS</w:t>
      </w:r>
      <w:bookmarkEnd w:id="11"/>
    </w:p>
    <w:p w:rsidR="000C3A85" w:rsidRPr="00511023" w:rsidP="005C16B1" w14:paraId="2D1EBF8A" w14:textId="144ECCA1">
      <w:pPr>
        <w:spacing w:after="0"/>
        <w:ind w:firstLine="720"/>
        <w:rPr>
          <w:rFonts w:ascii="Times New Roman" w:hAnsi="Times New Roman" w:cs="Times New Roman"/>
          <w:color w:val="010101"/>
        </w:rPr>
      </w:pPr>
      <w:r w:rsidRPr="00511023">
        <w:rPr>
          <w:rFonts w:ascii="Times New Roman" w:hAnsi="Times New Roman" w:cs="Times New Roman"/>
          <w:color w:val="010101"/>
        </w:rPr>
        <w:t xml:space="preserve">The Commission’s actions in the </w:t>
      </w:r>
      <w:r w:rsidRPr="005C16B1">
        <w:rPr>
          <w:rFonts w:ascii="Times New Roman" w:hAnsi="Times New Roman" w:cs="Times New Roman"/>
          <w:i/>
          <w:color w:val="010101"/>
        </w:rPr>
        <w:t xml:space="preserve">Second </w:t>
      </w:r>
      <w:r w:rsidRPr="00511023">
        <w:rPr>
          <w:rFonts w:ascii="Times New Roman" w:hAnsi="Times New Roman" w:cs="Times New Roman"/>
          <w:i/>
          <w:color w:val="010101"/>
        </w:rPr>
        <w:t>Report and Order</w:t>
      </w:r>
      <w:r w:rsidRPr="00511023">
        <w:rPr>
          <w:rFonts w:ascii="Times New Roman" w:hAnsi="Times New Roman" w:cs="Times New Roman"/>
          <w:color w:val="010101"/>
        </w:rPr>
        <w:t xml:space="preserve"> </w:t>
      </w:r>
      <w:r>
        <w:rPr>
          <w:rFonts w:ascii="Times New Roman" w:hAnsi="Times New Roman" w:cs="Times New Roman"/>
          <w:color w:val="010101"/>
        </w:rPr>
        <w:t>did</w:t>
      </w:r>
      <w:r w:rsidRPr="00511023">
        <w:rPr>
          <w:rFonts w:ascii="Times New Roman" w:hAnsi="Times New Roman" w:cs="Times New Roman"/>
          <w:color w:val="010101"/>
        </w:rPr>
        <w:t xml:space="preserve"> not create any new recordkeeping </w:t>
      </w:r>
      <w:r>
        <w:rPr>
          <w:rFonts w:ascii="Times New Roman" w:hAnsi="Times New Roman" w:cs="Times New Roman"/>
          <w:color w:val="010101"/>
        </w:rPr>
        <w:t xml:space="preserve">or reporting </w:t>
      </w:r>
      <w:r w:rsidRPr="00511023">
        <w:rPr>
          <w:rFonts w:ascii="Times New Roman" w:hAnsi="Times New Roman" w:cs="Times New Roman"/>
          <w:color w:val="010101"/>
        </w:rPr>
        <w:t>requirements</w:t>
      </w:r>
      <w:r w:rsidRPr="00996D7A" w:rsidR="00996D7A">
        <w:rPr>
          <w:rFonts w:ascii="Times New Roman" w:hAnsi="Times New Roman" w:cs="Times New Roman"/>
          <w:color w:val="010101"/>
        </w:rPr>
        <w:t xml:space="preserve">, </w:t>
      </w:r>
      <w:r w:rsidR="00996D7A">
        <w:rPr>
          <w:rFonts w:ascii="Times New Roman" w:hAnsi="Times New Roman" w:cs="Times New Roman"/>
          <w:color w:val="010101"/>
        </w:rPr>
        <w:t>al</w:t>
      </w:r>
      <w:r w:rsidRPr="00996D7A" w:rsidR="00996D7A">
        <w:rPr>
          <w:rFonts w:ascii="Times New Roman" w:hAnsi="Times New Roman" w:cs="Times New Roman"/>
          <w:color w:val="010101"/>
        </w:rPr>
        <w:t xml:space="preserve">though </w:t>
      </w:r>
      <w:r w:rsidR="00996D7A">
        <w:rPr>
          <w:rFonts w:ascii="Times New Roman" w:hAnsi="Times New Roman" w:cs="Times New Roman"/>
          <w:color w:val="010101"/>
        </w:rPr>
        <w:t xml:space="preserve">it </w:t>
      </w:r>
      <w:r w:rsidRPr="00996D7A" w:rsidR="00996D7A">
        <w:rPr>
          <w:rFonts w:ascii="Times New Roman" w:hAnsi="Times New Roman" w:cs="Times New Roman"/>
          <w:color w:val="010101"/>
        </w:rPr>
        <w:t xml:space="preserve">did increase the number of bands and licensees included within the scope of Section 25.136 of the Commission’s rules (outlining criteria under which earth stations may operate </w:t>
      </w:r>
      <w:r w:rsidR="00996D7A">
        <w:rPr>
          <w:rFonts w:ascii="Times New Roman" w:hAnsi="Times New Roman" w:cs="Times New Roman"/>
          <w:color w:val="010101"/>
        </w:rPr>
        <w:t>in the UMFUS bands).</w:t>
      </w:r>
    </w:p>
    <w:p w:rsidR="008113BB" w:rsidRPr="008113BB" w:rsidP="005C16B1" w14:paraId="19D6E09E" w14:textId="77777777">
      <w:pPr>
        <w:spacing w:after="0"/>
        <w:ind w:left="720"/>
      </w:pPr>
    </w:p>
    <w:p w:rsidR="00141E55" w:rsidRPr="002B56A6" w:rsidP="002B56A6" w14:paraId="6373D7BA" w14:textId="41126BC8">
      <w:pPr>
        <w:pStyle w:val="Heading1"/>
        <w:spacing w:line="240" w:lineRule="auto"/>
        <w:ind w:left="720"/>
      </w:pPr>
      <w:bookmarkStart w:id="12" w:name="_Toc512508567"/>
      <w:r w:rsidRPr="002B56A6">
        <w:t>IMPLEMENTATION DATE</w:t>
      </w:r>
      <w:bookmarkEnd w:id="12"/>
    </w:p>
    <w:p w:rsidR="00931400" w:rsidRPr="00B16481" w:rsidP="005C16B1" w14:paraId="6E27DB9A" w14:textId="788B1EDD">
      <w:pPr>
        <w:pStyle w:val="ParaNum"/>
        <w:numPr>
          <w:ilvl w:val="0"/>
          <w:numId w:val="0"/>
        </w:numPr>
        <w:spacing w:after="200"/>
        <w:ind w:firstLine="720"/>
        <w:rPr>
          <w:szCs w:val="22"/>
        </w:rPr>
      </w:pPr>
      <w:r w:rsidRPr="00D403F9">
        <w:rPr>
          <w:szCs w:val="22"/>
        </w:rPr>
        <w:t xml:space="preserve">The rules in the </w:t>
      </w:r>
      <w:r w:rsidRPr="00D403F9" w:rsidR="0056121D">
        <w:rPr>
          <w:i/>
          <w:szCs w:val="22"/>
        </w:rPr>
        <w:t xml:space="preserve">Second </w:t>
      </w:r>
      <w:r w:rsidRPr="00B16481">
        <w:rPr>
          <w:i/>
          <w:szCs w:val="22"/>
        </w:rPr>
        <w:t>Report and Order</w:t>
      </w:r>
      <w:r w:rsidRPr="00B16481">
        <w:rPr>
          <w:szCs w:val="22"/>
        </w:rPr>
        <w:t xml:space="preserve"> bec</w:t>
      </w:r>
      <w:r w:rsidRPr="00B16481" w:rsidR="00740B94">
        <w:rPr>
          <w:szCs w:val="22"/>
        </w:rPr>
        <w:t>a</w:t>
      </w:r>
      <w:r w:rsidRPr="00B16481">
        <w:rPr>
          <w:szCs w:val="22"/>
        </w:rPr>
        <w:t xml:space="preserve">me effective </w:t>
      </w:r>
      <w:r w:rsidRPr="00B16481" w:rsidR="00740B94">
        <w:rPr>
          <w:szCs w:val="22"/>
        </w:rPr>
        <w:t xml:space="preserve">on February 1, 2018, except for </w:t>
      </w:r>
      <w:r w:rsidRPr="004239D4" w:rsidR="00BE4762">
        <w:rPr>
          <w:szCs w:val="22"/>
        </w:rPr>
        <w:t xml:space="preserve">the changes to the secondary market threshold for millimeter wave spectrum </w:t>
      </w:r>
      <w:r w:rsidRPr="004239D4" w:rsidR="00E70AD5">
        <w:rPr>
          <w:szCs w:val="22"/>
        </w:rPr>
        <w:t xml:space="preserve">which </w:t>
      </w:r>
      <w:r w:rsidRPr="004239D4" w:rsidR="00BE4762">
        <w:rPr>
          <w:szCs w:val="22"/>
        </w:rPr>
        <w:t xml:space="preserve">were effective January 2, 2018, and </w:t>
      </w:r>
      <w:r w:rsidRPr="00C22713" w:rsidR="00E70AD5">
        <w:rPr>
          <w:szCs w:val="22"/>
        </w:rPr>
        <w:t>the rules in Section</w:t>
      </w:r>
      <w:r w:rsidRPr="00C22713" w:rsidR="00BE4762">
        <w:rPr>
          <w:szCs w:val="22"/>
        </w:rPr>
        <w:t xml:space="preserve"> 25.136, which contain information collection requirements </w:t>
      </w:r>
      <w:r w:rsidRPr="00C22713" w:rsidR="00E70AD5">
        <w:rPr>
          <w:szCs w:val="22"/>
        </w:rPr>
        <w:t xml:space="preserve">which require </w:t>
      </w:r>
      <w:r w:rsidRPr="005C16B1" w:rsidR="00E70AD5">
        <w:rPr>
          <w:color w:val="000000"/>
          <w:szCs w:val="22"/>
        </w:rPr>
        <w:t>approval by the Office of Management and Budget (OMB) under the Paperwork Reduction</w:t>
      </w:r>
      <w:r w:rsidR="00B16481">
        <w:rPr>
          <w:color w:val="000000"/>
          <w:szCs w:val="22"/>
        </w:rPr>
        <w:t xml:space="preserve"> Act</w:t>
      </w:r>
      <w:r w:rsidRPr="004239D4" w:rsidR="00BE4762">
        <w:rPr>
          <w:szCs w:val="22"/>
        </w:rPr>
        <w:t xml:space="preserve">.  </w:t>
      </w:r>
      <w:r w:rsidR="00B16481">
        <w:rPr>
          <w:szCs w:val="22"/>
        </w:rPr>
        <w:t xml:space="preserve">These rules shall </w:t>
      </w:r>
      <w:r w:rsidRPr="00D403F9" w:rsidR="00836A89">
        <w:rPr>
          <w:szCs w:val="22"/>
        </w:rPr>
        <w:t xml:space="preserve">become effective after the </w:t>
      </w:r>
      <w:r w:rsidRPr="00D403F9" w:rsidR="00BE4762">
        <w:rPr>
          <w:szCs w:val="22"/>
        </w:rPr>
        <w:t>C</w:t>
      </w:r>
      <w:r w:rsidRPr="004239D4" w:rsidR="00BE4762">
        <w:rPr>
          <w:szCs w:val="22"/>
        </w:rPr>
        <w:t>ommission publish</w:t>
      </w:r>
      <w:r w:rsidRPr="004239D4" w:rsidR="00836A89">
        <w:rPr>
          <w:szCs w:val="22"/>
        </w:rPr>
        <w:t>es</w:t>
      </w:r>
      <w:r w:rsidRPr="00124BB4" w:rsidR="00BE4762">
        <w:rPr>
          <w:szCs w:val="22"/>
        </w:rPr>
        <w:t xml:space="preserve"> a </w:t>
      </w:r>
      <w:r w:rsidRPr="00124BB4" w:rsidR="00836A89">
        <w:rPr>
          <w:szCs w:val="22"/>
        </w:rPr>
        <w:t xml:space="preserve">notice </w:t>
      </w:r>
      <w:r w:rsidRPr="00124BB4" w:rsidR="00BE4762">
        <w:rPr>
          <w:szCs w:val="22"/>
        </w:rPr>
        <w:t xml:space="preserve">in the </w:t>
      </w:r>
      <w:r w:rsidRPr="005C16B1" w:rsidR="00BE4762">
        <w:rPr>
          <w:i/>
          <w:szCs w:val="22"/>
        </w:rPr>
        <w:t>Federal Register</w:t>
      </w:r>
      <w:r w:rsidRPr="00D403F9" w:rsidR="00BE4762">
        <w:rPr>
          <w:szCs w:val="22"/>
        </w:rPr>
        <w:t xml:space="preserve"> announcing </w:t>
      </w:r>
      <w:r w:rsidRPr="00D403F9" w:rsidR="00836A89">
        <w:rPr>
          <w:szCs w:val="22"/>
        </w:rPr>
        <w:t xml:space="preserve">OMB approval and </w:t>
      </w:r>
      <w:r w:rsidRPr="004239D4" w:rsidR="00BE4762">
        <w:rPr>
          <w:szCs w:val="22"/>
        </w:rPr>
        <w:t xml:space="preserve">the </w:t>
      </w:r>
      <w:r w:rsidRPr="004239D4" w:rsidR="00836A89">
        <w:rPr>
          <w:szCs w:val="22"/>
        </w:rPr>
        <w:t xml:space="preserve">relevant </w:t>
      </w:r>
      <w:r w:rsidRPr="004239D4" w:rsidR="00BE4762">
        <w:rPr>
          <w:szCs w:val="22"/>
        </w:rPr>
        <w:t>effective date</w:t>
      </w:r>
      <w:r w:rsidRPr="00124BB4" w:rsidR="00BE4762">
        <w:rPr>
          <w:szCs w:val="22"/>
        </w:rPr>
        <w:t>.</w:t>
      </w:r>
    </w:p>
    <w:p w:rsidR="00141E55" w:rsidRPr="002B56A6" w:rsidP="002B56A6" w14:paraId="0A208568" w14:textId="77777777">
      <w:pPr>
        <w:pStyle w:val="Heading1"/>
        <w:spacing w:line="240" w:lineRule="auto"/>
        <w:ind w:left="720"/>
      </w:pPr>
      <w:bookmarkStart w:id="13" w:name="_Toc512508568"/>
      <w:r w:rsidRPr="002B56A6">
        <w:t>INTERNET LINKS</w:t>
      </w:r>
      <w:bookmarkEnd w:id="13"/>
    </w:p>
    <w:p w:rsidR="001563B0" w:rsidRPr="002B56A6" w:rsidP="002B56A6" w14:paraId="1CAA8DF9" w14:textId="3D57BFC4">
      <w:pPr>
        <w:spacing w:after="0" w:line="240" w:lineRule="auto"/>
        <w:ind w:left="720"/>
        <w:rPr>
          <w:rFonts w:ascii="Times New Roman" w:hAnsi="Times New Roman" w:cs="Times New Roman"/>
        </w:rPr>
      </w:pPr>
      <w:r w:rsidRPr="002B56A6">
        <w:rPr>
          <w:rFonts w:ascii="Times New Roman" w:hAnsi="Times New Roman" w:cs="Times New Roman"/>
        </w:rPr>
        <w:t xml:space="preserve">A copy of the </w:t>
      </w:r>
      <w:r w:rsidRPr="005C16B1" w:rsidR="00467548">
        <w:rPr>
          <w:rFonts w:ascii="Times New Roman" w:hAnsi="Times New Roman" w:cs="Times New Roman"/>
          <w:i/>
        </w:rPr>
        <w:t>Second</w:t>
      </w:r>
      <w:r w:rsidR="00467548">
        <w:rPr>
          <w:rFonts w:ascii="Times New Roman" w:hAnsi="Times New Roman" w:cs="Times New Roman"/>
        </w:rPr>
        <w:t xml:space="preserve"> </w:t>
      </w:r>
      <w:r w:rsidRPr="002B56A6">
        <w:rPr>
          <w:rFonts w:ascii="Times New Roman" w:hAnsi="Times New Roman" w:cs="Times New Roman"/>
          <w:i/>
        </w:rPr>
        <w:t>Report and Order</w:t>
      </w:r>
      <w:r w:rsidRPr="002B56A6">
        <w:rPr>
          <w:rFonts w:ascii="Times New Roman" w:hAnsi="Times New Roman" w:cs="Times New Roman"/>
        </w:rPr>
        <w:t xml:space="preserve"> is available at:</w:t>
      </w:r>
    </w:p>
    <w:p w:rsidR="0001069B" w:rsidRPr="002B56A6" w:rsidP="002B56A6" w14:paraId="56153CDB" w14:textId="77777777">
      <w:pPr>
        <w:spacing w:after="0" w:line="240" w:lineRule="auto"/>
        <w:ind w:left="720"/>
        <w:rPr>
          <w:rFonts w:ascii="Times New Roman" w:hAnsi="Times New Roman" w:cs="Times New Roman"/>
        </w:rPr>
      </w:pPr>
      <w:hyperlink r:id="rId7" w:history="1">
        <w:r w:rsidRPr="002B56A6" w:rsidR="001563B0">
          <w:rPr>
            <w:rStyle w:val="Hyperlink"/>
            <w:rFonts w:ascii="Times New Roman" w:hAnsi="Times New Roman" w:cs="Times New Roman"/>
          </w:rPr>
          <w:t>https://apps.fcc.gov/edocs_public/attachmatch/FCC-17-152A1.pdf</w:t>
        </w:r>
      </w:hyperlink>
      <w:r w:rsidRPr="002B56A6" w:rsidR="001563B0">
        <w:rPr>
          <w:rFonts w:ascii="Times New Roman" w:hAnsi="Times New Roman" w:cs="Times New Roman"/>
        </w:rPr>
        <w:t xml:space="preserve"> </w:t>
      </w:r>
    </w:p>
    <w:p w:rsidR="001563B0" w:rsidRPr="002B56A6" w:rsidP="002B56A6" w14:paraId="07CC8EA1" w14:textId="77777777">
      <w:pPr>
        <w:spacing w:after="0" w:line="240" w:lineRule="auto"/>
        <w:ind w:left="720"/>
        <w:rPr>
          <w:rFonts w:ascii="Times New Roman" w:hAnsi="Times New Roman" w:cs="Times New Roman"/>
        </w:rPr>
      </w:pPr>
    </w:p>
    <w:p w:rsidR="001563B0" w:rsidRPr="002B56A6" w:rsidP="002B56A6" w14:paraId="4D886DA3" w14:textId="77777777">
      <w:pPr>
        <w:spacing w:after="0" w:line="240" w:lineRule="auto"/>
        <w:ind w:left="720"/>
        <w:rPr>
          <w:rFonts w:ascii="Times New Roman" w:hAnsi="Times New Roman" w:cs="Times New Roman"/>
        </w:rPr>
      </w:pPr>
      <w:r w:rsidRPr="002B56A6">
        <w:rPr>
          <w:rFonts w:ascii="Times New Roman" w:hAnsi="Times New Roman" w:cs="Times New Roman"/>
        </w:rPr>
        <w:t xml:space="preserve">A copy of the Federal Register Summary of the </w:t>
      </w:r>
      <w:r w:rsidR="00BE4762">
        <w:rPr>
          <w:rFonts w:ascii="Times New Roman" w:hAnsi="Times New Roman" w:cs="Times New Roman"/>
          <w:i/>
        </w:rPr>
        <w:t xml:space="preserve">Second </w:t>
      </w:r>
      <w:r w:rsidRPr="002B56A6">
        <w:rPr>
          <w:rFonts w:ascii="Times New Roman" w:hAnsi="Times New Roman" w:cs="Times New Roman"/>
          <w:i/>
        </w:rPr>
        <w:t>Report and Order</w:t>
      </w:r>
      <w:r w:rsidRPr="002B56A6">
        <w:rPr>
          <w:rFonts w:ascii="Times New Roman" w:hAnsi="Times New Roman" w:cs="Times New Roman"/>
        </w:rPr>
        <w:t xml:space="preserve"> is available at:</w:t>
      </w:r>
    </w:p>
    <w:p w:rsidR="0001069B" w:rsidRPr="002B56A6" w:rsidP="00431D66" w14:paraId="05E2D412" w14:textId="77777777">
      <w:pPr>
        <w:spacing w:line="240" w:lineRule="auto"/>
        <w:ind w:firstLine="720"/>
        <w:rPr>
          <w:rFonts w:ascii="Times New Roman" w:hAnsi="Times New Roman" w:cs="Times New Roman"/>
        </w:rPr>
      </w:pPr>
      <w:hyperlink r:id="rId8" w:history="1">
        <w:r w:rsidRPr="00F651FF" w:rsidR="001D76F1">
          <w:rPr>
            <w:rStyle w:val="Hyperlink"/>
            <w:rFonts w:ascii="Times New Roman" w:hAnsi="Times New Roman" w:cs="Times New Roman"/>
          </w:rPr>
          <w:t>https://www.gpo.gov/fdsys/pkg/FR-2018-01-02/pdf/2017-27437.pdf</w:t>
        </w:r>
      </w:hyperlink>
      <w:r w:rsidR="001D76F1">
        <w:rPr>
          <w:rFonts w:ascii="Times New Roman" w:hAnsi="Times New Roman" w:cs="Times New Roman"/>
        </w:rPr>
        <w:t xml:space="preserve"> </w:t>
      </w:r>
    </w:p>
    <w:sectPr w:rsidSect="0001069B">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F82" w:rsidRPr="00511023" w14:paraId="542B248D" w14:textId="77777777">
    <w:pPr>
      <w:pStyle w:val="Footer"/>
      <w:jc w:val="center"/>
      <w:rPr>
        <w:rFonts w:ascii="Times New Roman" w:hAnsi="Times New Roman" w:cs="Times New Roman"/>
      </w:rPr>
    </w:pPr>
  </w:p>
  <w:p w:rsidR="00C75F82" w14:paraId="162629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7AC" w14:paraId="5D8937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7AC" w14:paraId="79A12C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699D" w:rsidP="004A5D6B" w14:paraId="7F18B445" w14:textId="77777777">
      <w:pPr>
        <w:spacing w:after="0" w:line="240" w:lineRule="auto"/>
      </w:pPr>
      <w:r>
        <w:separator/>
      </w:r>
    </w:p>
  </w:footnote>
  <w:footnote w:type="continuationSeparator" w:id="1">
    <w:p w:rsidR="0080699D" w:rsidP="004A5D6B" w14:paraId="3B9FE501" w14:textId="77777777">
      <w:pPr>
        <w:spacing w:after="0" w:line="240" w:lineRule="auto"/>
      </w:pPr>
      <w:r>
        <w:continuationSeparator/>
      </w:r>
    </w:p>
  </w:footnote>
  <w:footnote w:type="continuationNotice" w:id="2">
    <w:p w:rsidR="0080699D" w14:paraId="2FDA0833" w14:textId="77777777">
      <w:pPr>
        <w:spacing w:after="0" w:line="240" w:lineRule="auto"/>
      </w:pPr>
    </w:p>
  </w:footnote>
  <w:footnote w:id="3">
    <w:p w:rsidR="0027592D" w:rsidRPr="0027592D" w14:paraId="40BDBC60" w14:textId="2C643B27">
      <w:pPr>
        <w:pStyle w:val="FootnoteText"/>
        <w:rPr>
          <w:rFonts w:ascii="Times New Roman" w:hAnsi="Times New Roman" w:cs="Times New Roman"/>
        </w:rPr>
      </w:pPr>
      <w:r w:rsidRPr="0027592D">
        <w:rPr>
          <w:rStyle w:val="FootnoteReference"/>
          <w:rFonts w:ascii="Times New Roman" w:hAnsi="Times New Roman" w:cs="Times New Roman"/>
        </w:rPr>
        <w:footnoteRef/>
      </w:r>
      <w:r w:rsidRPr="0027592D">
        <w:rPr>
          <w:rFonts w:ascii="Times New Roman" w:hAnsi="Times New Roman" w:cs="Times New Roman"/>
        </w:rPr>
        <w:t xml:space="preserve"> </w:t>
      </w:r>
      <w:r w:rsidRPr="0027592D">
        <w:rPr>
          <w:rFonts w:ascii="Times New Roman" w:hAnsi="Times New Roman" w:cs="Times New Roman"/>
          <w:i/>
        </w:rPr>
        <w:t>See 2</w:t>
      </w:r>
      <w:r w:rsidRPr="0027592D">
        <w:rPr>
          <w:rFonts w:ascii="Times New Roman" w:hAnsi="Times New Roman" w:cs="Times New Roman"/>
          <w:i/>
          <w:vertAlign w:val="superscript"/>
        </w:rPr>
        <w:t>nd</w:t>
      </w:r>
      <w:r w:rsidRPr="0027592D">
        <w:rPr>
          <w:rFonts w:ascii="Times New Roman" w:hAnsi="Times New Roman" w:cs="Times New Roman"/>
          <w:i/>
        </w:rPr>
        <w:t xml:space="preserve"> R&amp;O</w:t>
      </w:r>
      <w:r w:rsidRPr="0027592D">
        <w:rPr>
          <w:rFonts w:ascii="Times New Roman" w:hAnsi="Times New Roman" w:cs="Times New Roman"/>
        </w:rPr>
        <w:t>, 32</w:t>
      </w:r>
      <w:r w:rsidR="00671621">
        <w:rPr>
          <w:rFonts w:ascii="Times New Roman" w:hAnsi="Times New Roman" w:cs="Times New Roman"/>
        </w:rPr>
        <w:t xml:space="preserve"> </w:t>
      </w:r>
      <w:r w:rsidRPr="0027592D">
        <w:rPr>
          <w:rFonts w:ascii="Times New Roman" w:hAnsi="Times New Roman" w:cs="Times New Roman"/>
        </w:rPr>
        <w:t>FCC Rcd at</w:t>
      </w:r>
      <w:r w:rsidR="00671621">
        <w:rPr>
          <w:rFonts w:ascii="Times New Roman" w:hAnsi="Times New Roman" w:cs="Times New Roman"/>
        </w:rPr>
        <w:t xml:space="preserve"> </w:t>
      </w:r>
      <w:r w:rsidRPr="0027592D">
        <w:rPr>
          <w:rFonts w:ascii="Times New Roman" w:hAnsi="Times New Roman" w:cs="Times New Roman"/>
        </w:rPr>
        <w:t>10994-11002, paras. 15-42.</w:t>
      </w:r>
    </w:p>
  </w:footnote>
  <w:footnote w:id="4">
    <w:p w:rsidR="0027592D" w14:paraId="60453536" w14:textId="5AE88470">
      <w:pPr>
        <w:pStyle w:val="FootnoteText"/>
      </w:pPr>
      <w:r>
        <w:rPr>
          <w:rStyle w:val="FootnoteReference"/>
        </w:rPr>
        <w:footnoteRef/>
      </w:r>
      <w:r>
        <w:t xml:space="preserve"> </w:t>
      </w:r>
      <w:r w:rsidRPr="0027592D">
        <w:rPr>
          <w:rFonts w:ascii="Times New Roman" w:hAnsi="Times New Roman" w:cs="Times New Roman"/>
          <w:i/>
        </w:rPr>
        <w:t>See 2</w:t>
      </w:r>
      <w:r w:rsidRPr="0027592D">
        <w:rPr>
          <w:rFonts w:ascii="Times New Roman" w:hAnsi="Times New Roman" w:cs="Times New Roman"/>
          <w:i/>
          <w:vertAlign w:val="superscript"/>
        </w:rPr>
        <w:t>nd</w:t>
      </w:r>
      <w:r w:rsidRPr="0027592D">
        <w:rPr>
          <w:rFonts w:ascii="Times New Roman" w:hAnsi="Times New Roman" w:cs="Times New Roman"/>
          <w:i/>
        </w:rPr>
        <w:t xml:space="preserve"> R&amp;O</w:t>
      </w:r>
      <w:r w:rsidRPr="0027592D">
        <w:rPr>
          <w:rFonts w:ascii="Times New Roman" w:hAnsi="Times New Roman" w:cs="Times New Roman"/>
        </w:rPr>
        <w:t>, 32</w:t>
      </w:r>
      <w:r>
        <w:rPr>
          <w:rFonts w:ascii="Times New Roman" w:hAnsi="Times New Roman" w:cs="Times New Roman"/>
        </w:rPr>
        <w:t xml:space="preserve"> </w:t>
      </w:r>
      <w:r w:rsidRPr="0027592D">
        <w:rPr>
          <w:rFonts w:ascii="Times New Roman" w:hAnsi="Times New Roman" w:cs="Times New Roman"/>
        </w:rPr>
        <w:t>FCC Rcd at</w:t>
      </w:r>
      <w:r>
        <w:rPr>
          <w:rFonts w:ascii="Times New Roman" w:hAnsi="Times New Roman" w:cs="Times New Roman"/>
        </w:rPr>
        <w:t xml:space="preserve"> </w:t>
      </w:r>
      <w:r w:rsidRPr="0027592D">
        <w:rPr>
          <w:rFonts w:ascii="Times New Roman" w:hAnsi="Times New Roman" w:cs="Times New Roman"/>
        </w:rPr>
        <w:t>11002</w:t>
      </w:r>
      <w:r>
        <w:rPr>
          <w:rFonts w:ascii="Times New Roman" w:hAnsi="Times New Roman" w:cs="Times New Roman"/>
        </w:rPr>
        <w:t>-06</w:t>
      </w:r>
      <w:r w:rsidRPr="0027592D">
        <w:rPr>
          <w:rFonts w:ascii="Times New Roman" w:hAnsi="Times New Roman" w:cs="Times New Roman"/>
        </w:rPr>
        <w:t xml:space="preserve">, paras. </w:t>
      </w:r>
      <w:r>
        <w:rPr>
          <w:rFonts w:ascii="Times New Roman" w:hAnsi="Times New Roman" w:cs="Times New Roman"/>
        </w:rPr>
        <w:t>43</w:t>
      </w:r>
      <w:r w:rsidRPr="0027592D">
        <w:rPr>
          <w:rFonts w:ascii="Times New Roman" w:hAnsi="Times New Roman" w:cs="Times New Roman"/>
        </w:rPr>
        <w:t>-</w:t>
      </w:r>
      <w:r>
        <w:rPr>
          <w:rFonts w:ascii="Times New Roman" w:hAnsi="Times New Roman" w:cs="Times New Roman"/>
        </w:rPr>
        <w:t>59</w:t>
      </w:r>
      <w:r w:rsidRPr="0027592D">
        <w:rPr>
          <w:rFonts w:ascii="Times New Roman" w:hAnsi="Times New Roman" w:cs="Times New Roman"/>
        </w:rPr>
        <w:t>.</w:t>
      </w:r>
    </w:p>
  </w:footnote>
  <w:footnote w:id="5">
    <w:p w:rsidR="00530A58" w:rsidRPr="00530A58" w14:paraId="386A859A" w14:textId="731A3702">
      <w:pPr>
        <w:pStyle w:val="FootnoteText"/>
        <w:rPr>
          <w:rFonts w:ascii="Times New Roman" w:hAnsi="Times New Roman" w:cs="Times New Roman"/>
        </w:rPr>
      </w:pPr>
      <w:r w:rsidRPr="00530A58">
        <w:rPr>
          <w:rStyle w:val="FootnoteReference"/>
          <w:rFonts w:ascii="Times New Roman" w:hAnsi="Times New Roman" w:cs="Times New Roman"/>
        </w:rPr>
        <w:footnoteRef/>
      </w:r>
      <w:r w:rsidRPr="00530A58">
        <w:rPr>
          <w:rFonts w:ascii="Times New Roman" w:hAnsi="Times New Roman" w:cs="Times New Roman"/>
        </w:rPr>
        <w:t xml:space="preserve"> </w:t>
      </w:r>
      <w:r w:rsidRPr="00530A58">
        <w:rPr>
          <w:rFonts w:ascii="Times New Roman" w:hAnsi="Times New Roman" w:cs="Times New Roman"/>
          <w:i/>
        </w:rPr>
        <w:t>See</w:t>
      </w:r>
      <w:r w:rsidRPr="00530A58">
        <w:rPr>
          <w:rFonts w:ascii="Times New Roman" w:hAnsi="Times New Roman" w:cs="Times New Roman"/>
        </w:rPr>
        <w:t xml:space="preserve"> 47 CFR § 25.136</w:t>
      </w:r>
      <w:r>
        <w:rPr>
          <w:rFonts w:ascii="Times New Roman" w:hAnsi="Times New Roman" w:cs="Times New Roman"/>
        </w:rPr>
        <w:t>(a) for the list of applicable conditions.</w:t>
      </w:r>
    </w:p>
  </w:footnote>
  <w:footnote w:id="6">
    <w:p w:rsidR="0027592D" w14:paraId="1B48EA91" w14:textId="5C70C2BC">
      <w:pPr>
        <w:pStyle w:val="FootnoteText"/>
      </w:pPr>
      <w:r>
        <w:rPr>
          <w:rStyle w:val="FootnoteReference"/>
        </w:rPr>
        <w:footnoteRef/>
      </w:r>
      <w:r>
        <w:t xml:space="preserve"> </w:t>
      </w:r>
      <w:r w:rsidRPr="0027592D">
        <w:rPr>
          <w:rFonts w:ascii="Times New Roman" w:hAnsi="Times New Roman" w:cs="Times New Roman"/>
          <w:i/>
        </w:rPr>
        <w:t>See 2</w:t>
      </w:r>
      <w:r w:rsidRPr="0027592D">
        <w:rPr>
          <w:rFonts w:ascii="Times New Roman" w:hAnsi="Times New Roman" w:cs="Times New Roman"/>
          <w:i/>
          <w:vertAlign w:val="superscript"/>
        </w:rPr>
        <w:t>nd</w:t>
      </w:r>
      <w:r w:rsidRPr="0027592D">
        <w:rPr>
          <w:rFonts w:ascii="Times New Roman" w:hAnsi="Times New Roman" w:cs="Times New Roman"/>
          <w:i/>
        </w:rPr>
        <w:t xml:space="preserve"> R&amp;O</w:t>
      </w:r>
      <w:r w:rsidRPr="0027592D">
        <w:rPr>
          <w:rFonts w:ascii="Times New Roman" w:hAnsi="Times New Roman" w:cs="Times New Roman"/>
        </w:rPr>
        <w:t>, 32</w:t>
      </w:r>
      <w:r>
        <w:rPr>
          <w:rFonts w:ascii="Times New Roman" w:hAnsi="Times New Roman" w:cs="Times New Roman"/>
        </w:rPr>
        <w:t xml:space="preserve"> </w:t>
      </w:r>
      <w:r w:rsidRPr="0027592D">
        <w:rPr>
          <w:rFonts w:ascii="Times New Roman" w:hAnsi="Times New Roman" w:cs="Times New Roman"/>
        </w:rPr>
        <w:t>FCC Rcd at</w:t>
      </w:r>
      <w:r>
        <w:rPr>
          <w:rFonts w:ascii="Times New Roman" w:hAnsi="Times New Roman" w:cs="Times New Roman"/>
        </w:rPr>
        <w:t xml:space="preserve"> </w:t>
      </w:r>
      <w:r w:rsidRPr="0027592D">
        <w:rPr>
          <w:rFonts w:ascii="Times New Roman" w:hAnsi="Times New Roman" w:cs="Times New Roman"/>
        </w:rPr>
        <w:t>1100</w:t>
      </w:r>
      <w:r>
        <w:rPr>
          <w:rFonts w:ascii="Times New Roman" w:hAnsi="Times New Roman" w:cs="Times New Roman"/>
        </w:rPr>
        <w:t>6</w:t>
      </w:r>
      <w:r w:rsidR="00310039">
        <w:rPr>
          <w:rFonts w:ascii="Times New Roman" w:hAnsi="Times New Roman" w:cs="Times New Roman"/>
        </w:rPr>
        <w:t>-09</w:t>
      </w:r>
      <w:r w:rsidRPr="0027592D">
        <w:rPr>
          <w:rFonts w:ascii="Times New Roman" w:hAnsi="Times New Roman" w:cs="Times New Roman"/>
        </w:rPr>
        <w:t xml:space="preserve">, paras. </w:t>
      </w:r>
      <w:r w:rsidR="00310039">
        <w:rPr>
          <w:rFonts w:ascii="Times New Roman" w:hAnsi="Times New Roman" w:cs="Times New Roman"/>
        </w:rPr>
        <w:t>60-69</w:t>
      </w:r>
      <w:r w:rsidRPr="0027592D">
        <w:rPr>
          <w:rFonts w:ascii="Times New Roman" w:hAnsi="Times New Roman" w:cs="Times New Roman"/>
        </w:rPr>
        <w:t>.</w:t>
      </w:r>
    </w:p>
  </w:footnote>
  <w:footnote w:id="7">
    <w:p w:rsidR="008571B2" w:rsidRPr="008571B2" w14:paraId="60C0C7F2" w14:textId="3FEC4501">
      <w:pPr>
        <w:pStyle w:val="FootnoteText"/>
        <w:rPr>
          <w:rFonts w:ascii="Times New Roman" w:hAnsi="Times New Roman" w:cs="Times New Roman"/>
        </w:rPr>
      </w:pPr>
      <w:r w:rsidRPr="008571B2">
        <w:rPr>
          <w:rStyle w:val="FootnoteReference"/>
          <w:rFonts w:ascii="Times New Roman" w:hAnsi="Times New Roman" w:cs="Times New Roman"/>
        </w:rPr>
        <w:footnoteRef/>
      </w:r>
      <w:r w:rsidRPr="008571B2">
        <w:rPr>
          <w:rFonts w:ascii="Times New Roman" w:hAnsi="Times New Roman" w:cs="Times New Roman"/>
        </w:rPr>
        <w:t xml:space="preserve"> </w:t>
      </w:r>
      <w:r w:rsidRPr="008571B2">
        <w:rPr>
          <w:rFonts w:ascii="Times New Roman" w:hAnsi="Times New Roman" w:cs="Times New Roman"/>
          <w:color w:val="333333"/>
          <w:lang w:val="en"/>
        </w:rPr>
        <w:t xml:space="preserve">Licensees relying on point-to-point service must demonstrate that they have four links operating and providing service, either to customers or for internal use, if the population within the license area is equal to or less than 268,000. If the population within the license area is greater than 268,000, a licensee relying on point-to-point service must demonstrate it has at least one link </w:t>
      </w:r>
      <w:r w:rsidRPr="00996D7A">
        <w:rPr>
          <w:rFonts w:ascii="Times New Roman" w:hAnsi="Times New Roman" w:cs="Times New Roman"/>
          <w:lang w:val="en"/>
        </w:rPr>
        <w:t xml:space="preserve">in </w:t>
      </w:r>
      <w:hyperlink r:id="rId1" w:tooltip="operation" w:history="1">
        <w:r w:rsidRPr="00996D7A">
          <w:rPr>
            <w:rStyle w:val="Hyperlink"/>
            <w:rFonts w:ascii="Times New Roman" w:hAnsi="Times New Roman" w:cs="Times New Roman"/>
            <w:color w:val="auto"/>
            <w:u w:val="none"/>
            <w:lang w:val="en"/>
          </w:rPr>
          <w:t>operation</w:t>
        </w:r>
      </w:hyperlink>
      <w:r w:rsidRPr="00996D7A">
        <w:rPr>
          <w:rFonts w:ascii="Times New Roman" w:hAnsi="Times New Roman" w:cs="Times New Roman"/>
          <w:lang w:val="en"/>
        </w:rPr>
        <w:t xml:space="preserve"> and is providing </w:t>
      </w:r>
      <w:r w:rsidRPr="008571B2">
        <w:rPr>
          <w:rFonts w:ascii="Times New Roman" w:hAnsi="Times New Roman" w:cs="Times New Roman"/>
          <w:color w:val="333333"/>
          <w:lang w:val="en"/>
        </w:rPr>
        <w:t>service for each 67,000 population within the license area.</w:t>
      </w:r>
    </w:p>
  </w:footnote>
  <w:footnote w:id="8">
    <w:p w:rsidR="00724AB9" w:rsidP="00724AB9" w14:paraId="05B32971" w14:textId="4FD68994">
      <w:pPr>
        <w:autoSpaceDE w:val="0"/>
        <w:autoSpaceDN w:val="0"/>
        <w:adjustRightInd w:val="0"/>
        <w:spacing w:after="0" w:line="240" w:lineRule="auto"/>
      </w:pPr>
      <w:r w:rsidRPr="004900C1">
        <w:rPr>
          <w:rStyle w:val="FootnoteReference"/>
          <w:rFonts w:ascii="Times New Roman" w:hAnsi="Times New Roman" w:cs="Times New Roman"/>
          <w:sz w:val="20"/>
          <w:szCs w:val="20"/>
        </w:rPr>
        <w:footnoteRef/>
      </w:r>
      <w:r w:rsidRPr="004900C1">
        <w:rPr>
          <w:rFonts w:ascii="Times New Roman" w:hAnsi="Times New Roman" w:cs="Times New Roman"/>
          <w:sz w:val="20"/>
          <w:szCs w:val="20"/>
        </w:rPr>
        <w:t xml:space="preserve"> This change </w:t>
      </w:r>
      <w:r>
        <w:rPr>
          <w:rFonts w:ascii="Times New Roman" w:hAnsi="Times New Roman" w:cs="Times New Roman"/>
          <w:sz w:val="20"/>
          <w:szCs w:val="20"/>
        </w:rPr>
        <w:t xml:space="preserve">is designed to ensure that licensees must engage in reasonable efforts to meet our buildout requirements. Without this change, our buildout requirements could be met with minimal effort.  </w:t>
      </w:r>
      <w:r w:rsidRPr="004900C1">
        <w:rPr>
          <w:rFonts w:ascii="Times New Roman" w:hAnsi="Times New Roman" w:cs="Times New Roman"/>
          <w:sz w:val="20"/>
          <w:szCs w:val="20"/>
        </w:rPr>
        <w:t>For</w:t>
      </w:r>
      <w:r>
        <w:rPr>
          <w:rFonts w:ascii="TimesNewRomanPSMT" w:hAnsi="TimesNewRomanPSMT" w:cs="TimesNewRomanPSMT"/>
          <w:sz w:val="18"/>
          <w:szCs w:val="18"/>
        </w:rPr>
        <w:t xml:space="preserve"> example, suppose a licensee wants to equip an office building with environmental sensors to increase the efficiency of its HVAC system. A building with ten floors, and one sensor on each corner of each floor, would have forty sensors. If each sensor were connected to its four neighbors (those in adjacent corners, and in the same corner on adjacent floors) over UMFUS spectrum, this sensor network would have 152 connections (32*4 + 8*3; the sensors on the first and tenth floor would have only 3 connections each). Under the performance metric we adopted for fixed point-to-point services, which requires one link per 67,000 population, this sensor network would fulfill buildout requirements for a license area of up to 10.1 million people. According to 2010 Census data, that limit encompasses every county, and thus every 28 GHz license area, in the United States.</w:t>
      </w:r>
    </w:p>
  </w:footnote>
  <w:footnote w:id="9">
    <w:p w:rsidR="00310039" w14:paraId="349A9235" w14:textId="6BF5026B">
      <w:pPr>
        <w:pStyle w:val="FootnoteText"/>
      </w:pPr>
      <w:r>
        <w:rPr>
          <w:rStyle w:val="FootnoteReference"/>
        </w:rPr>
        <w:footnoteRef/>
      </w:r>
      <w:r>
        <w:t xml:space="preserve"> </w:t>
      </w:r>
      <w:r w:rsidRPr="0027592D">
        <w:rPr>
          <w:rFonts w:ascii="Times New Roman" w:hAnsi="Times New Roman" w:cs="Times New Roman"/>
          <w:i/>
        </w:rPr>
        <w:t>See 2</w:t>
      </w:r>
      <w:r w:rsidRPr="0027592D">
        <w:rPr>
          <w:rFonts w:ascii="Times New Roman" w:hAnsi="Times New Roman" w:cs="Times New Roman"/>
          <w:i/>
          <w:vertAlign w:val="superscript"/>
        </w:rPr>
        <w:t>nd</w:t>
      </w:r>
      <w:r w:rsidRPr="0027592D">
        <w:rPr>
          <w:rFonts w:ascii="Times New Roman" w:hAnsi="Times New Roman" w:cs="Times New Roman"/>
          <w:i/>
        </w:rPr>
        <w:t xml:space="preserve"> R&amp;O</w:t>
      </w:r>
      <w:r w:rsidRPr="0027592D">
        <w:rPr>
          <w:rFonts w:ascii="Times New Roman" w:hAnsi="Times New Roman" w:cs="Times New Roman"/>
        </w:rPr>
        <w:t>, 32</w:t>
      </w:r>
      <w:r>
        <w:rPr>
          <w:rFonts w:ascii="Times New Roman" w:hAnsi="Times New Roman" w:cs="Times New Roman"/>
        </w:rPr>
        <w:t xml:space="preserve"> </w:t>
      </w:r>
      <w:r w:rsidRPr="0027592D">
        <w:rPr>
          <w:rFonts w:ascii="Times New Roman" w:hAnsi="Times New Roman" w:cs="Times New Roman"/>
        </w:rPr>
        <w:t>FCC Rcd at</w:t>
      </w:r>
      <w:r>
        <w:rPr>
          <w:rFonts w:ascii="Times New Roman" w:hAnsi="Times New Roman" w:cs="Times New Roman"/>
        </w:rPr>
        <w:t xml:space="preserve"> </w:t>
      </w:r>
      <w:r w:rsidRPr="0027592D">
        <w:rPr>
          <w:rFonts w:ascii="Times New Roman" w:hAnsi="Times New Roman" w:cs="Times New Roman"/>
        </w:rPr>
        <w:t>1100</w:t>
      </w:r>
      <w:r>
        <w:rPr>
          <w:rFonts w:ascii="Times New Roman" w:hAnsi="Times New Roman" w:cs="Times New Roman"/>
        </w:rPr>
        <w:t>9-11</w:t>
      </w:r>
      <w:r w:rsidRPr="0027592D">
        <w:rPr>
          <w:rFonts w:ascii="Times New Roman" w:hAnsi="Times New Roman" w:cs="Times New Roman"/>
        </w:rPr>
        <w:t xml:space="preserve">, paras. </w:t>
      </w:r>
      <w:r>
        <w:rPr>
          <w:rFonts w:ascii="Times New Roman" w:hAnsi="Times New Roman" w:cs="Times New Roman"/>
        </w:rPr>
        <w:t>70</w:t>
      </w:r>
      <w:r w:rsidRPr="0027592D">
        <w:rPr>
          <w:rFonts w:ascii="Times New Roman" w:hAnsi="Times New Roman" w:cs="Times New Roman"/>
        </w:rPr>
        <w:t>-</w:t>
      </w:r>
      <w:r>
        <w:rPr>
          <w:rFonts w:ascii="Times New Roman" w:hAnsi="Times New Roman" w:cs="Times New Roman"/>
        </w:rPr>
        <w:t>7</w:t>
      </w:r>
      <w:r w:rsidRPr="0027592D">
        <w:rPr>
          <w:rFonts w:ascii="Times New Roman" w:hAnsi="Times New Roman" w:cs="Times New Roman"/>
        </w:rPr>
        <w:t>4.</w:t>
      </w:r>
    </w:p>
  </w:footnote>
  <w:footnote w:id="10">
    <w:p w:rsidR="00AD2573" w14:paraId="0504E2BD" w14:textId="1FF8D0A4">
      <w:pPr>
        <w:pStyle w:val="FootnoteText"/>
      </w:pPr>
      <w:r>
        <w:rPr>
          <w:rStyle w:val="FootnoteReference"/>
        </w:rPr>
        <w:footnoteRef/>
      </w:r>
      <w:r>
        <w:t xml:space="preserve"> </w:t>
      </w:r>
      <w:r w:rsidRPr="0027592D">
        <w:rPr>
          <w:rFonts w:ascii="Times New Roman" w:hAnsi="Times New Roman" w:cs="Times New Roman"/>
          <w:i/>
        </w:rPr>
        <w:t>See 2</w:t>
      </w:r>
      <w:r w:rsidRPr="0027592D">
        <w:rPr>
          <w:rFonts w:ascii="Times New Roman" w:hAnsi="Times New Roman" w:cs="Times New Roman"/>
          <w:i/>
          <w:vertAlign w:val="superscript"/>
        </w:rPr>
        <w:t>nd</w:t>
      </w:r>
      <w:r w:rsidRPr="0027592D">
        <w:rPr>
          <w:rFonts w:ascii="Times New Roman" w:hAnsi="Times New Roman" w:cs="Times New Roman"/>
          <w:i/>
        </w:rPr>
        <w:t xml:space="preserve"> R&amp;O</w:t>
      </w:r>
      <w:r w:rsidRPr="0027592D">
        <w:rPr>
          <w:rFonts w:ascii="Times New Roman" w:hAnsi="Times New Roman" w:cs="Times New Roman"/>
        </w:rPr>
        <w:t>, 32</w:t>
      </w:r>
      <w:r>
        <w:rPr>
          <w:rFonts w:ascii="Times New Roman" w:hAnsi="Times New Roman" w:cs="Times New Roman"/>
        </w:rPr>
        <w:t xml:space="preserve"> </w:t>
      </w:r>
      <w:r w:rsidRPr="0027592D">
        <w:rPr>
          <w:rFonts w:ascii="Times New Roman" w:hAnsi="Times New Roman" w:cs="Times New Roman"/>
        </w:rPr>
        <w:t>FCC Rcd at</w:t>
      </w:r>
      <w:r>
        <w:rPr>
          <w:rFonts w:ascii="Times New Roman" w:hAnsi="Times New Roman" w:cs="Times New Roman"/>
        </w:rPr>
        <w:t xml:space="preserve"> </w:t>
      </w:r>
      <w:r w:rsidRPr="0027592D">
        <w:rPr>
          <w:rFonts w:ascii="Times New Roman" w:hAnsi="Times New Roman" w:cs="Times New Roman"/>
        </w:rPr>
        <w:t>110</w:t>
      </w:r>
      <w:r>
        <w:rPr>
          <w:rFonts w:ascii="Times New Roman" w:hAnsi="Times New Roman" w:cs="Times New Roman"/>
        </w:rPr>
        <w:t>1</w:t>
      </w:r>
      <w:r w:rsidRPr="0027592D">
        <w:rPr>
          <w:rFonts w:ascii="Times New Roman" w:hAnsi="Times New Roman" w:cs="Times New Roman"/>
        </w:rPr>
        <w:t>2</w:t>
      </w:r>
      <w:r>
        <w:rPr>
          <w:rFonts w:ascii="Times New Roman" w:hAnsi="Times New Roman" w:cs="Times New Roman"/>
        </w:rPr>
        <w:t>-17</w:t>
      </w:r>
      <w:r w:rsidRPr="0027592D">
        <w:rPr>
          <w:rFonts w:ascii="Times New Roman" w:hAnsi="Times New Roman" w:cs="Times New Roman"/>
        </w:rPr>
        <w:t xml:space="preserve">, paras. </w:t>
      </w:r>
      <w:r>
        <w:rPr>
          <w:rFonts w:ascii="Times New Roman" w:hAnsi="Times New Roman" w:cs="Times New Roman"/>
        </w:rPr>
        <w:t>7</w:t>
      </w:r>
      <w:r w:rsidRPr="0027592D">
        <w:rPr>
          <w:rFonts w:ascii="Times New Roman" w:hAnsi="Times New Roman" w:cs="Times New Roman"/>
        </w:rPr>
        <w:t>5-</w:t>
      </w:r>
      <w:r>
        <w:rPr>
          <w:rFonts w:ascii="Times New Roman" w:hAnsi="Times New Roman" w:cs="Times New Roman"/>
        </w:rPr>
        <w:t>89</w:t>
      </w:r>
      <w:r w:rsidRPr="0027592D">
        <w:rPr>
          <w:rFonts w:ascii="Times New Roman" w:hAnsi="Times New Roman" w:cs="Times New Roman"/>
        </w:rPr>
        <w:t>.</w:t>
      </w:r>
    </w:p>
  </w:footnote>
  <w:footnote w:id="11">
    <w:p w:rsidR="00AD2573" w:rsidRPr="00AD2573" w14:paraId="7CB89E20" w14:textId="7FA1DB54">
      <w:pPr>
        <w:pStyle w:val="FootnoteText"/>
        <w:rPr>
          <w:rFonts w:ascii="Times New Roman" w:hAnsi="Times New Roman" w:cs="Times New Roman"/>
        </w:rPr>
      </w:pPr>
      <w:r w:rsidRPr="00AD2573">
        <w:rPr>
          <w:rStyle w:val="FootnoteReference"/>
          <w:rFonts w:ascii="Times New Roman" w:hAnsi="Times New Roman" w:cs="Times New Roman"/>
        </w:rPr>
        <w:footnoteRef/>
      </w:r>
      <w:r w:rsidRPr="00AD2573">
        <w:rPr>
          <w:rFonts w:ascii="Times New Roman" w:hAnsi="Times New Roman" w:cs="Times New Roman"/>
        </w:rPr>
        <w:t xml:space="preserve"> </w:t>
      </w:r>
      <w:r w:rsidRPr="00AD2573">
        <w:rPr>
          <w:rFonts w:ascii="Times New Roman" w:hAnsi="Times New Roman" w:cs="Times New Roman"/>
          <w:i/>
        </w:rPr>
        <w:t>2</w:t>
      </w:r>
      <w:r w:rsidRPr="00AD2573">
        <w:rPr>
          <w:rFonts w:ascii="Times New Roman" w:hAnsi="Times New Roman" w:cs="Times New Roman"/>
          <w:i/>
          <w:vertAlign w:val="superscript"/>
        </w:rPr>
        <w:t>nd</w:t>
      </w:r>
      <w:r w:rsidRPr="00AD2573">
        <w:rPr>
          <w:rFonts w:ascii="Times New Roman" w:hAnsi="Times New Roman" w:cs="Times New Roman"/>
          <w:i/>
        </w:rPr>
        <w:t xml:space="preserve"> R&amp;O</w:t>
      </w:r>
      <w:r w:rsidRPr="00AD2573">
        <w:rPr>
          <w:rFonts w:ascii="Times New Roman" w:hAnsi="Times New Roman" w:cs="Times New Roman"/>
        </w:rPr>
        <w:t xml:space="preserve">, 32 FCC Rcd at 11017, paras. 88-89.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F82" w:rsidRPr="00EF0AF7" w:rsidP="00070ACA" w14:paraId="79696BAC" w14:textId="24B32E9B">
    <w:pPr>
      <w:pStyle w:val="Header"/>
      <w:tabs>
        <w:tab w:val="left" w:pos="2160"/>
        <w:tab w:val="left" w:pos="2520"/>
      </w:tabs>
      <w:spacing w:before="360" w:line="228" w:lineRule="auto"/>
      <w:ind w:firstLine="1440"/>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597057641" r:id="rId2"/>
      </w:pict>
    </w:r>
    <w:r w:rsidR="00070ACA">
      <w:rPr>
        <w:rFonts w:ascii="CG Times (W1)" w:hAnsi="CG Times (W1)"/>
        <w:sz w:val="28"/>
      </w:rPr>
      <w:t xml:space="preserve">   </w:t>
    </w:r>
    <w:r w:rsidRPr="00EF0AF7">
      <w:rPr>
        <w:rFonts w:ascii="CG Times (W1)" w:hAnsi="CG Times (W1)"/>
        <w:sz w:val="28"/>
      </w:rPr>
      <w:t>Federal Communications Commission</w:t>
    </w:r>
  </w:p>
  <w:p w:rsidR="00C75F82" w:rsidRPr="00EF0AF7" w:rsidP="00EF0AF7" w14:paraId="5C549893" w14:textId="77777777">
    <w:pPr>
      <w:ind w:left="3420"/>
      <w:rPr>
        <w:rFonts w:ascii="CG Times (W1)" w:hAnsi="CG Times (W1)"/>
        <w:sz w:val="28"/>
      </w:rPr>
    </w:pPr>
    <w:r w:rsidRPr="00EF0AF7">
      <w:rPr>
        <w:rFonts w:ascii="CG Times (W1)" w:hAnsi="CG Times (W1)"/>
        <w:sz w:val="28"/>
      </w:rPr>
      <w:t>Washington, D.C. 20554</w:t>
    </w:r>
  </w:p>
  <w:p w:rsidR="00C75F82" w:rsidRPr="00EF0AF7" w:rsidP="00EF0AF7" w14:paraId="346E193E" w14:textId="44DC19D5">
    <w:pPr>
      <w:tabs>
        <w:tab w:val="left" w:pos="3060"/>
        <w:tab w:val="left" w:pos="3780"/>
      </w:tabs>
      <w:rPr>
        <w:rFonts w:ascii="CG Times" w:hAnsi="CG Times"/>
        <w:sz w:val="24"/>
        <w:szCs w:val="24"/>
      </w:rPr>
    </w:pPr>
    <w:r w:rsidRPr="00EF0AF7">
      <w:rPr>
        <w:rFonts w:ascii="CG Times (W1)" w:hAnsi="CG Times (W1)"/>
        <w:sz w:val="24"/>
        <w:szCs w:val="24"/>
      </w:rPr>
      <w:tab/>
    </w:r>
    <w:r w:rsidRPr="00EF0AF7">
      <w:rPr>
        <w:rFonts w:ascii="CG Times (W1)" w:hAnsi="CG Times (W1)"/>
        <w:sz w:val="24"/>
        <w:szCs w:val="24"/>
      </w:rPr>
      <w:tab/>
    </w:r>
    <w:r w:rsidR="00070ACA">
      <w:rPr>
        <w:rFonts w:ascii="CG Times" w:hAnsi="CG Times"/>
        <w:sz w:val="24"/>
        <w:szCs w:val="24"/>
      </w:rPr>
      <w:t xml:space="preserve">August </w:t>
    </w:r>
    <w:r w:rsidR="00381619">
      <w:rPr>
        <w:rFonts w:ascii="CG Times" w:hAnsi="CG Times"/>
        <w:sz w:val="24"/>
        <w:szCs w:val="24"/>
      </w:rPr>
      <w:t>29</w:t>
    </w:r>
    <w:r w:rsidRPr="00EF0AF7">
      <w:rPr>
        <w:rFonts w:ascii="CG Times" w:hAnsi="CG Times"/>
        <w:sz w:val="24"/>
        <w:szCs w:val="24"/>
      </w:rPr>
      <w:t>, 20</w:t>
    </w:r>
    <w:r w:rsidRPr="00EF0AF7" w:rsidR="00323474">
      <w:rPr>
        <w:rFonts w:ascii="CG Times" w:hAnsi="CG Times"/>
        <w:sz w:val="24"/>
        <w:szCs w:val="24"/>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27AC" w14:paraId="163D45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620D52"/>
    <w:multiLevelType w:val="hybridMultilevel"/>
    <w:tmpl w:val="7A64D86C"/>
    <w:lvl w:ilvl="0">
      <w:start w:val="1"/>
      <w:numFmt w:val="decimal"/>
      <w:lvlText w:val="%1."/>
      <w:lvlJc w:val="left"/>
      <w:pPr>
        <w:ind w:left="1080" w:hanging="360"/>
      </w:pPr>
      <w:rPr>
        <w:rFonts w:hint="default"/>
        <w:b/>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180"/>
      </w:pPr>
      <w:rPr>
        <w:rFonts w:ascii="Courier New" w:hAnsi="Courier New" w:cs="Courier New" w:hint="default"/>
      </w:rPr>
    </w:lvl>
    <w:lvl w:ilvl="3">
      <w:start w:val="1"/>
      <w:numFmt w:val="bullet"/>
      <w:lvlText w:val=""/>
      <w:lvlJc w:val="left"/>
      <w:pPr>
        <w:ind w:left="3240" w:hanging="360"/>
      </w:pPr>
      <w:rPr>
        <w:rFonts w:ascii="Wingdings" w:hAnsi="Wingding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10A5E15"/>
    <w:multiLevelType w:val="hybridMultilevel"/>
    <w:tmpl w:val="4D60CD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610" w:hanging="360"/>
      </w:pPr>
      <w:rPr>
        <w:rFonts w:ascii="Courier New" w:hAnsi="Courier New" w:cs="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8B46FD"/>
    <w:multiLevelType w:val="hybridMultilevel"/>
    <w:tmpl w:val="E0AE1272"/>
    <w:lvl w:ilvl="0">
      <w:start w:val="1"/>
      <w:numFmt w:val="upperLetter"/>
      <w:pStyle w:val="Heading2"/>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421E2B"/>
    <w:multiLevelType w:val="hybridMultilevel"/>
    <w:tmpl w:val="33883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5554A53"/>
    <w:multiLevelType w:val="hybridMultilevel"/>
    <w:tmpl w:val="82206CDC"/>
    <w:lvl w:ilvl="0">
      <w:start w:val="1"/>
      <w:numFmt w:val="upperRoman"/>
      <w:pStyle w:val="Heading1"/>
      <w:lvlText w:val="%1."/>
      <w:lvlJc w:val="left"/>
      <w:pPr>
        <w:ind w:left="1080" w:hanging="72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B8A4F26"/>
    <w:multiLevelType w:val="hybridMultilevel"/>
    <w:tmpl w:val="311EA722"/>
    <w:lvl w:ilvl="0">
      <w:start w:val="1"/>
      <w:numFmt w:val="upperLetter"/>
      <w:pStyle w:val="TOC2"/>
      <w:lvlText w:val="%1."/>
      <w:lvlJc w:val="left"/>
      <w:pPr>
        <w:ind w:left="810" w:hanging="360"/>
      </w:pPr>
      <w:rPr>
        <w:rFonts w:eastAsiaTheme="minorHAnsi" w:hint="default"/>
        <w:color w:val="auto"/>
        <w:u w:val="none"/>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3D7D2B90"/>
    <w:multiLevelType w:val="hybridMultilevel"/>
    <w:tmpl w:val="F776F3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385AC0"/>
    <w:multiLevelType w:val="hybridMultilevel"/>
    <w:tmpl w:val="A090589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4AC703BD"/>
    <w:multiLevelType w:val="hybridMultilevel"/>
    <w:tmpl w:val="C660F554"/>
    <w:lvl w:ilvl="0">
      <w:start w:val="1"/>
      <w:numFmt w:val="upperRoman"/>
      <w:lvlText w:val="%1."/>
      <w:lvlJc w:val="left"/>
      <w:pPr>
        <w:ind w:left="720" w:hanging="765"/>
      </w:pPr>
      <w:rPr>
        <w:rFonts w:hint="default"/>
        <w:b/>
      </w:rPr>
    </w:lvl>
    <w:lvl w:ilvl="1" w:tentative="1">
      <w:start w:val="1"/>
      <w:numFmt w:val="lowerLetter"/>
      <w:lvlText w:val="%2."/>
      <w:lvlJc w:val="left"/>
      <w:pPr>
        <w:ind w:left="1035" w:hanging="360"/>
      </w:pPr>
    </w:lvl>
    <w:lvl w:ilvl="2" w:tentative="1">
      <w:start w:val="1"/>
      <w:numFmt w:val="lowerRoman"/>
      <w:lvlText w:val="%3."/>
      <w:lvlJc w:val="right"/>
      <w:pPr>
        <w:ind w:left="1755" w:hanging="180"/>
      </w:pPr>
    </w:lvl>
    <w:lvl w:ilvl="3" w:tentative="1">
      <w:start w:val="1"/>
      <w:numFmt w:val="decimal"/>
      <w:lvlText w:val="%4."/>
      <w:lvlJc w:val="left"/>
      <w:pPr>
        <w:ind w:left="2475" w:hanging="360"/>
      </w:pPr>
    </w:lvl>
    <w:lvl w:ilvl="4" w:tentative="1">
      <w:start w:val="1"/>
      <w:numFmt w:val="lowerLetter"/>
      <w:lvlText w:val="%5."/>
      <w:lvlJc w:val="left"/>
      <w:pPr>
        <w:ind w:left="3195" w:hanging="360"/>
      </w:pPr>
    </w:lvl>
    <w:lvl w:ilvl="5" w:tentative="1">
      <w:start w:val="1"/>
      <w:numFmt w:val="lowerRoman"/>
      <w:lvlText w:val="%6."/>
      <w:lvlJc w:val="right"/>
      <w:pPr>
        <w:ind w:left="3915" w:hanging="180"/>
      </w:pPr>
    </w:lvl>
    <w:lvl w:ilvl="6" w:tentative="1">
      <w:start w:val="1"/>
      <w:numFmt w:val="decimal"/>
      <w:lvlText w:val="%7."/>
      <w:lvlJc w:val="left"/>
      <w:pPr>
        <w:ind w:left="4635" w:hanging="360"/>
      </w:pPr>
    </w:lvl>
    <w:lvl w:ilvl="7" w:tentative="1">
      <w:start w:val="1"/>
      <w:numFmt w:val="lowerLetter"/>
      <w:lvlText w:val="%8."/>
      <w:lvlJc w:val="left"/>
      <w:pPr>
        <w:ind w:left="5355" w:hanging="360"/>
      </w:pPr>
    </w:lvl>
    <w:lvl w:ilvl="8" w:tentative="1">
      <w:start w:val="1"/>
      <w:numFmt w:val="lowerRoman"/>
      <w:lvlText w:val="%9."/>
      <w:lvlJc w:val="right"/>
      <w:pPr>
        <w:ind w:left="6075" w:hanging="180"/>
      </w:pPr>
    </w:lvl>
  </w:abstractNum>
  <w:abstractNum w:abstractNumId="9">
    <w:nsid w:val="4F9E1E65"/>
    <w:multiLevelType w:val="hybridMultilevel"/>
    <w:tmpl w:val="452E6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2FB373F"/>
    <w:multiLevelType w:val="hybridMultilevel"/>
    <w:tmpl w:val="010A5248"/>
    <w:lvl w:ilvl="0">
      <w:start w:val="1"/>
      <w:numFmt w:val="decimal"/>
      <w:pStyle w:val="Heading3"/>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1B94D5F"/>
    <w:multiLevelType w:val="multilevel"/>
    <w:tmpl w:val="816EB7AC"/>
    <w:lvl w:ilvl="0">
      <w:start w:val="1"/>
      <w:numFmt w:val="bullet"/>
      <w:lvlText w:val=""/>
      <w:lvlJc w:val="left"/>
      <w:pPr>
        <w:ind w:left="1080" w:hanging="360"/>
      </w:pPr>
      <w:rPr>
        <w:rFonts w:ascii="Symbol" w:hAnsi="Symbol" w:hint="default"/>
      </w:rPr>
    </w:lvl>
    <w:lvl w:ilvl="1">
      <w:start w:val="1"/>
      <w:numFmt w:val="upp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bullet"/>
      <w:lvlText w:val=""/>
      <w:lvlJc w:val="left"/>
      <w:pPr>
        <w:ind w:left="3960" w:hanging="360"/>
      </w:pPr>
      <w:rPr>
        <w:rFonts w:ascii="Symbol" w:hAnsi="Symbol" w:hint="default"/>
      </w:rPr>
    </w:lvl>
    <w:lvl w:ilvl="5">
      <w:start w:val="1"/>
      <w:numFmt w:val="bullet"/>
      <w:lvlText w:val="o"/>
      <w:lvlJc w:val="left"/>
      <w:pPr>
        <w:ind w:left="4680" w:hanging="360"/>
      </w:pPr>
      <w:rPr>
        <w:rFonts w:ascii="Courier New" w:hAnsi="Courier New"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10"/>
  </w:num>
  <w:num w:numId="6">
    <w:abstractNumId w:val="7"/>
  </w:num>
  <w:num w:numId="7">
    <w:abstractNumId w:val="0"/>
  </w:num>
  <w:num w:numId="8">
    <w:abstractNumId w:val="1"/>
  </w:num>
  <w:num w:numId="9">
    <w:abstractNumId w:val="11"/>
  </w:num>
  <w:num w:numId="10">
    <w:abstractNumId w:val="9"/>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64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6B"/>
    <w:rsid w:val="0001069B"/>
    <w:rsid w:val="0002013B"/>
    <w:rsid w:val="0002411B"/>
    <w:rsid w:val="00024F9C"/>
    <w:rsid w:val="00046F83"/>
    <w:rsid w:val="000513CC"/>
    <w:rsid w:val="00070ACA"/>
    <w:rsid w:val="000733B3"/>
    <w:rsid w:val="00077BF2"/>
    <w:rsid w:val="00077C5C"/>
    <w:rsid w:val="000875A6"/>
    <w:rsid w:val="000A07BB"/>
    <w:rsid w:val="000A32E3"/>
    <w:rsid w:val="000B2E39"/>
    <w:rsid w:val="000C0B13"/>
    <w:rsid w:val="000C1080"/>
    <w:rsid w:val="000C265D"/>
    <w:rsid w:val="000C3A85"/>
    <w:rsid w:val="000E1D0D"/>
    <w:rsid w:val="000E5E55"/>
    <w:rsid w:val="00124BB4"/>
    <w:rsid w:val="00127B68"/>
    <w:rsid w:val="00134B8A"/>
    <w:rsid w:val="00141E55"/>
    <w:rsid w:val="001563B0"/>
    <w:rsid w:val="00174550"/>
    <w:rsid w:val="00191DED"/>
    <w:rsid w:val="001B6524"/>
    <w:rsid w:val="001B665C"/>
    <w:rsid w:val="001C2A20"/>
    <w:rsid w:val="001C78E8"/>
    <w:rsid w:val="001D20D6"/>
    <w:rsid w:val="001D76F1"/>
    <w:rsid w:val="001D78F1"/>
    <w:rsid w:val="00212FD7"/>
    <w:rsid w:val="00222A89"/>
    <w:rsid w:val="002279E6"/>
    <w:rsid w:val="00235CCE"/>
    <w:rsid w:val="00241053"/>
    <w:rsid w:val="00241612"/>
    <w:rsid w:val="00244B35"/>
    <w:rsid w:val="00261281"/>
    <w:rsid w:val="0027592D"/>
    <w:rsid w:val="00277F88"/>
    <w:rsid w:val="00282527"/>
    <w:rsid w:val="00296681"/>
    <w:rsid w:val="002A1DCA"/>
    <w:rsid w:val="002A24DC"/>
    <w:rsid w:val="002B56A6"/>
    <w:rsid w:val="002D5CD7"/>
    <w:rsid w:val="002E5152"/>
    <w:rsid w:val="002F5FF4"/>
    <w:rsid w:val="00300EA6"/>
    <w:rsid w:val="00310039"/>
    <w:rsid w:val="0031047B"/>
    <w:rsid w:val="00311AE2"/>
    <w:rsid w:val="0031482B"/>
    <w:rsid w:val="00315795"/>
    <w:rsid w:val="00323474"/>
    <w:rsid w:val="003319FC"/>
    <w:rsid w:val="0037417A"/>
    <w:rsid w:val="00381619"/>
    <w:rsid w:val="00393957"/>
    <w:rsid w:val="003A1AA8"/>
    <w:rsid w:val="003B219C"/>
    <w:rsid w:val="003B33C5"/>
    <w:rsid w:val="003B445C"/>
    <w:rsid w:val="003B75E9"/>
    <w:rsid w:val="003C2691"/>
    <w:rsid w:val="003C2DB1"/>
    <w:rsid w:val="003D7D03"/>
    <w:rsid w:val="003E2EEF"/>
    <w:rsid w:val="003E7F98"/>
    <w:rsid w:val="003F214A"/>
    <w:rsid w:val="004048F7"/>
    <w:rsid w:val="00406AA4"/>
    <w:rsid w:val="00407157"/>
    <w:rsid w:val="00416E21"/>
    <w:rsid w:val="004239D4"/>
    <w:rsid w:val="00423E56"/>
    <w:rsid w:val="00426150"/>
    <w:rsid w:val="00431134"/>
    <w:rsid w:val="00431D66"/>
    <w:rsid w:val="0044256A"/>
    <w:rsid w:val="00442BD8"/>
    <w:rsid w:val="0044690F"/>
    <w:rsid w:val="00450437"/>
    <w:rsid w:val="00453A4F"/>
    <w:rsid w:val="0046112E"/>
    <w:rsid w:val="00467548"/>
    <w:rsid w:val="00471401"/>
    <w:rsid w:val="0047181F"/>
    <w:rsid w:val="00483567"/>
    <w:rsid w:val="004900C1"/>
    <w:rsid w:val="004A2659"/>
    <w:rsid w:val="004A5D6B"/>
    <w:rsid w:val="004D0644"/>
    <w:rsid w:val="004D6B65"/>
    <w:rsid w:val="004F68CA"/>
    <w:rsid w:val="00510306"/>
    <w:rsid w:val="00511023"/>
    <w:rsid w:val="00511D5C"/>
    <w:rsid w:val="0052722F"/>
    <w:rsid w:val="00530A58"/>
    <w:rsid w:val="00534154"/>
    <w:rsid w:val="00542E26"/>
    <w:rsid w:val="00550CB4"/>
    <w:rsid w:val="00555902"/>
    <w:rsid w:val="0056063A"/>
    <w:rsid w:val="0056121D"/>
    <w:rsid w:val="005C16B1"/>
    <w:rsid w:val="005D5801"/>
    <w:rsid w:val="005E5B5B"/>
    <w:rsid w:val="00602A9D"/>
    <w:rsid w:val="00605599"/>
    <w:rsid w:val="00606C85"/>
    <w:rsid w:val="00612CE2"/>
    <w:rsid w:val="00635191"/>
    <w:rsid w:val="00643364"/>
    <w:rsid w:val="006473FA"/>
    <w:rsid w:val="00654007"/>
    <w:rsid w:val="006611B3"/>
    <w:rsid w:val="0066406F"/>
    <w:rsid w:val="00671621"/>
    <w:rsid w:val="00677DC7"/>
    <w:rsid w:val="00687EFF"/>
    <w:rsid w:val="0069099C"/>
    <w:rsid w:val="0069165C"/>
    <w:rsid w:val="006A1040"/>
    <w:rsid w:val="006B2912"/>
    <w:rsid w:val="006E4118"/>
    <w:rsid w:val="006F0B06"/>
    <w:rsid w:val="006F2EC2"/>
    <w:rsid w:val="006F366A"/>
    <w:rsid w:val="0070618A"/>
    <w:rsid w:val="00717793"/>
    <w:rsid w:val="00721623"/>
    <w:rsid w:val="00724AB9"/>
    <w:rsid w:val="0073363D"/>
    <w:rsid w:val="007342D5"/>
    <w:rsid w:val="00736420"/>
    <w:rsid w:val="00740B94"/>
    <w:rsid w:val="007556CF"/>
    <w:rsid w:val="007631F7"/>
    <w:rsid w:val="00767930"/>
    <w:rsid w:val="0078111D"/>
    <w:rsid w:val="007868FE"/>
    <w:rsid w:val="007B4174"/>
    <w:rsid w:val="007B5A28"/>
    <w:rsid w:val="007C226A"/>
    <w:rsid w:val="007C74D7"/>
    <w:rsid w:val="007E3056"/>
    <w:rsid w:val="007E7A47"/>
    <w:rsid w:val="0080699D"/>
    <w:rsid w:val="00807890"/>
    <w:rsid w:val="008113BB"/>
    <w:rsid w:val="0081191C"/>
    <w:rsid w:val="00815DAF"/>
    <w:rsid w:val="00827715"/>
    <w:rsid w:val="00827A9D"/>
    <w:rsid w:val="00836A89"/>
    <w:rsid w:val="00837679"/>
    <w:rsid w:val="008405B9"/>
    <w:rsid w:val="0085718B"/>
    <w:rsid w:val="008571B2"/>
    <w:rsid w:val="008729AB"/>
    <w:rsid w:val="00890C06"/>
    <w:rsid w:val="008C1538"/>
    <w:rsid w:val="008C16A9"/>
    <w:rsid w:val="008C1C45"/>
    <w:rsid w:val="008D369A"/>
    <w:rsid w:val="008E2BDB"/>
    <w:rsid w:val="008E459F"/>
    <w:rsid w:val="008F1C56"/>
    <w:rsid w:val="008F32BE"/>
    <w:rsid w:val="00902FE1"/>
    <w:rsid w:val="00931400"/>
    <w:rsid w:val="0093358B"/>
    <w:rsid w:val="00933680"/>
    <w:rsid w:val="0093641B"/>
    <w:rsid w:val="009553F0"/>
    <w:rsid w:val="00956EAD"/>
    <w:rsid w:val="00961E42"/>
    <w:rsid w:val="00996D7A"/>
    <w:rsid w:val="009A591B"/>
    <w:rsid w:val="009B73D5"/>
    <w:rsid w:val="009C682B"/>
    <w:rsid w:val="00A35696"/>
    <w:rsid w:val="00A36F57"/>
    <w:rsid w:val="00A44650"/>
    <w:rsid w:val="00A56D3F"/>
    <w:rsid w:val="00A61241"/>
    <w:rsid w:val="00A61FAC"/>
    <w:rsid w:val="00A625DC"/>
    <w:rsid w:val="00A6403E"/>
    <w:rsid w:val="00A64EE0"/>
    <w:rsid w:val="00AA7770"/>
    <w:rsid w:val="00AD1764"/>
    <w:rsid w:val="00AD2573"/>
    <w:rsid w:val="00AD69C3"/>
    <w:rsid w:val="00B04C33"/>
    <w:rsid w:val="00B16481"/>
    <w:rsid w:val="00B16FA7"/>
    <w:rsid w:val="00B3679B"/>
    <w:rsid w:val="00B4428E"/>
    <w:rsid w:val="00B46967"/>
    <w:rsid w:val="00B51ACB"/>
    <w:rsid w:val="00B82B88"/>
    <w:rsid w:val="00BA0734"/>
    <w:rsid w:val="00BA739F"/>
    <w:rsid w:val="00BE2932"/>
    <w:rsid w:val="00BE3009"/>
    <w:rsid w:val="00BE4762"/>
    <w:rsid w:val="00BF0266"/>
    <w:rsid w:val="00C05401"/>
    <w:rsid w:val="00C1666D"/>
    <w:rsid w:val="00C22713"/>
    <w:rsid w:val="00C302E2"/>
    <w:rsid w:val="00C33EBA"/>
    <w:rsid w:val="00C37272"/>
    <w:rsid w:val="00C47590"/>
    <w:rsid w:val="00C6154E"/>
    <w:rsid w:val="00C730C0"/>
    <w:rsid w:val="00C75F82"/>
    <w:rsid w:val="00C85429"/>
    <w:rsid w:val="00CC311D"/>
    <w:rsid w:val="00CD542B"/>
    <w:rsid w:val="00CD627D"/>
    <w:rsid w:val="00CE1544"/>
    <w:rsid w:val="00CE483E"/>
    <w:rsid w:val="00CE713A"/>
    <w:rsid w:val="00CF3208"/>
    <w:rsid w:val="00D1149E"/>
    <w:rsid w:val="00D403F9"/>
    <w:rsid w:val="00D4296D"/>
    <w:rsid w:val="00D44386"/>
    <w:rsid w:val="00D50CCA"/>
    <w:rsid w:val="00D52C9D"/>
    <w:rsid w:val="00D622C9"/>
    <w:rsid w:val="00D641D3"/>
    <w:rsid w:val="00D773EC"/>
    <w:rsid w:val="00D809D6"/>
    <w:rsid w:val="00D86EC0"/>
    <w:rsid w:val="00D927AC"/>
    <w:rsid w:val="00D9486A"/>
    <w:rsid w:val="00DA1DFD"/>
    <w:rsid w:val="00DA5A53"/>
    <w:rsid w:val="00DB11D4"/>
    <w:rsid w:val="00DD43D2"/>
    <w:rsid w:val="00DE0C01"/>
    <w:rsid w:val="00DE3B7D"/>
    <w:rsid w:val="00DE4A14"/>
    <w:rsid w:val="00DF1C1B"/>
    <w:rsid w:val="00E00835"/>
    <w:rsid w:val="00E13B2C"/>
    <w:rsid w:val="00E2117E"/>
    <w:rsid w:val="00E23EF0"/>
    <w:rsid w:val="00E31519"/>
    <w:rsid w:val="00E3500E"/>
    <w:rsid w:val="00E35EAF"/>
    <w:rsid w:val="00E51F0C"/>
    <w:rsid w:val="00E70AD5"/>
    <w:rsid w:val="00E86055"/>
    <w:rsid w:val="00EA5BF4"/>
    <w:rsid w:val="00EB4094"/>
    <w:rsid w:val="00EB42D1"/>
    <w:rsid w:val="00ED39EF"/>
    <w:rsid w:val="00EF0AF7"/>
    <w:rsid w:val="00F5648A"/>
    <w:rsid w:val="00F651FF"/>
    <w:rsid w:val="00F670B0"/>
    <w:rsid w:val="00F70859"/>
    <w:rsid w:val="00F76910"/>
    <w:rsid w:val="00F76FE4"/>
    <w:rsid w:val="00F82514"/>
    <w:rsid w:val="00F92DCA"/>
    <w:rsid w:val="00FA3443"/>
    <w:rsid w:val="00FA770C"/>
    <w:rsid w:val="00FB0037"/>
    <w:rsid w:val="00FC1236"/>
    <w:rsid w:val="00FF17F7"/>
    <w:rsid w:val="00FF32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14FD29F-077D-47F3-97F1-847FE0C8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6B"/>
  </w:style>
  <w:style w:type="paragraph" w:styleId="Heading1">
    <w:name w:val="heading 1"/>
    <w:basedOn w:val="ListParagraph"/>
    <w:next w:val="Normal"/>
    <w:link w:val="Heading1Char"/>
    <w:uiPriority w:val="9"/>
    <w:qFormat/>
    <w:rsid w:val="004A5D6B"/>
    <w:pPr>
      <w:numPr>
        <w:numId w:val="2"/>
      </w:numPr>
      <w:outlineLvl w:val="0"/>
    </w:pPr>
    <w:rPr>
      <w:rFonts w:ascii="Times New Roman" w:hAnsi="Times New Roman" w:cs="Times New Roman"/>
      <w:b/>
      <w:u w:val="single"/>
    </w:rPr>
  </w:style>
  <w:style w:type="paragraph" w:styleId="Heading2">
    <w:name w:val="heading 2"/>
    <w:basedOn w:val="ListParagraph"/>
    <w:next w:val="Normal"/>
    <w:link w:val="Heading2Char"/>
    <w:uiPriority w:val="9"/>
    <w:unhideWhenUsed/>
    <w:qFormat/>
    <w:rsid w:val="006473FA"/>
    <w:pPr>
      <w:numPr>
        <w:numId w:val="4"/>
      </w:numPr>
      <w:outlineLvl w:val="1"/>
    </w:pPr>
    <w:rPr>
      <w:rFonts w:ascii="Times New Roman" w:hAnsi="Times New Roman" w:cs="Times New Roman"/>
      <w:b/>
    </w:rPr>
  </w:style>
  <w:style w:type="paragraph" w:styleId="Heading3">
    <w:name w:val="heading 3"/>
    <w:basedOn w:val="ListParagraph"/>
    <w:next w:val="Normal"/>
    <w:link w:val="Heading3Char"/>
    <w:uiPriority w:val="9"/>
    <w:unhideWhenUsed/>
    <w:qFormat/>
    <w:rsid w:val="006473FA"/>
    <w:pPr>
      <w:numPr>
        <w:numId w:val="5"/>
      </w:numPr>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D6B"/>
  </w:style>
  <w:style w:type="paragraph" w:styleId="Footer">
    <w:name w:val="footer"/>
    <w:basedOn w:val="Normal"/>
    <w:link w:val="FooterChar"/>
    <w:uiPriority w:val="99"/>
    <w:unhideWhenUsed/>
    <w:rsid w:val="004A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6B"/>
  </w:style>
  <w:style w:type="character" w:customStyle="1" w:styleId="Heading1Char">
    <w:name w:val="Heading 1 Char"/>
    <w:basedOn w:val="DefaultParagraphFont"/>
    <w:link w:val="Heading1"/>
    <w:uiPriority w:val="9"/>
    <w:rsid w:val="004A5D6B"/>
    <w:rPr>
      <w:rFonts w:ascii="Times New Roman" w:hAnsi="Times New Roman" w:cs="Times New Roman"/>
      <w:b/>
      <w:u w:val="single"/>
    </w:rPr>
  </w:style>
  <w:style w:type="paragraph" w:styleId="TOCHeading">
    <w:name w:val="TOC Heading"/>
    <w:basedOn w:val="Heading1"/>
    <w:next w:val="Normal"/>
    <w:uiPriority w:val="39"/>
    <w:unhideWhenUsed/>
    <w:qFormat/>
    <w:rsid w:val="004A5D6B"/>
    <w:pPr>
      <w:tabs>
        <w:tab w:val="left" w:pos="720"/>
      </w:tabs>
      <w:outlineLvl w:val="9"/>
    </w:pPr>
  </w:style>
  <w:style w:type="paragraph" w:styleId="TOC1">
    <w:name w:val="toc 1"/>
    <w:basedOn w:val="Normal"/>
    <w:next w:val="Normal"/>
    <w:autoRedefine/>
    <w:uiPriority w:val="39"/>
    <w:unhideWhenUsed/>
    <w:rsid w:val="007B5A28"/>
    <w:pPr>
      <w:tabs>
        <w:tab w:val="left" w:pos="450"/>
        <w:tab w:val="right" w:leader="dot" w:pos="9350"/>
      </w:tabs>
      <w:spacing w:before="120" w:after="100"/>
    </w:pPr>
    <w:rPr>
      <w:rFonts w:eastAsiaTheme="minorEastAsia" w:cs="Times New Roman"/>
    </w:rPr>
  </w:style>
  <w:style w:type="paragraph" w:styleId="ListParagraph">
    <w:name w:val="List Paragraph"/>
    <w:basedOn w:val="Normal"/>
    <w:uiPriority w:val="34"/>
    <w:qFormat/>
    <w:rsid w:val="004A5D6B"/>
    <w:pPr>
      <w:ind w:left="720"/>
      <w:contextualSpacing/>
    </w:pPr>
  </w:style>
  <w:style w:type="character" w:styleId="Hyperlink">
    <w:name w:val="Hyperlink"/>
    <w:basedOn w:val="DefaultParagraphFont"/>
    <w:uiPriority w:val="99"/>
    <w:unhideWhenUsed/>
    <w:rsid w:val="004A5D6B"/>
    <w:rPr>
      <w:color w:val="0563C1" w:themeColor="hyperlink"/>
      <w:u w:val="single"/>
    </w:rPr>
  </w:style>
  <w:style w:type="paragraph" w:styleId="FootnoteText">
    <w:name w:val="footnote text"/>
    <w:basedOn w:val="Normal"/>
    <w:link w:val="FootnoteTextChar"/>
    <w:uiPriority w:val="99"/>
    <w:semiHidden/>
    <w:unhideWhenUsed/>
    <w:rsid w:val="00DD4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3D2"/>
    <w:rPr>
      <w:sz w:val="20"/>
      <w:szCs w:val="20"/>
    </w:rPr>
  </w:style>
  <w:style w:type="character" w:styleId="FootnoteReference">
    <w:name w:val="footnote reference"/>
    <w:basedOn w:val="DefaultParagraphFont"/>
    <w:uiPriority w:val="99"/>
    <w:semiHidden/>
    <w:unhideWhenUsed/>
    <w:rsid w:val="00DD43D2"/>
    <w:rPr>
      <w:vertAlign w:val="superscript"/>
    </w:rPr>
  </w:style>
  <w:style w:type="character" w:customStyle="1" w:styleId="Heading2Char">
    <w:name w:val="Heading 2 Char"/>
    <w:basedOn w:val="DefaultParagraphFont"/>
    <w:link w:val="Heading2"/>
    <w:uiPriority w:val="9"/>
    <w:rsid w:val="006473FA"/>
    <w:rPr>
      <w:rFonts w:ascii="Times New Roman" w:hAnsi="Times New Roman" w:cs="Times New Roman"/>
      <w:b/>
    </w:rPr>
  </w:style>
  <w:style w:type="paragraph" w:styleId="TOC2">
    <w:name w:val="toc 2"/>
    <w:basedOn w:val="Normal"/>
    <w:next w:val="Normal"/>
    <w:autoRedefine/>
    <w:uiPriority w:val="39"/>
    <w:unhideWhenUsed/>
    <w:rsid w:val="007B5A28"/>
    <w:pPr>
      <w:numPr>
        <w:numId w:val="13"/>
      </w:numPr>
      <w:tabs>
        <w:tab w:val="left" w:pos="450"/>
        <w:tab w:val="left" w:pos="900"/>
        <w:tab w:val="right" w:leader="dot" w:pos="9350"/>
      </w:tabs>
      <w:spacing w:after="0" w:line="240" w:lineRule="auto"/>
      <w:ind w:left="900" w:hanging="450"/>
    </w:pPr>
  </w:style>
  <w:style w:type="character" w:customStyle="1" w:styleId="Heading3Char">
    <w:name w:val="Heading 3 Char"/>
    <w:basedOn w:val="DefaultParagraphFont"/>
    <w:link w:val="Heading3"/>
    <w:uiPriority w:val="9"/>
    <w:rsid w:val="006473FA"/>
    <w:rPr>
      <w:rFonts w:ascii="Times New Roman" w:hAnsi="Times New Roman" w:cs="Times New Roman"/>
      <w:b/>
    </w:rPr>
  </w:style>
  <w:style w:type="paragraph" w:styleId="TOC3">
    <w:name w:val="toc 3"/>
    <w:basedOn w:val="Normal"/>
    <w:next w:val="Normal"/>
    <w:autoRedefine/>
    <w:uiPriority w:val="39"/>
    <w:unhideWhenUsed/>
    <w:rsid w:val="006473FA"/>
    <w:pPr>
      <w:spacing w:after="100"/>
      <w:ind w:left="440"/>
    </w:pPr>
  </w:style>
  <w:style w:type="character" w:customStyle="1" w:styleId="UnresolvedMention1">
    <w:name w:val="Unresolved Mention1"/>
    <w:basedOn w:val="DefaultParagraphFont"/>
    <w:uiPriority w:val="99"/>
    <w:semiHidden/>
    <w:unhideWhenUsed/>
    <w:rsid w:val="001563B0"/>
    <w:rPr>
      <w:color w:val="808080"/>
      <w:shd w:val="clear" w:color="auto" w:fill="E6E6E6"/>
    </w:rPr>
  </w:style>
  <w:style w:type="paragraph" w:customStyle="1" w:styleId="ParaNum">
    <w:name w:val="ParaNum"/>
    <w:basedOn w:val="Normal"/>
    <w:link w:val="ParaNumChar"/>
    <w:rsid w:val="00931400"/>
    <w:pPr>
      <w:widowControl w:val="0"/>
      <w:numPr>
        <w:numId w:val="9"/>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931400"/>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B82B88"/>
    <w:rPr>
      <w:color w:val="954F72" w:themeColor="followedHyperlink"/>
      <w:u w:val="single"/>
    </w:rPr>
  </w:style>
  <w:style w:type="paragraph" w:styleId="BalloonText">
    <w:name w:val="Balloon Text"/>
    <w:basedOn w:val="Normal"/>
    <w:link w:val="BalloonTextChar"/>
    <w:uiPriority w:val="99"/>
    <w:semiHidden/>
    <w:unhideWhenUsed/>
    <w:rsid w:val="00B8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B88"/>
    <w:rPr>
      <w:rFonts w:ascii="Segoe UI" w:hAnsi="Segoe UI" w:cs="Segoe UI"/>
      <w:sz w:val="18"/>
      <w:szCs w:val="18"/>
    </w:rPr>
  </w:style>
  <w:style w:type="character" w:styleId="CommentReference">
    <w:name w:val="annotation reference"/>
    <w:uiPriority w:val="99"/>
    <w:semiHidden/>
    <w:unhideWhenUsed/>
    <w:rsid w:val="00BE4762"/>
    <w:rPr>
      <w:sz w:val="16"/>
      <w:szCs w:val="16"/>
    </w:rPr>
  </w:style>
  <w:style w:type="paragraph" w:styleId="CommentText">
    <w:name w:val="annotation text"/>
    <w:basedOn w:val="Normal"/>
    <w:link w:val="CommentTextChar"/>
    <w:uiPriority w:val="99"/>
    <w:unhideWhenUsed/>
    <w:rsid w:val="00BE4762"/>
    <w:rPr>
      <w:sz w:val="20"/>
    </w:rPr>
  </w:style>
  <w:style w:type="character" w:customStyle="1" w:styleId="CommentTextChar">
    <w:name w:val="Comment Text Char"/>
    <w:basedOn w:val="DefaultParagraphFont"/>
    <w:link w:val="CommentText"/>
    <w:uiPriority w:val="99"/>
    <w:rsid w:val="00BE4762"/>
    <w:rPr>
      <w:sz w:val="20"/>
    </w:rPr>
  </w:style>
  <w:style w:type="paragraph" w:styleId="CommentSubject">
    <w:name w:val="annotation subject"/>
    <w:basedOn w:val="CommentText"/>
    <w:next w:val="CommentText"/>
    <w:link w:val="CommentSubjectChar"/>
    <w:uiPriority w:val="99"/>
    <w:semiHidden/>
    <w:unhideWhenUsed/>
    <w:rsid w:val="00717793"/>
    <w:pPr>
      <w:spacing w:line="240" w:lineRule="auto"/>
    </w:pPr>
    <w:rPr>
      <w:b/>
      <w:bCs/>
      <w:szCs w:val="20"/>
    </w:rPr>
  </w:style>
  <w:style w:type="character" w:customStyle="1" w:styleId="CommentSubjectChar">
    <w:name w:val="Comment Subject Char"/>
    <w:basedOn w:val="CommentTextChar"/>
    <w:link w:val="CommentSubject"/>
    <w:uiPriority w:val="99"/>
    <w:semiHidden/>
    <w:rsid w:val="00717793"/>
    <w:rPr>
      <w:b/>
      <w:bCs/>
      <w:sz w:val="20"/>
      <w:szCs w:val="20"/>
    </w:rPr>
  </w:style>
  <w:style w:type="paragraph" w:styleId="Revision">
    <w:name w:val="Revision"/>
    <w:hidden/>
    <w:uiPriority w:val="99"/>
    <w:semiHidden/>
    <w:rsid w:val="00C22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apps.fcc.gov/edocs_public/attachmatch/FCC-17-152A1.pdf" TargetMode="External" /><Relationship Id="rId8" Type="http://schemas.openxmlformats.org/officeDocument/2006/relationships/hyperlink" Target="https://www.gpo.gov/fdsys/pkg/FR-2018-01-02/pdf/2017-27437.pdf" TargetMode="Externa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law.cornell.edu/definitions/index.php?width=840&amp;height=800&amp;iframe=true&amp;def_id=ec0f841baebb6ddab3bb9ff7e69ad5e9&amp;term_occur=1&amp;term_src=Title:47:Chapter:I:Subchapter:B:Part:30:Subpart:B:30.104"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