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63FF6" w:rsidRPr="00DF068F" w:rsidP="00063FF6">
      <w:pPr>
        <w:jc w:val="right"/>
        <w:rPr>
          <w:b/>
          <w:szCs w:val="22"/>
        </w:rPr>
      </w:pPr>
      <w:r w:rsidRPr="00DF068F">
        <w:rPr>
          <w:b/>
          <w:szCs w:val="22"/>
        </w:rPr>
        <w:t xml:space="preserve">DA </w:t>
      </w:r>
      <w:r w:rsidRPr="00DF068F">
        <w:rPr>
          <w:b/>
          <w:szCs w:val="22"/>
        </w:rPr>
        <w:t>18-</w:t>
      </w:r>
      <w:r w:rsidRPr="00DF068F">
        <w:rPr>
          <w:b/>
          <w:szCs w:val="22"/>
        </w:rPr>
        <w:t>907</w:t>
      </w:r>
    </w:p>
    <w:p w:rsidR="004E4D6B" w:rsidRPr="00DF068F" w:rsidP="00063FF6">
      <w:pPr>
        <w:jc w:val="right"/>
        <w:rPr>
          <w:b/>
          <w:szCs w:val="22"/>
        </w:rPr>
      </w:pPr>
      <w:r w:rsidRPr="00DF068F">
        <w:rPr>
          <w:b/>
          <w:szCs w:val="22"/>
        </w:rPr>
        <w:t>September 0</w:t>
      </w:r>
      <w:r w:rsidRPr="00DF068F">
        <w:rPr>
          <w:b/>
          <w:szCs w:val="22"/>
        </w:rPr>
        <w:t>6</w:t>
      </w:r>
      <w:r w:rsidRPr="00DF068F">
        <w:rPr>
          <w:b/>
          <w:szCs w:val="22"/>
        </w:rPr>
        <w:t>, 2018</w:t>
      </w:r>
    </w:p>
    <w:p w:rsidR="00C82B6B" w:rsidRPr="00DF068F" w:rsidP="00C82B6B">
      <w:pPr>
        <w:jc w:val="right"/>
        <w:rPr>
          <w:b/>
          <w:sz w:val="24"/>
        </w:rPr>
      </w:pPr>
    </w:p>
    <w:p w:rsidR="00C82B6B" w:rsidRPr="00DF068F" w:rsidP="00C82B6B">
      <w:pPr>
        <w:spacing w:after="240"/>
        <w:jc w:val="center"/>
        <w:rPr>
          <w:b/>
          <w:szCs w:val="22"/>
        </w:rPr>
      </w:pPr>
      <w:r w:rsidRPr="00DF068F">
        <w:rPr>
          <w:b/>
          <w:szCs w:val="22"/>
        </w:rPr>
        <w:t>S</w:t>
      </w:r>
      <w:r w:rsidRPr="00DF068F">
        <w:rPr>
          <w:b/>
          <w:szCs w:val="22"/>
        </w:rPr>
        <w:t xml:space="preserve">ETTLEMENT PERIOD ANNOUNCED FOR </w:t>
      </w:r>
      <w:r w:rsidRPr="00DF068F">
        <w:rPr>
          <w:b/>
          <w:szCs w:val="22"/>
        </w:rPr>
        <w:t xml:space="preserve">CERTAIN </w:t>
      </w:r>
      <w:r w:rsidRPr="00DF068F">
        <w:rPr>
          <w:b/>
          <w:szCs w:val="22"/>
        </w:rPr>
        <w:t>FM TRANSLATOR</w:t>
      </w:r>
      <w:r w:rsidRPr="00DF068F">
        <w:rPr>
          <w:b/>
          <w:szCs w:val="22"/>
        </w:rPr>
        <w:t xml:space="preserve"> </w:t>
      </w:r>
      <w:r w:rsidRPr="00DF068F">
        <w:rPr>
          <w:b/>
          <w:szCs w:val="22"/>
        </w:rPr>
        <w:t>M</w:t>
      </w:r>
      <w:r w:rsidRPr="00DF068F">
        <w:rPr>
          <w:b/>
          <w:szCs w:val="22"/>
        </w:rPr>
        <w:t xml:space="preserve">UTUALLY EXCLUSIVE APPLICATIONS </w:t>
      </w:r>
    </w:p>
    <w:p w:rsidR="004E4D6B" w:rsidRPr="00DF068F" w:rsidP="004E4D6B">
      <w:pPr>
        <w:jc w:val="center"/>
        <w:rPr>
          <w:b/>
          <w:szCs w:val="22"/>
        </w:rPr>
      </w:pPr>
      <w:r w:rsidRPr="00DF068F">
        <w:rPr>
          <w:b/>
          <w:szCs w:val="22"/>
        </w:rPr>
        <w:t>Technical Amendments a</w:t>
      </w:r>
      <w:r w:rsidRPr="00DF068F">
        <w:rPr>
          <w:b/>
          <w:szCs w:val="22"/>
        </w:rPr>
        <w:t xml:space="preserve">nd Settlement Agreements Due by </w:t>
      </w:r>
      <w:r w:rsidRPr="00DF068F">
        <w:rPr>
          <w:b/>
          <w:szCs w:val="22"/>
        </w:rPr>
        <w:t>September</w:t>
      </w:r>
      <w:r w:rsidRPr="00DF068F">
        <w:rPr>
          <w:b/>
          <w:szCs w:val="22"/>
        </w:rPr>
        <w:t xml:space="preserve"> </w:t>
      </w:r>
      <w:r w:rsidRPr="00DF068F">
        <w:rPr>
          <w:b/>
          <w:szCs w:val="22"/>
        </w:rPr>
        <w:t>20</w:t>
      </w:r>
      <w:r w:rsidRPr="00DF068F">
        <w:rPr>
          <w:b/>
          <w:szCs w:val="22"/>
        </w:rPr>
        <w:t>,</w:t>
      </w:r>
      <w:r w:rsidRPr="00DF068F">
        <w:rPr>
          <w:b/>
          <w:szCs w:val="22"/>
        </w:rPr>
        <w:t xml:space="preserve"> 2018</w:t>
      </w:r>
    </w:p>
    <w:p w:rsidR="00C82B6B" w:rsidRPr="00DF068F" w:rsidP="00C82B6B">
      <w:pPr>
        <w:jc w:val="center"/>
        <w:rPr>
          <w:b/>
          <w:sz w:val="24"/>
        </w:rPr>
      </w:pPr>
    </w:p>
    <w:p w:rsidR="00C544E8" w:rsidRPr="00DF068F" w:rsidP="00C544E8">
      <w:pPr>
        <w:pStyle w:val="ParaNum"/>
        <w:rPr>
          <w:snapToGrid/>
          <w:kern w:val="0"/>
          <w:szCs w:val="22"/>
        </w:rPr>
      </w:pPr>
      <w:r w:rsidRPr="00DF068F">
        <w:rPr>
          <w:snapToGrid/>
        </w:rPr>
        <w:t xml:space="preserve">In this Public Notice, the Media Bureau identifies all remaining </w:t>
      </w:r>
      <w:r w:rsidRPr="00DF068F">
        <w:rPr>
          <w:snapToGrid/>
        </w:rPr>
        <w:t xml:space="preserve">engineering </w:t>
      </w:r>
      <w:r w:rsidRPr="00DF068F">
        <w:rPr>
          <w:snapToGrid/>
        </w:rPr>
        <w:t xml:space="preserve">proposals for new FM translators filed in the January 25–January 31, 2018, filing window (Auction 100) that are mutually exclusive with other </w:t>
      </w:r>
      <w:r w:rsidRPr="00DF068F">
        <w:rPr>
          <w:snapToGrid/>
        </w:rPr>
        <w:t xml:space="preserve">engineering </w:t>
      </w:r>
      <w:r w:rsidRPr="00DF068F">
        <w:rPr>
          <w:snapToGrid/>
        </w:rPr>
        <w:t>proposals submitted in th</w:t>
      </w:r>
      <w:r w:rsidRPr="00DF068F">
        <w:rPr>
          <w:snapToGrid/>
        </w:rPr>
        <w:t>e filing window, and announce</w:t>
      </w:r>
      <w:r w:rsidRPr="00DF068F">
        <w:rPr>
          <w:snapToGrid/>
        </w:rPr>
        <w:t>s</w:t>
      </w:r>
      <w:r w:rsidRPr="00DF068F">
        <w:rPr>
          <w:snapToGrid/>
        </w:rPr>
        <w:t xml:space="preserve"> a limited period for those applicants to enter into settlement agreements or otherwise resolve their mutual exclusivities by means of engineering solutions.</w:t>
      </w:r>
      <w:r>
        <w:rPr>
          <w:snapToGrid/>
          <w:vertAlign w:val="superscript"/>
        </w:rPr>
        <w:footnoteReference w:id="3"/>
      </w:r>
      <w:r w:rsidRPr="00DF068F">
        <w:rPr>
          <w:snapToGrid/>
        </w:rPr>
        <w:t xml:space="preserve">  This limited settlement period will begin </w:t>
      </w:r>
      <w:r w:rsidRPr="00DF068F">
        <w:rPr>
          <w:snapToGrid/>
        </w:rPr>
        <w:t xml:space="preserve">upon release of this Public Notice </w:t>
      </w:r>
      <w:r w:rsidRPr="00DF068F">
        <w:rPr>
          <w:snapToGrid/>
        </w:rPr>
        <w:t>and end at 6:00 p</w:t>
      </w:r>
      <w:r w:rsidRPr="00DF068F">
        <w:rPr>
          <w:snapToGrid/>
        </w:rPr>
        <w:t>.</w:t>
      </w:r>
      <w:r w:rsidRPr="00DF068F">
        <w:rPr>
          <w:snapToGrid/>
        </w:rPr>
        <w:t>m</w:t>
      </w:r>
      <w:r w:rsidRPr="00DF068F">
        <w:rPr>
          <w:snapToGrid/>
        </w:rPr>
        <w:t>. Eastern Time (ET)</w:t>
      </w:r>
      <w:r w:rsidRPr="00DF068F">
        <w:rPr>
          <w:snapToGrid/>
        </w:rPr>
        <w:t xml:space="preserve"> on September </w:t>
      </w:r>
      <w:r w:rsidRPr="00DF068F">
        <w:rPr>
          <w:snapToGrid/>
        </w:rPr>
        <w:t>20</w:t>
      </w:r>
      <w:r w:rsidRPr="00DF068F">
        <w:rPr>
          <w:snapToGrid/>
        </w:rPr>
        <w:t>, 2018 (settlement period).</w:t>
      </w:r>
      <w:r w:rsidRPr="00DF068F">
        <w:rPr>
          <w:snapToGrid/>
        </w:rPr>
        <w:t xml:space="preserve"> </w:t>
      </w:r>
      <w:r w:rsidRPr="00DF068F">
        <w:rPr>
          <w:snapToGrid/>
        </w:rPr>
        <w:t xml:space="preserve"> Parties seeking to resolve mutual exclusivities must file a technical resolution amendment or a joint request for approval of their settle</w:t>
      </w:r>
      <w:r w:rsidRPr="00DF068F">
        <w:rPr>
          <w:snapToGrid/>
        </w:rPr>
        <w:t xml:space="preserve">ment agreement before 6:00 </w:t>
      </w:r>
      <w:r w:rsidRPr="00DF068F">
        <w:rPr>
          <w:snapToGrid/>
        </w:rPr>
        <w:t>p.m.</w:t>
      </w:r>
      <w:r w:rsidRPr="00DF068F">
        <w:rPr>
          <w:snapToGrid/>
        </w:rPr>
        <w:t xml:space="preserve"> on September </w:t>
      </w:r>
      <w:r w:rsidRPr="00DF068F">
        <w:rPr>
          <w:snapToGrid/>
        </w:rPr>
        <w:t>20</w:t>
      </w:r>
      <w:r w:rsidRPr="00DF068F">
        <w:rPr>
          <w:snapToGrid/>
        </w:rPr>
        <w:t xml:space="preserve">, 2018, and otherwise comply with the terms of this </w:t>
      </w:r>
      <w:r w:rsidRPr="00DF068F">
        <w:rPr>
          <w:snapToGrid/>
        </w:rPr>
        <w:t>P</w:t>
      </w:r>
      <w:r w:rsidRPr="00DF068F">
        <w:rPr>
          <w:snapToGrid/>
        </w:rPr>
        <w:t xml:space="preserve">ublic </w:t>
      </w:r>
      <w:r w:rsidRPr="00DF068F">
        <w:rPr>
          <w:snapToGrid/>
        </w:rPr>
        <w:t>N</w:t>
      </w:r>
      <w:r w:rsidRPr="00DF068F">
        <w:rPr>
          <w:snapToGrid/>
        </w:rPr>
        <w:t>otice.</w:t>
      </w:r>
    </w:p>
    <w:p w:rsidR="00C544E8" w:rsidRPr="00C544E8" w:rsidP="00C544E8">
      <w:pPr>
        <w:pStyle w:val="ParaNum"/>
        <w:rPr>
          <w:snapToGrid/>
          <w:kern w:val="0"/>
        </w:rPr>
      </w:pPr>
      <w:r w:rsidRPr="00DF068F">
        <w:rPr>
          <w:b/>
          <w:i/>
          <w:snapToGrid/>
        </w:rPr>
        <w:t>MX</w:t>
      </w:r>
      <w:r w:rsidRPr="00DF068F">
        <w:rPr>
          <w:snapToGrid/>
        </w:rPr>
        <w:t xml:space="preserve"> </w:t>
      </w:r>
      <w:r w:rsidRPr="00DF068F">
        <w:rPr>
          <w:b/>
          <w:i/>
          <w:snapToGrid/>
        </w:rPr>
        <w:t>Groups.</w:t>
      </w:r>
      <w:r w:rsidRPr="00DF068F">
        <w:rPr>
          <w:snapToGrid/>
        </w:rPr>
        <w:t xml:space="preserve">  Attachment A to this Public Notice lists all </w:t>
      </w:r>
      <w:r w:rsidRPr="00DF068F">
        <w:rPr>
          <w:snapToGrid/>
        </w:rPr>
        <w:t>remaining</w:t>
      </w:r>
      <w:r>
        <w:rPr>
          <w:snapToGrid/>
        </w:rPr>
        <w:t xml:space="preserve"> </w:t>
      </w:r>
      <w:r w:rsidRPr="0092490C">
        <w:rPr>
          <w:snapToGrid/>
        </w:rPr>
        <w:t>mutually exclusive</w:t>
      </w:r>
      <w:r>
        <w:rPr>
          <w:snapToGrid/>
        </w:rPr>
        <w:t xml:space="preserve"> (MX)</w:t>
      </w:r>
      <w:r w:rsidRPr="0092490C">
        <w:rPr>
          <w:snapToGrid/>
        </w:rPr>
        <w:t xml:space="preserve"> FM translator engineering proposals filed in the </w:t>
      </w:r>
      <w:r>
        <w:rPr>
          <w:snapToGrid/>
        </w:rPr>
        <w:t>Au</w:t>
      </w:r>
      <w:r>
        <w:rPr>
          <w:snapToGrid/>
        </w:rPr>
        <w:t>ction 100</w:t>
      </w:r>
      <w:r w:rsidRPr="0092490C">
        <w:rPr>
          <w:snapToGrid/>
        </w:rPr>
        <w:t xml:space="preserve"> filing window.</w:t>
      </w:r>
      <w:r>
        <w:rPr>
          <w:snapToGrid/>
          <w:kern w:val="0"/>
          <w:szCs w:val="22"/>
          <w:vertAlign w:val="superscript"/>
        </w:rPr>
        <w:footnoteReference w:id="4"/>
      </w:r>
      <w:r w:rsidRPr="0092490C">
        <w:rPr>
          <w:snapToGrid/>
        </w:rPr>
        <w:t xml:space="preserve">  These listed applications are subject to the Commission’s competitive bidding procedures.</w:t>
      </w:r>
      <w:r>
        <w:rPr>
          <w:snapToGrid/>
          <w:vertAlign w:val="superscript"/>
        </w:rPr>
        <w:footnoteReference w:id="5"/>
      </w:r>
      <w:r w:rsidRPr="0092490C">
        <w:rPr>
          <w:snapToGrid/>
        </w:rPr>
        <w:t xml:space="preserve">  If an applicant believes that a Form 349 Tech Box proposal has been erroneously omitted from Attachment</w:t>
      </w:r>
      <w:r>
        <w:rPr>
          <w:snapToGrid/>
        </w:rPr>
        <w:t xml:space="preserve"> </w:t>
      </w:r>
      <w:r w:rsidRPr="0092490C">
        <w:rPr>
          <w:snapToGrid/>
        </w:rPr>
        <w:t>A, i.e., the Tech Box proposal is</w:t>
      </w:r>
      <w:r w:rsidRPr="0092490C">
        <w:rPr>
          <w:snapToGrid/>
        </w:rPr>
        <w:t xml:space="preserve"> in conflict with at least one engineering proposal listed on Attachment A, it should immediately contact the Audio Division staff listed at the end of this Public Notice.</w:t>
      </w:r>
      <w:r>
        <w:rPr>
          <w:snapToGrid/>
        </w:rPr>
        <w:t xml:space="preserve">  A</w:t>
      </w:r>
      <w:r w:rsidRPr="0092490C">
        <w:rPr>
          <w:snapToGrid/>
        </w:rPr>
        <w:t>n</w:t>
      </w:r>
      <w:r>
        <w:rPr>
          <w:snapToGrid/>
        </w:rPr>
        <w:t>y</w:t>
      </w:r>
      <w:r w:rsidRPr="0092490C">
        <w:rPr>
          <w:snapToGrid/>
        </w:rPr>
        <w:t xml:space="preserve"> Form 349 Tech Box proposal</w:t>
      </w:r>
      <w:r>
        <w:rPr>
          <w:snapToGrid/>
        </w:rPr>
        <w:t>s</w:t>
      </w:r>
      <w:r w:rsidRPr="0092490C">
        <w:rPr>
          <w:snapToGrid/>
        </w:rPr>
        <w:t xml:space="preserve"> </w:t>
      </w:r>
      <w:r>
        <w:rPr>
          <w:snapToGrid/>
        </w:rPr>
        <w:t>that are mutually exclusive after processing settle</w:t>
      </w:r>
      <w:r>
        <w:rPr>
          <w:snapToGrid/>
        </w:rPr>
        <w:t xml:space="preserve">ments or engineering proposals submitted during this settlement period will be resolved </w:t>
      </w:r>
      <w:r>
        <w:rPr>
          <w:snapToGrid/>
        </w:rPr>
        <w:t xml:space="preserve">by competitive bidding </w:t>
      </w:r>
      <w:r>
        <w:rPr>
          <w:snapToGrid/>
        </w:rPr>
        <w:t xml:space="preserve">in </w:t>
      </w:r>
      <w:r>
        <w:rPr>
          <w:snapToGrid/>
        </w:rPr>
        <w:t>the</w:t>
      </w:r>
      <w:r>
        <w:rPr>
          <w:snapToGrid/>
        </w:rPr>
        <w:t xml:space="preserve"> future</w:t>
      </w:r>
      <w:r w:rsidRPr="0092490C">
        <w:rPr>
          <w:snapToGrid/>
        </w:rPr>
        <w:t>.</w:t>
      </w:r>
    </w:p>
    <w:p w:rsidR="00C544E8" w:rsidRPr="00DF068F" w:rsidP="00C544E8">
      <w:pPr>
        <w:pStyle w:val="ParaNum"/>
        <w:rPr>
          <w:snapToGrid/>
          <w:kern w:val="0"/>
        </w:rPr>
      </w:pPr>
      <w:r w:rsidRPr="00C544E8">
        <w:rPr>
          <w:b/>
          <w:i/>
          <w:snapToGrid/>
        </w:rPr>
        <w:t>Prohibit</w:t>
      </w:r>
      <w:r w:rsidRPr="00C544E8">
        <w:rPr>
          <w:b/>
          <w:i/>
          <w:snapToGrid/>
        </w:rPr>
        <w:t>ion</w:t>
      </w:r>
      <w:r w:rsidRPr="00C544E8">
        <w:rPr>
          <w:b/>
          <w:i/>
          <w:snapToGrid/>
        </w:rPr>
        <w:t xml:space="preserve"> </w:t>
      </w:r>
      <w:r w:rsidRPr="00C544E8">
        <w:rPr>
          <w:b/>
          <w:i/>
          <w:snapToGrid/>
        </w:rPr>
        <w:t xml:space="preserve">on Certain </w:t>
      </w:r>
      <w:r w:rsidRPr="00C544E8">
        <w:rPr>
          <w:b/>
          <w:i/>
          <w:snapToGrid/>
        </w:rPr>
        <w:t xml:space="preserve">Communications.  </w:t>
      </w:r>
      <w:r w:rsidRPr="00C544E8">
        <w:rPr>
          <w:snapToGrid/>
        </w:rPr>
        <w:t xml:space="preserve">The prohibition on certain communications set forth in Sections 1.2105(c) and 73.5002(d) and (e) of the Commission’s rules became effective for all applicants filing in </w:t>
      </w:r>
      <w:r w:rsidRPr="00C544E8">
        <w:rPr>
          <w:snapToGrid/>
        </w:rPr>
        <w:t xml:space="preserve">the </w:t>
      </w:r>
      <w:r w:rsidRPr="00C544E8">
        <w:rPr>
          <w:snapToGrid/>
        </w:rPr>
        <w:t xml:space="preserve">Auction 100 window </w:t>
      </w:r>
      <w:r>
        <w:rPr>
          <w:snapToGrid/>
        </w:rPr>
        <w:t>at</w:t>
      </w:r>
      <w:r w:rsidRPr="00C544E8">
        <w:rPr>
          <w:snapToGrid/>
        </w:rPr>
        <w:t xml:space="preserve"> the deadline for the filing of FCC Forms 175</w:t>
      </w:r>
      <w:r>
        <w:rPr>
          <w:snapToGrid/>
        </w:rPr>
        <w:t xml:space="preserve"> </w:t>
      </w:r>
      <w:r w:rsidRPr="00C544E8">
        <w:rPr>
          <w:snapToGrid/>
        </w:rPr>
        <w:t>on the January 3</w:t>
      </w:r>
      <w:r w:rsidRPr="00C544E8">
        <w:rPr>
          <w:snapToGrid/>
        </w:rPr>
        <w:t xml:space="preserve">1, </w:t>
      </w:r>
      <w:r w:rsidRPr="00DF068F">
        <w:rPr>
          <w:snapToGrid/>
        </w:rPr>
        <w:t>2018</w:t>
      </w:r>
      <w:r w:rsidRPr="00DF068F">
        <w:rPr>
          <w:snapToGrid/>
        </w:rPr>
        <w:t>.</w:t>
      </w:r>
      <w:r>
        <w:rPr>
          <w:snapToGrid/>
          <w:kern w:val="0"/>
          <w:vertAlign w:val="superscript"/>
        </w:rPr>
        <w:footnoteReference w:id="6"/>
      </w:r>
      <w:r w:rsidRPr="00DF068F">
        <w:rPr>
          <w:snapToGrid/>
        </w:rPr>
        <w:t xml:space="preserve">   The Commission’s rules provide for a limited opportunity to settle, or otherwise resolve mutual exclusivities, as specified by public notice.</w:t>
      </w:r>
      <w:r>
        <w:rPr>
          <w:snapToGrid/>
          <w:vertAlign w:val="superscript"/>
        </w:rPr>
        <w:footnoteReference w:id="7"/>
      </w:r>
      <w:r w:rsidRPr="00DF068F">
        <w:rPr>
          <w:snapToGrid/>
        </w:rPr>
        <w:t xml:space="preserve">  This settlement opportunity extends only to the applicants with mutually exclusive engineering propo</w:t>
      </w:r>
      <w:r w:rsidRPr="00DF068F">
        <w:rPr>
          <w:snapToGrid/>
        </w:rPr>
        <w:t>sals listed in Attachment A and allows for settlement discussions only as to proposals listed in Attachment A.</w:t>
      </w:r>
      <w:r>
        <w:rPr>
          <w:snapToGrid/>
          <w:kern w:val="0"/>
          <w:vertAlign w:val="superscript"/>
        </w:rPr>
        <w:footnoteReference w:id="8"/>
      </w:r>
      <w:r w:rsidRPr="00DF068F">
        <w:rPr>
          <w:snapToGrid/>
        </w:rPr>
        <w:t xml:space="preserve">  Once this settlement period ends, the prohibition on certain communications will again take effect for such applicants and such mutually exclus</w:t>
      </w:r>
      <w:r w:rsidRPr="00DF068F">
        <w:rPr>
          <w:snapToGrid/>
        </w:rPr>
        <w:t xml:space="preserve">ive engineering proposals.  </w:t>
      </w:r>
    </w:p>
    <w:p w:rsidR="0092490C" w:rsidRPr="00C544E8" w:rsidP="001B69AE">
      <w:pPr>
        <w:pStyle w:val="ParaNum"/>
        <w:rPr>
          <w:snapToGrid/>
        </w:rPr>
      </w:pPr>
      <w:r w:rsidRPr="00DF068F">
        <w:rPr>
          <w:b/>
          <w:i/>
        </w:rPr>
        <w:t>Technical Resolution Amendments</w:t>
      </w:r>
      <w:r w:rsidRPr="00DF068F">
        <w:rPr>
          <w:b/>
        </w:rPr>
        <w:t xml:space="preserve">. </w:t>
      </w:r>
      <w:r w:rsidRPr="00DF068F">
        <w:t xml:space="preserve"> Applicants resolving their mutual exclusivities by means of technical resolution amendments </w:t>
      </w:r>
      <w:r w:rsidRPr="00DF068F">
        <w:rPr>
          <w:b/>
          <w:szCs w:val="22"/>
        </w:rPr>
        <w:t>must contact</w:t>
      </w:r>
      <w:r w:rsidRPr="00DF068F">
        <w:rPr>
          <w:szCs w:val="22"/>
        </w:rPr>
        <w:t xml:space="preserve"> James Bradshaw at </w:t>
      </w:r>
      <w:r>
        <w:fldChar w:fldCharType="begin"/>
      </w:r>
      <w:r>
        <w:instrText xml:space="preserve"> HYPERLINK "mailto:James.Bradshaw@fcc.gov" </w:instrText>
      </w:r>
      <w:r>
        <w:fldChar w:fldCharType="separate"/>
      </w:r>
      <w:r w:rsidRPr="00DF068F">
        <w:rPr>
          <w:rStyle w:val="Hyperlink"/>
          <w:szCs w:val="22"/>
        </w:rPr>
        <w:t>James.Bradshaw@fcc.gov</w:t>
      </w:r>
      <w:r>
        <w:fldChar w:fldCharType="end"/>
      </w:r>
      <w:r w:rsidRPr="00DF068F">
        <w:rPr>
          <w:szCs w:val="22"/>
        </w:rPr>
        <w:t xml:space="preserve"> </w:t>
      </w:r>
      <w:r w:rsidRPr="00DF068F">
        <w:rPr>
          <w:b/>
          <w:szCs w:val="22"/>
        </w:rPr>
        <w:t>n</w:t>
      </w:r>
      <w:r w:rsidRPr="00DF068F">
        <w:rPr>
          <w:b/>
          <w:szCs w:val="22"/>
        </w:rPr>
        <w:t xml:space="preserve">o later than </w:t>
      </w:r>
      <w:r w:rsidRPr="00DF068F">
        <w:rPr>
          <w:b/>
          <w:szCs w:val="22"/>
        </w:rPr>
        <w:t xml:space="preserve">4:00 </w:t>
      </w:r>
      <w:r w:rsidRPr="00DF068F">
        <w:rPr>
          <w:b/>
          <w:szCs w:val="22"/>
        </w:rPr>
        <w:t xml:space="preserve">p.m. ET on </w:t>
      </w:r>
      <w:r w:rsidRPr="00DF068F">
        <w:rPr>
          <w:b/>
          <w:szCs w:val="22"/>
        </w:rPr>
        <w:t>September</w:t>
      </w:r>
      <w:r w:rsidRPr="00DF068F">
        <w:rPr>
          <w:b/>
          <w:szCs w:val="22"/>
        </w:rPr>
        <w:t xml:space="preserve"> </w:t>
      </w:r>
      <w:r w:rsidRPr="00DF068F">
        <w:rPr>
          <w:b/>
          <w:szCs w:val="22"/>
        </w:rPr>
        <w:t>19</w:t>
      </w:r>
      <w:r w:rsidRPr="00DF068F">
        <w:rPr>
          <w:b/>
          <w:szCs w:val="22"/>
        </w:rPr>
        <w:t xml:space="preserve">, 2018, to make arrangements for electronic filing of an amended </w:t>
      </w:r>
      <w:r w:rsidRPr="00DF068F">
        <w:t xml:space="preserve">FCC Form 349 Section III-A Tech Box </w:t>
      </w:r>
      <w:r w:rsidRPr="00DF068F">
        <w:rPr>
          <w:szCs w:val="22"/>
        </w:rPr>
        <w:t xml:space="preserve">in </w:t>
      </w:r>
      <w:r w:rsidRPr="00DF068F">
        <w:rPr>
          <w:szCs w:val="22"/>
        </w:rPr>
        <w:t>the Media Bureau’s Consolidated Database System (</w:t>
      </w:r>
      <w:r w:rsidRPr="00DF068F">
        <w:rPr>
          <w:szCs w:val="22"/>
        </w:rPr>
        <w:t>CDBS</w:t>
      </w:r>
      <w:r w:rsidRPr="00DF068F">
        <w:rPr>
          <w:szCs w:val="22"/>
        </w:rPr>
        <w:t>)</w:t>
      </w:r>
      <w:r w:rsidRPr="00DF068F">
        <w:rPr>
          <w:szCs w:val="22"/>
        </w:rPr>
        <w:t xml:space="preserve">.  </w:t>
      </w:r>
      <w:r w:rsidRPr="00DF068F">
        <w:rPr>
          <w:snapToGrid/>
        </w:rPr>
        <w:t xml:space="preserve">Technical resolution amendments may be non-universal, </w:t>
      </w:r>
      <w:r w:rsidRPr="00DF068F">
        <w:rPr>
          <w:snapToGrid/>
        </w:rPr>
        <w:t>but the amendment must resolve all mutual exclusivities between the engineering proposal and all other engineering proposals in the MX group.</w:t>
      </w:r>
      <w:r>
        <w:rPr>
          <w:snapToGrid/>
          <w:vertAlign w:val="superscript"/>
        </w:rPr>
        <w:footnoteReference w:id="9"/>
      </w:r>
      <w:r w:rsidRPr="00DF068F">
        <w:rPr>
          <w:snapToGrid/>
        </w:rPr>
        <w:t xml:space="preserve">  </w:t>
      </w:r>
      <w:r w:rsidRPr="00DF068F">
        <w:rPr>
          <w:snapToGrid/>
        </w:rPr>
        <w:t>A technical resolution amendment must be a “minor</w:t>
      </w:r>
      <w:r w:rsidRPr="00C544E8">
        <w:rPr>
          <w:snapToGrid/>
        </w:rPr>
        <w:t>” change, as defined by the rules,</w:t>
      </w:r>
      <w:r>
        <w:rPr>
          <w:snapToGrid/>
          <w:vertAlign w:val="superscript"/>
        </w:rPr>
        <w:footnoteReference w:id="10"/>
      </w:r>
      <w:r w:rsidRPr="00C544E8">
        <w:rPr>
          <w:snapToGrid/>
        </w:rPr>
        <w:t xml:space="preserve"> to the engineering proposal</w:t>
      </w:r>
      <w:r w:rsidRPr="00C544E8">
        <w:rPr>
          <w:snapToGrid/>
        </w:rPr>
        <w:t xml:space="preserve"> specified in the original Form 349 </w:t>
      </w:r>
      <w:r w:rsidRPr="00E1360F">
        <w:t xml:space="preserve">Tech </w:t>
      </w:r>
      <w:r w:rsidRPr="00122C68">
        <w:t>Box</w:t>
      </w:r>
      <w:r w:rsidRPr="00C544E8">
        <w:rPr>
          <w:snapToGrid/>
        </w:rPr>
        <w:t xml:space="preserve">, and must not create new mutual exclusivities or application conflicts.  A technical resolution amendment that creates new application conflicts or that proposes a major change will be returned.  The staff will </w:t>
      </w:r>
      <w:r w:rsidRPr="00C544E8">
        <w:rPr>
          <w:snapToGrid/>
        </w:rPr>
        <w:t>request complete FCC Form 349 applications for technically acceptable proposals</w:t>
      </w:r>
      <w:r w:rsidRPr="00C544E8">
        <w:rPr>
          <w:snapToGrid/>
        </w:rPr>
        <w:t xml:space="preserve"> that resolve all mutual exclusivities with other listed proposals</w:t>
      </w:r>
      <w:r w:rsidRPr="00C544E8">
        <w:rPr>
          <w:snapToGrid/>
        </w:rPr>
        <w:t>.</w:t>
      </w:r>
      <w:r>
        <w:rPr>
          <w:snapToGrid/>
          <w:vertAlign w:val="superscript"/>
        </w:rPr>
        <w:footnoteReference w:id="11"/>
      </w:r>
      <w:r w:rsidRPr="00C544E8">
        <w:rPr>
          <w:snapToGrid/>
        </w:rPr>
        <w:t xml:space="preserve">  </w:t>
      </w:r>
    </w:p>
    <w:p w:rsidR="0092490C" w:rsidRPr="00FE1561" w:rsidP="00A907C1">
      <w:pPr>
        <w:pStyle w:val="ParaNum"/>
        <w:widowControl/>
        <w:rPr>
          <w:snapToGrid/>
        </w:rPr>
      </w:pPr>
      <w:r w:rsidRPr="00FE1561">
        <w:rPr>
          <w:b/>
          <w:i/>
          <w:snapToGrid/>
        </w:rPr>
        <w:t xml:space="preserve">Settlement Agreements.  </w:t>
      </w:r>
      <w:r w:rsidRPr="00FE1561">
        <w:rPr>
          <w:snapToGrid/>
        </w:rPr>
        <w:t>Applicants resolving their mutual exclusivities by settlement must ensure that the</w:t>
      </w:r>
      <w:r w:rsidRPr="00FE1561">
        <w:rPr>
          <w:snapToGrid/>
        </w:rPr>
        <w:t>ir settlement agreements comply with the provisions of Section 311(c) of the Communications Act of 1934, as amended,</w:t>
      </w:r>
      <w:r>
        <w:rPr>
          <w:snapToGrid/>
          <w:vertAlign w:val="superscript"/>
        </w:rPr>
        <w:footnoteReference w:id="12"/>
      </w:r>
      <w:r w:rsidRPr="00FE1561">
        <w:rPr>
          <w:snapToGrid/>
        </w:rPr>
        <w:t xml:space="preserve"> and the pertinent requirements of Section 73.3525 of the Commission’s rules, including, </w:t>
      </w:r>
      <w:r w:rsidRPr="002D5F70">
        <w:rPr>
          <w:i/>
          <w:snapToGrid/>
        </w:rPr>
        <w:t>inter alia</w:t>
      </w:r>
      <w:r w:rsidRPr="00FE1561">
        <w:rPr>
          <w:snapToGrid/>
        </w:rPr>
        <w:t>, reimbursement restrictions.</w:t>
      </w:r>
      <w:r>
        <w:rPr>
          <w:snapToGrid/>
          <w:vertAlign w:val="superscript"/>
        </w:rPr>
        <w:footnoteReference w:id="13"/>
      </w:r>
      <w:r w:rsidRPr="00FE1561">
        <w:rPr>
          <w:snapToGrid/>
        </w:rPr>
        <w:t xml:space="preserve">  In the i</w:t>
      </w:r>
      <w:r w:rsidRPr="00FE1561">
        <w:rPr>
          <w:snapToGrid/>
        </w:rPr>
        <w:t>nterest of expediting new FM translator service to the public, the Commission will accept both universal</w:t>
      </w:r>
      <w:r>
        <w:rPr>
          <w:snapToGrid/>
        </w:rPr>
        <w:t>—</w:t>
      </w:r>
      <w:r w:rsidRPr="00FE1561">
        <w:rPr>
          <w:snapToGrid/>
        </w:rPr>
        <w:t>in which all applicants in the particular MX group participate</w:t>
      </w:r>
      <w:r>
        <w:rPr>
          <w:snapToGrid/>
        </w:rPr>
        <w:t>—</w:t>
      </w:r>
      <w:r w:rsidRPr="00FE1561">
        <w:rPr>
          <w:snapToGrid/>
        </w:rPr>
        <w:t>and non-universal settlements.  Universal settlements, however, are encouraged.  Non-uni</w:t>
      </w:r>
      <w:r w:rsidRPr="00FE1561">
        <w:rPr>
          <w:snapToGrid/>
        </w:rPr>
        <w:t>versal settlement proposals must eliminate all mutual exclusivities between at least one engineering proposal and all other engineering proposals in the MX group.</w:t>
      </w:r>
      <w:r>
        <w:rPr>
          <w:snapToGrid/>
          <w:vertAlign w:val="superscript"/>
        </w:rPr>
        <w:footnoteReference w:id="14"/>
      </w:r>
      <w:r w:rsidRPr="00FE1561">
        <w:rPr>
          <w:snapToGrid/>
        </w:rPr>
        <w:t xml:space="preserve">  </w:t>
      </w:r>
      <w:r>
        <w:rPr>
          <w:snapToGrid/>
        </w:rPr>
        <w:t xml:space="preserve">Prior to </w:t>
      </w:r>
      <w:r>
        <w:rPr>
          <w:snapToGrid/>
        </w:rPr>
        <w:t xml:space="preserve">the </w:t>
      </w:r>
      <w:r>
        <w:rPr>
          <w:snapToGrid/>
        </w:rPr>
        <w:t xml:space="preserve">close of this </w:t>
      </w:r>
      <w:r>
        <w:rPr>
          <w:snapToGrid/>
        </w:rPr>
        <w:t xml:space="preserve">settlement </w:t>
      </w:r>
      <w:r>
        <w:rPr>
          <w:snapToGrid/>
        </w:rPr>
        <w:t>period</w:t>
      </w:r>
      <w:r>
        <w:rPr>
          <w:snapToGrid/>
        </w:rPr>
        <w:t xml:space="preserve">, </w:t>
      </w:r>
      <w:r w:rsidRPr="00FE1561">
        <w:rPr>
          <w:snapToGrid/>
        </w:rPr>
        <w:t>parties to the settlement agreement must subm</w:t>
      </w:r>
      <w:r w:rsidRPr="00FE1561">
        <w:rPr>
          <w:snapToGrid/>
        </w:rPr>
        <w:t>it a joint request for approval of settlement, a copy of the settlement agreement, the affidavits required by Section 73.3525(a) of the rules,</w:t>
      </w:r>
      <w:r>
        <w:rPr>
          <w:snapToGrid/>
          <w:vertAlign w:val="superscript"/>
        </w:rPr>
        <w:footnoteReference w:id="15"/>
      </w:r>
      <w:r w:rsidRPr="00FE1561">
        <w:rPr>
          <w:snapToGrid/>
        </w:rPr>
        <w:t xml:space="preserve"> and any necessary amendment(s) to their FCC Form 349 Section III-A Tech Box(es).</w:t>
      </w:r>
      <w:r w:rsidRPr="00FE1561">
        <w:rPr>
          <w:b/>
          <w:i/>
          <w:snapToGrid/>
        </w:rPr>
        <w:t xml:space="preserve">  </w:t>
      </w:r>
      <w:r w:rsidRPr="00FE1561">
        <w:rPr>
          <w:snapToGrid/>
        </w:rPr>
        <w:t>The staff will ultimately requ</w:t>
      </w:r>
      <w:r w:rsidRPr="00FE1561">
        <w:rPr>
          <w:snapToGrid/>
        </w:rPr>
        <w:t>est complete FCC Form 349 applications from the surviving applicant(s) upon approval of the settlement agreement.</w:t>
      </w:r>
      <w:r>
        <w:rPr>
          <w:snapToGrid/>
          <w:vertAlign w:val="superscript"/>
        </w:rPr>
        <w:footnoteReference w:id="16"/>
      </w:r>
    </w:p>
    <w:p w:rsidR="002C0A2D" w:rsidP="002C0A2D">
      <w:pPr>
        <w:pStyle w:val="ParaNum"/>
        <w:rPr>
          <w:snapToGrid/>
          <w:kern w:val="0"/>
        </w:rPr>
      </w:pPr>
      <w:r w:rsidRPr="0092490C">
        <w:t>An applicant that seeks to unilaterally dismiss its engineering proposal that removes the mutual exclusivity without having entered a settlement agreement with another applicant nevertheless must submit an affidavit as to whether or not consideration has b</w:t>
      </w:r>
      <w:r w:rsidRPr="0092490C">
        <w:t xml:space="preserve">een promised to or received by such </w:t>
      </w:r>
      <w:r w:rsidRPr="002D16EC">
        <w:t xml:space="preserve">applicant in connection with </w:t>
      </w:r>
      <w:r>
        <w:t>its</w:t>
      </w:r>
      <w:r w:rsidRPr="002D16EC">
        <w:t xml:space="preserve"> </w:t>
      </w:r>
      <w:r w:rsidRPr="002D16EC">
        <w:t>dismissal request.</w:t>
      </w:r>
      <w:r>
        <w:rPr>
          <w:vertAlign w:val="superscript"/>
        </w:rPr>
        <w:footnoteReference w:id="17"/>
      </w:r>
    </w:p>
    <w:p w:rsidR="0092490C" w:rsidRPr="002C0A2D" w:rsidP="002C0A2D">
      <w:pPr>
        <w:pStyle w:val="ParaNum"/>
        <w:rPr>
          <w:snapToGrid/>
          <w:kern w:val="0"/>
        </w:rPr>
      </w:pPr>
      <w:r w:rsidRPr="00DF068F">
        <w:rPr>
          <w:b/>
          <w:i/>
        </w:rPr>
        <w:t>Filing Procedures for Settlement Agreements</w:t>
      </w:r>
      <w:r w:rsidRPr="00DF068F">
        <w:rPr>
          <w:b/>
          <w:i/>
        </w:rPr>
        <w:t xml:space="preserve"> or Dismissal Requests</w:t>
      </w:r>
      <w:r w:rsidRPr="00DF068F">
        <w:rPr>
          <w:b/>
          <w:i/>
        </w:rPr>
        <w:t>.</w:t>
      </w:r>
      <w:r w:rsidRPr="00DF068F">
        <w:rPr>
          <w:i/>
        </w:rPr>
        <w:t xml:space="preserve">  </w:t>
      </w:r>
      <w:r w:rsidRPr="00DF068F">
        <w:t xml:space="preserve">Parties filing a joint request for approval of </w:t>
      </w:r>
      <w:r w:rsidRPr="00DF068F">
        <w:t xml:space="preserve">a </w:t>
      </w:r>
      <w:r w:rsidRPr="00DF068F">
        <w:t>settlement agreement</w:t>
      </w:r>
      <w:r w:rsidRPr="00DF068F">
        <w:t xml:space="preserve"> or a request for unilateral d</w:t>
      </w:r>
      <w:r w:rsidRPr="00DF068F">
        <w:t>ismissal of an engineering proposal</w:t>
      </w:r>
      <w:r w:rsidRPr="00DF068F">
        <w:t xml:space="preserve"> must file an original and two copies, plus one additional copy for each applicant that is a party to the settlement, </w:t>
      </w:r>
      <w:r w:rsidRPr="00DF068F">
        <w:rPr>
          <w:b/>
        </w:rPr>
        <w:t xml:space="preserve">on or before </w:t>
      </w:r>
      <w:r w:rsidRPr="00DF068F">
        <w:rPr>
          <w:b/>
        </w:rPr>
        <w:t>6:00 p</w:t>
      </w:r>
      <w:r w:rsidRPr="00DF068F">
        <w:rPr>
          <w:b/>
        </w:rPr>
        <w:t>.</w:t>
      </w:r>
      <w:r w:rsidRPr="00DF068F">
        <w:rPr>
          <w:b/>
        </w:rPr>
        <w:t>m</w:t>
      </w:r>
      <w:r w:rsidRPr="00DF068F">
        <w:rPr>
          <w:b/>
        </w:rPr>
        <w:t>.</w:t>
      </w:r>
      <w:r w:rsidRPr="00DF068F">
        <w:rPr>
          <w:b/>
        </w:rPr>
        <w:t xml:space="preserve"> on </w:t>
      </w:r>
      <w:r w:rsidRPr="00DF068F">
        <w:rPr>
          <w:b/>
        </w:rPr>
        <w:t>September</w:t>
      </w:r>
      <w:r w:rsidRPr="00DF068F">
        <w:rPr>
          <w:b/>
        </w:rPr>
        <w:t xml:space="preserve"> </w:t>
      </w:r>
      <w:r w:rsidRPr="00DF068F">
        <w:rPr>
          <w:b/>
        </w:rPr>
        <w:t>20</w:t>
      </w:r>
      <w:r w:rsidRPr="00DF068F">
        <w:rPr>
          <w:b/>
        </w:rPr>
        <w:t>, 201</w:t>
      </w:r>
      <w:r w:rsidRPr="00DF068F">
        <w:rPr>
          <w:b/>
        </w:rPr>
        <w:t>8</w:t>
      </w:r>
      <w:r w:rsidRPr="00DF068F">
        <w:t xml:space="preserve">, with the Commission's </w:t>
      </w:r>
      <w:r w:rsidRPr="00DF068F">
        <w:t xml:space="preserve">Office of </w:t>
      </w:r>
      <w:r w:rsidRPr="00DF068F">
        <w:t>Secretary.</w:t>
      </w:r>
      <w:r>
        <w:rPr>
          <w:rStyle w:val="FootnoteReference"/>
        </w:rPr>
        <w:footnoteReference w:id="18"/>
      </w:r>
      <w:r w:rsidRPr="00DF068F">
        <w:t xml:space="preserve"> </w:t>
      </w:r>
      <w:r w:rsidRPr="00DF068F">
        <w:t xml:space="preserve"> </w:t>
      </w:r>
      <w:r w:rsidRPr="00DF068F">
        <w:t>Filings must</w:t>
      </w:r>
      <w:r w:rsidRPr="00DF068F">
        <w:t xml:space="preserve"> be addressed to the Office of the Secretary, Federal Communications Commission, and can be sent by hand or messenger delivery, by commercial overnight</w:t>
      </w:r>
      <w:r w:rsidRPr="0092490C">
        <w:t xml:space="preserve"> courier, or by first-class or overnight U.S. Postal Service mail.  All hand-delivered or messenger-deliv</w:t>
      </w:r>
      <w:r w:rsidRPr="0092490C">
        <w:t xml:space="preserve">ered filings must be delivered to the FCC Headquarters at 445 </w:t>
      </w:r>
      <w:r>
        <w:t xml:space="preserve">12th </w:t>
      </w:r>
      <w:r w:rsidRPr="0092490C">
        <w:t>Street, S.W., Room TW-A325, Washington, DC 20554.  The filing hours are 8:00 a.m. to 7:00 p.m.  All hand deliveries must be held together with rubber bands or fasteners.  Any envelope or bo</w:t>
      </w:r>
      <w:r w:rsidRPr="0092490C">
        <w:t>x must be disposed of before entering the building.  Commercial overnight mail (other than U.S. Postal Service Express Mail or Priority Mail) must be sent to the Federal Communications Commission at 9050 Junction Drive, Annapolis Junction, MD  20701.  U.S.</w:t>
      </w:r>
      <w:r w:rsidRPr="0092490C">
        <w:t xml:space="preserve"> Postal Service first-class, Express or Priority mail must be addressed to 445 </w:t>
      </w:r>
      <w:r>
        <w:t>12th</w:t>
      </w:r>
      <w:r w:rsidRPr="0092490C">
        <w:t xml:space="preserve"> Street S.W., Room TW-A325, Washington, DC 20554.</w:t>
      </w:r>
    </w:p>
    <w:p w:rsidR="0092490C" w:rsidRPr="0092490C" w:rsidP="001B69AE">
      <w:pPr>
        <w:pStyle w:val="ParaNum"/>
        <w:rPr>
          <w:snapToGrid/>
          <w:kern w:val="0"/>
        </w:rPr>
      </w:pPr>
      <w:r w:rsidRPr="0092490C">
        <w:t xml:space="preserve">In addition, such parties should deliver a courtesy copy to </w:t>
      </w:r>
      <w:r>
        <w:t>James Bradshaw</w:t>
      </w:r>
      <w:r w:rsidRPr="0092490C">
        <w:t xml:space="preserve">, Audio Division, Media Bureau, Federal Communications Commission, 445 </w:t>
      </w:r>
      <w:r>
        <w:t>12th</w:t>
      </w:r>
      <w:r w:rsidRPr="0092490C">
        <w:t xml:space="preserve"> Street, S.W., Room 2-</w:t>
      </w:r>
      <w:r>
        <w:t>A</w:t>
      </w:r>
      <w:r>
        <w:t>267</w:t>
      </w:r>
      <w:r w:rsidRPr="0092490C">
        <w:t>, Washington, DC 20554.</w:t>
      </w:r>
    </w:p>
    <w:p w:rsidR="0092490C" w:rsidRPr="0092490C" w:rsidP="001B69AE">
      <w:pPr>
        <w:pStyle w:val="ParaNum"/>
        <w:rPr>
          <w:snapToGrid/>
          <w:kern w:val="0"/>
        </w:rPr>
      </w:pPr>
      <w:r w:rsidRPr="0092490C">
        <w:rPr>
          <w:snapToGrid/>
        </w:rPr>
        <w:t xml:space="preserve">All </w:t>
      </w:r>
      <w:r>
        <w:rPr>
          <w:snapToGrid/>
        </w:rPr>
        <w:t xml:space="preserve">listed </w:t>
      </w:r>
      <w:r w:rsidRPr="0092490C">
        <w:rPr>
          <w:snapToGrid/>
        </w:rPr>
        <w:t xml:space="preserve">FCC Form 349 submissions are available for review in CDBS Public Access.  For assistance with electronic </w:t>
      </w:r>
      <w:r>
        <w:rPr>
          <w:snapToGrid/>
        </w:rPr>
        <w:t xml:space="preserve">review and </w:t>
      </w:r>
      <w:r w:rsidRPr="0092490C">
        <w:rPr>
          <w:snapToGrid/>
        </w:rPr>
        <w:t>fili</w:t>
      </w:r>
      <w:r w:rsidRPr="0092490C">
        <w:rPr>
          <w:snapToGrid/>
        </w:rPr>
        <w:t>ng, call the Audio Division Help Desk at (202) 418-2662.</w:t>
      </w:r>
      <w:r w:rsidRPr="0092490C">
        <w:rPr>
          <w:snapToGrid/>
          <w:kern w:val="0"/>
        </w:rPr>
        <w:tab/>
      </w:r>
    </w:p>
    <w:p w:rsidR="0092490C" w:rsidRPr="0092490C" w:rsidP="001B69AE">
      <w:pPr>
        <w:pStyle w:val="ParaNum"/>
        <w:rPr>
          <w:snapToGrid/>
          <w:kern w:val="0"/>
        </w:rPr>
      </w:pPr>
      <w:r w:rsidRPr="0092490C">
        <w:rPr>
          <w:b/>
          <w:i/>
          <w:snapToGrid/>
        </w:rPr>
        <w:t>Contact Information</w:t>
      </w:r>
      <w:r w:rsidRPr="0092490C">
        <w:rPr>
          <w:b/>
          <w:snapToGrid/>
        </w:rPr>
        <w:t>.</w:t>
      </w:r>
      <w:r w:rsidRPr="0092490C">
        <w:rPr>
          <w:snapToGrid/>
        </w:rPr>
        <w:t xml:space="preserve">  For additional information, contact Rob Gates, Larry Hannif-Ali, Jim Bradshaw</w:t>
      </w:r>
      <w:r>
        <w:rPr>
          <w:snapToGrid/>
        </w:rPr>
        <w:t>,</w:t>
      </w:r>
      <w:r w:rsidRPr="0092490C">
        <w:rPr>
          <w:snapToGrid/>
        </w:rPr>
        <w:t xml:space="preserve"> or Lisa Scanlan of the Audio Division, Media Bureau at (202) 418-2700.</w:t>
      </w:r>
    </w:p>
    <w:p w:rsidR="0092490C" w:rsidRPr="0092490C" w:rsidP="00D70BF1">
      <w:pPr>
        <w:numPr>
          <w:ilvl w:val="0"/>
          <w:numId w:val="2"/>
        </w:numPr>
        <w:tabs>
          <w:tab w:val="num" w:pos="1440"/>
        </w:tabs>
        <w:spacing w:after="120"/>
        <w:ind w:left="0"/>
      </w:pPr>
      <w:r w:rsidRPr="0092490C">
        <w:t>For information on the FCC</w:t>
      </w:r>
      <w:r w:rsidRPr="0092490C">
        <w:t xml:space="preserve"> Form 175 or application of the </w:t>
      </w:r>
      <w:r>
        <w:t xml:space="preserve">competitive bidding </w:t>
      </w:r>
      <w:r w:rsidRPr="0092490C">
        <w:t>rules</w:t>
      </w:r>
      <w:r>
        <w:t>, including the</w:t>
      </w:r>
      <w:r w:rsidRPr="0092490C">
        <w:t xml:space="preserve"> prohibit</w:t>
      </w:r>
      <w:r>
        <w:t>ion</w:t>
      </w:r>
      <w:r w:rsidRPr="0092490C">
        <w:t xml:space="preserve"> </w:t>
      </w:r>
      <w:r>
        <w:t xml:space="preserve">on certain </w:t>
      </w:r>
      <w:r w:rsidRPr="0092490C">
        <w:t xml:space="preserve">communications, contact Lynne Milne in the Auctions and Spectrum Access Division of the Wireless Telecommunications Bureau at (202) 418-0660.  </w:t>
      </w:r>
    </w:p>
    <w:p w:rsidR="0092490C" w:rsidRPr="0092490C" w:rsidP="00D70BF1">
      <w:pPr>
        <w:widowControl/>
        <w:spacing w:after="120"/>
        <w:rPr>
          <w:b/>
          <w:snapToGrid/>
          <w:kern w:val="0"/>
        </w:rPr>
      </w:pPr>
      <w:r w:rsidRPr="0092490C">
        <w:rPr>
          <w:b/>
          <w:snapToGrid/>
          <w:kern w:val="0"/>
        </w:rPr>
        <w:t>This Public Noti</w:t>
      </w:r>
      <w:r w:rsidRPr="0092490C">
        <w:rPr>
          <w:b/>
          <w:snapToGrid/>
          <w:kern w:val="0"/>
        </w:rPr>
        <w:t>ce contains the following Attachment:</w:t>
      </w:r>
    </w:p>
    <w:p w:rsidR="0092490C" w:rsidRPr="0092490C" w:rsidP="00D70BF1">
      <w:pPr>
        <w:widowControl/>
        <w:spacing w:after="120"/>
        <w:rPr>
          <w:snapToGrid/>
          <w:kern w:val="0"/>
          <w:szCs w:val="22"/>
        </w:rPr>
      </w:pPr>
      <w:r w:rsidRPr="0092490C">
        <w:rPr>
          <w:b/>
          <w:snapToGrid/>
          <w:kern w:val="0"/>
          <w:szCs w:val="22"/>
        </w:rPr>
        <w:t xml:space="preserve">Attachment A:  </w:t>
      </w:r>
      <w:r w:rsidRPr="0092490C">
        <w:rPr>
          <w:snapToGrid/>
          <w:kern w:val="0"/>
          <w:szCs w:val="22"/>
        </w:rPr>
        <w:t>FM Translator</w:t>
      </w:r>
      <w:r w:rsidRPr="0092490C">
        <w:rPr>
          <w:b/>
          <w:snapToGrid/>
          <w:kern w:val="0"/>
          <w:szCs w:val="22"/>
        </w:rPr>
        <w:t xml:space="preserve"> </w:t>
      </w:r>
      <w:r w:rsidRPr="0092490C">
        <w:rPr>
          <w:snapToGrid/>
          <w:kern w:val="0"/>
          <w:szCs w:val="22"/>
        </w:rPr>
        <w:t>Mutually Exclusive Applications Subject to Auction</w:t>
      </w:r>
    </w:p>
    <w:p w:rsidR="00412FC5" w:rsidRPr="007C7FA7" w:rsidP="007C7FA7">
      <w:pPr>
        <w:widowControl/>
        <w:jc w:val="center"/>
        <w:rPr>
          <w:b/>
          <w:snapToGrid/>
          <w:kern w:val="0"/>
          <w:szCs w:val="22"/>
        </w:rPr>
      </w:pPr>
      <w:r w:rsidRPr="007B1B3D">
        <w:rPr>
          <w:b/>
          <w:snapToGrid/>
          <w:kern w:val="0"/>
          <w:szCs w:val="22"/>
        </w:rPr>
        <w:t>–FCC–</w:t>
      </w: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t>4</w:t>
    </w:r>
    <w:r>
      <w:fldChar w:fldCharType="end"/>
    </w:r>
  </w:p>
  <w:p w:rsidR="006F7393">
    <w:pPr>
      <w:spacing w:before="140" w:line="100" w:lineRule="exact"/>
      <w:rPr>
        <w:sz w:val="10"/>
      </w:rPr>
    </w:pPr>
  </w:p>
  <w:p w:rsidR="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3AAC">
      <w:r>
        <w:separator/>
      </w:r>
    </w:p>
  </w:footnote>
  <w:footnote w:type="continuationSeparator" w:id="1">
    <w:p w:rsidR="00203AAC">
      <w:pPr>
        <w:rPr>
          <w:sz w:val="20"/>
        </w:rPr>
      </w:pPr>
      <w:r>
        <w:rPr>
          <w:sz w:val="20"/>
        </w:rPr>
        <w:t xml:space="preserve">(Continued from previous page)  </w:t>
      </w:r>
      <w:r>
        <w:rPr>
          <w:sz w:val="20"/>
        </w:rPr>
        <w:separator/>
      </w:r>
    </w:p>
  </w:footnote>
  <w:footnote w:type="continuationNotice" w:id="2">
    <w:p w:rsidR="00203AAC">
      <w:pPr>
        <w:rPr>
          <w:sz w:val="20"/>
        </w:rPr>
      </w:pPr>
    </w:p>
  </w:footnote>
  <w:footnote w:id="3">
    <w:p w:rsidR="00C544E8" w:rsidRPr="00D1799C" w:rsidP="00C544E8">
      <w:pPr>
        <w:pStyle w:val="FootnoteText"/>
      </w:pPr>
      <w:r w:rsidRPr="00E07DBC">
        <w:rPr>
          <w:rStyle w:val="FootnoteReference"/>
        </w:rPr>
        <w:footnoteRef/>
      </w:r>
      <w:r>
        <w:t xml:space="preserve"> </w:t>
      </w:r>
      <w:r>
        <w:t>Pursuant to</w:t>
      </w:r>
      <w:r>
        <w:t xml:space="preserve"> </w:t>
      </w:r>
      <w:r>
        <w:t>47 CFR §</w:t>
      </w:r>
      <w:r>
        <w:t xml:space="preserve"> 73.5002(c)</w:t>
      </w:r>
      <w:r w:rsidRPr="000D0027">
        <w:rPr>
          <w:kern w:val="28"/>
          <w:sz w:val="22"/>
        </w:rPr>
        <w:t>–</w:t>
      </w:r>
      <w:r>
        <w:t>(e)</w:t>
      </w:r>
      <w:r>
        <w:t xml:space="preserve">, </w:t>
      </w:r>
      <w:r>
        <w:t>Auction 100 applicants</w:t>
      </w:r>
      <w:r>
        <w:t xml:space="preserve"> with mutually exclusive engineering proposal</w:t>
      </w:r>
      <w:r>
        <w:t>s</w:t>
      </w:r>
      <w:r>
        <w:t xml:space="preserve"> were given a</w:t>
      </w:r>
      <w:r>
        <w:t xml:space="preserve"> prior </w:t>
      </w:r>
      <w:r>
        <w:t xml:space="preserve">opportunity to eliminate mutual exclusivity </w:t>
      </w:r>
      <w:r>
        <w:t>by settlement or technical modification</w:t>
      </w:r>
      <w:r>
        <w:t xml:space="preserve">. </w:t>
      </w:r>
      <w:r>
        <w:t xml:space="preserve"> </w:t>
      </w:r>
      <w:r w:rsidRPr="0090339C">
        <w:rPr>
          <w:i/>
        </w:rPr>
        <w:t xml:space="preserve">See </w:t>
      </w:r>
      <w:r>
        <w:rPr>
          <w:i/>
        </w:rPr>
        <w:t xml:space="preserve">Settlement Period Announced for Cross-Service FM Translator Mutually Exclusive Applications </w:t>
      </w:r>
      <w:r>
        <w:rPr>
          <w:i/>
        </w:rPr>
        <w:t>f</w:t>
      </w:r>
      <w:r>
        <w:rPr>
          <w:i/>
        </w:rPr>
        <w:t xml:space="preserve">or Auction 100, </w:t>
      </w:r>
      <w:r w:rsidRPr="00BE07F8">
        <w:t xml:space="preserve">Public Notice, </w:t>
      </w:r>
      <w:r>
        <w:t>DA 18-332</w:t>
      </w:r>
      <w:r w:rsidRPr="00BE07F8">
        <w:t xml:space="preserve"> (MB</w:t>
      </w:r>
      <w:r>
        <w:t>/WTB</w:t>
      </w:r>
      <w:r>
        <w:t xml:space="preserve"> </w:t>
      </w:r>
      <w:r w:rsidRPr="00BE07F8">
        <w:t>20</w:t>
      </w:r>
      <w:r>
        <w:t>18</w:t>
      </w:r>
      <w:r w:rsidRPr="00BE07F8">
        <w:t xml:space="preserve">).  </w:t>
      </w:r>
    </w:p>
  </w:footnote>
  <w:footnote w:id="4">
    <w:p w:rsidR="00C544E8" w:rsidP="00C544E8">
      <w:pPr>
        <w:pStyle w:val="FootnoteText"/>
        <w:keepLines/>
      </w:pPr>
      <w:r>
        <w:rPr>
          <w:rStyle w:val="FootnoteReference"/>
        </w:rPr>
        <w:footnoteRef/>
      </w:r>
      <w:r>
        <w:t xml:space="preserve"> N</w:t>
      </w:r>
      <w:r w:rsidRPr="00910485">
        <w:t>on-reserved band (Channels 221 to 300) applications for new FM translator stations rebroadcasting cert</w:t>
      </w:r>
      <w:r w:rsidRPr="00910485">
        <w:t>ain AM st</w:t>
      </w:r>
      <w:r>
        <w:t xml:space="preserve">ations were filed </w:t>
      </w:r>
      <w:r w:rsidRPr="00071904">
        <w:t xml:space="preserve">pursuant to a December 4, 2017, </w:t>
      </w:r>
      <w:r>
        <w:t xml:space="preserve">Auction 100 </w:t>
      </w:r>
      <w:r>
        <w:t>p</w:t>
      </w:r>
      <w:r w:rsidRPr="00071904">
        <w:t xml:space="preserve">ublic </w:t>
      </w:r>
      <w:r>
        <w:t>n</w:t>
      </w:r>
      <w:r w:rsidRPr="00071904">
        <w:t>otice that announced details and filing instructions for that filing window.  Applicants were required to file FCC Form 175, Application to Participate in an FCC Auction, and ce</w:t>
      </w:r>
      <w:r w:rsidRPr="00071904">
        <w:t xml:space="preserve">rtain sections of FCC Form 349, Application for Authority to Construct or Make Changes in an FM Translator or FM Booster Station, which permitted the staff to </w:t>
      </w:r>
      <w:r w:rsidRPr="0030348D">
        <w:t xml:space="preserve">determine mutual exclusivities between applicants.  </w:t>
      </w:r>
      <w:r w:rsidRPr="0030348D">
        <w:rPr>
          <w:i/>
        </w:rPr>
        <w:t xml:space="preserve">Filing Instructions for Second Cross-Service </w:t>
      </w:r>
      <w:r w:rsidRPr="0030348D">
        <w:rPr>
          <w:i/>
        </w:rPr>
        <w:t>FM Translator Auction Filing Window for AM Broadcasters (Auction 100) to be Open January 25 – January 31, 2018</w:t>
      </w:r>
      <w:r w:rsidRPr="0030348D">
        <w:t>, Public Notice, 32 FCC Rcd 10173 (MB/WTB 2017).</w:t>
      </w:r>
    </w:p>
  </w:footnote>
  <w:footnote w:id="5">
    <w:p w:rsidR="00C544E8" w:rsidP="00C544E8">
      <w:pPr>
        <w:rPr>
          <w:sz w:val="20"/>
        </w:rPr>
      </w:pPr>
      <w:r>
        <w:rPr>
          <w:rStyle w:val="FootnoteReference"/>
        </w:rPr>
        <w:footnoteRef/>
      </w:r>
      <w:r>
        <w:rPr>
          <w:sz w:val="20"/>
        </w:rPr>
        <w:t xml:space="preserve"> </w:t>
      </w:r>
      <w:r>
        <w:rPr>
          <w:i/>
          <w:sz w:val="20"/>
        </w:rPr>
        <w:t xml:space="preserve">See </w:t>
      </w:r>
      <w:r>
        <w:rPr>
          <w:sz w:val="20"/>
        </w:rPr>
        <w:t xml:space="preserve">47 U.S.C. § 309(j); 47 CFR § 73.5000(a); </w:t>
      </w:r>
      <w:r>
        <w:rPr>
          <w:i/>
          <w:sz w:val="20"/>
        </w:rPr>
        <w:t xml:space="preserve">see </w:t>
      </w:r>
      <w:r w:rsidRPr="008A2875">
        <w:rPr>
          <w:i/>
          <w:sz w:val="20"/>
        </w:rPr>
        <w:t>generally</w:t>
      </w:r>
      <w:r>
        <w:rPr>
          <w:i/>
          <w:sz w:val="20"/>
        </w:rPr>
        <w:t xml:space="preserve"> Implementation of Section 309(j) of </w:t>
      </w:r>
      <w:r>
        <w:rPr>
          <w:i/>
          <w:sz w:val="20"/>
        </w:rPr>
        <w:t xml:space="preserve">the Communications Act </w:t>
      </w:r>
      <w:r w:rsidRPr="000D0027">
        <w:rPr>
          <w:i/>
          <w:snapToGrid/>
        </w:rPr>
        <w:t>–</w:t>
      </w:r>
      <w:r>
        <w:rPr>
          <w:i/>
          <w:sz w:val="20"/>
        </w:rPr>
        <w:t xml:space="preserve"> Competitive Bidding for Commercial Broadcast and Instructional Television Fixed Service Licenses</w:t>
      </w:r>
      <w:r>
        <w:rPr>
          <w:sz w:val="20"/>
        </w:rPr>
        <w:t xml:space="preserve">, </w:t>
      </w:r>
      <w:r w:rsidRPr="006C6C63">
        <w:rPr>
          <w:sz w:val="20"/>
        </w:rPr>
        <w:t>First Report and Order</w:t>
      </w:r>
      <w:r>
        <w:rPr>
          <w:i/>
          <w:sz w:val="20"/>
        </w:rPr>
        <w:t>,</w:t>
      </w:r>
      <w:r>
        <w:rPr>
          <w:sz w:val="20"/>
        </w:rPr>
        <w:t xml:space="preserve"> 13 FCC Rcd 15920 (1998), </w:t>
      </w:r>
      <w:r w:rsidRPr="0042388B">
        <w:rPr>
          <w:i/>
          <w:sz w:val="20"/>
        </w:rPr>
        <w:t>on recon</w:t>
      </w:r>
      <w:r>
        <w:rPr>
          <w:sz w:val="20"/>
        </w:rPr>
        <w:t xml:space="preserve">., </w:t>
      </w:r>
      <w:r w:rsidRPr="006C6C63">
        <w:rPr>
          <w:sz w:val="20"/>
        </w:rPr>
        <w:t>Memorandum Opinion and Order</w:t>
      </w:r>
      <w:r>
        <w:rPr>
          <w:sz w:val="20"/>
        </w:rPr>
        <w:t>, 14 FCC Rcd 8724 (1999) (</w:t>
      </w:r>
      <w:r w:rsidRPr="00935572">
        <w:rPr>
          <w:i/>
          <w:sz w:val="20"/>
        </w:rPr>
        <w:t>Broadcast First Rec</w:t>
      </w:r>
      <w:r w:rsidRPr="00935572">
        <w:rPr>
          <w:i/>
          <w:sz w:val="20"/>
        </w:rPr>
        <w:t>onsideration Order</w:t>
      </w:r>
      <w:r>
        <w:rPr>
          <w:sz w:val="20"/>
        </w:rPr>
        <w:t xml:space="preserve">), </w:t>
      </w:r>
      <w:r w:rsidRPr="0042388B">
        <w:rPr>
          <w:i/>
          <w:sz w:val="20"/>
        </w:rPr>
        <w:t xml:space="preserve">on further recon., </w:t>
      </w:r>
      <w:r w:rsidRPr="006C6C63">
        <w:rPr>
          <w:sz w:val="20"/>
        </w:rPr>
        <w:t>Memorandum Opinion and Order</w:t>
      </w:r>
      <w:r>
        <w:rPr>
          <w:sz w:val="20"/>
        </w:rPr>
        <w:t xml:space="preserve">, 14 FCC Rcd 12541 (1999). </w:t>
      </w:r>
    </w:p>
    <w:p w:rsidR="00C544E8" w:rsidP="00C544E8">
      <w:pPr>
        <w:rPr>
          <w:sz w:val="20"/>
        </w:rPr>
      </w:pPr>
    </w:p>
  </w:footnote>
  <w:footnote w:id="6">
    <w:p w:rsidR="00C544E8" w:rsidP="00C544E8">
      <w:pPr>
        <w:pStyle w:val="FootnoteText"/>
      </w:pPr>
      <w:r>
        <w:rPr>
          <w:rStyle w:val="FootnoteReference"/>
        </w:rPr>
        <w:footnoteRef/>
      </w:r>
      <w:r>
        <w:t xml:space="preserve"> </w:t>
      </w:r>
      <w:r w:rsidRPr="00006D73">
        <w:rPr>
          <w:i/>
        </w:rPr>
        <w:t>See</w:t>
      </w:r>
      <w:r w:rsidRPr="00006D73">
        <w:t xml:space="preserve"> 47 CFR §§ 1.2105(c), 73.5002(d)</w:t>
      </w:r>
      <w:r>
        <w:t>, (e)</w:t>
      </w:r>
      <w:r w:rsidRPr="00006D73">
        <w:t xml:space="preserve">.  </w:t>
      </w:r>
    </w:p>
  </w:footnote>
  <w:footnote w:id="7">
    <w:p w:rsidR="0092490C" w:rsidRPr="00920F8E" w:rsidP="0092490C">
      <w:pPr>
        <w:pStyle w:val="FootnoteText"/>
      </w:pPr>
      <w:r w:rsidRPr="000325C5">
        <w:rPr>
          <w:rStyle w:val="FootnoteReference"/>
        </w:rPr>
        <w:footnoteRef/>
      </w:r>
      <w:r>
        <w:rPr>
          <w:i/>
        </w:rPr>
        <w:t xml:space="preserve"> </w:t>
      </w:r>
      <w:r w:rsidRPr="00EC56A1">
        <w:rPr>
          <w:i/>
        </w:rPr>
        <w:t>See</w:t>
      </w:r>
      <w:r>
        <w:t xml:space="preserve"> </w:t>
      </w:r>
      <w:r w:rsidRPr="002D5F70">
        <w:rPr>
          <w:i/>
        </w:rPr>
        <w:t>id</w:t>
      </w:r>
      <w:r>
        <w:t>.</w:t>
      </w:r>
      <w:r>
        <w:t xml:space="preserve"> § 73.5002(d)</w:t>
      </w:r>
      <w:r w:rsidRPr="000325C5">
        <w:t>.</w:t>
      </w:r>
      <w:r>
        <w:t xml:space="preserve">  </w:t>
      </w:r>
      <w:r>
        <w:rPr>
          <w:i/>
        </w:rPr>
        <w:t>See also Broadcast First Reconsideration Order</w:t>
      </w:r>
      <w:r>
        <w:t xml:space="preserve">, 14 FCC Rcd </w:t>
      </w:r>
      <w:r>
        <w:t>at 8757-59</w:t>
      </w:r>
      <w:r>
        <w:t>,</w:t>
      </w:r>
      <w:r>
        <w:t xml:space="preserve"> paras. 64-66</w:t>
      </w:r>
      <w:r>
        <w:t xml:space="preserve"> </w:t>
      </w:r>
      <w:r>
        <w:t xml:space="preserve"> </w:t>
      </w:r>
      <w:r>
        <w:t>(</w:t>
      </w:r>
      <w:r>
        <w:t xml:space="preserve">extending settlement opportunities to MX engineering proposals in secondary broadcast services). </w:t>
      </w:r>
    </w:p>
  </w:footnote>
  <w:footnote w:id="8">
    <w:p w:rsidR="00C544E8" w:rsidRPr="000541C1" w:rsidP="00C544E8">
      <w:pPr>
        <w:pStyle w:val="FootnoteText"/>
      </w:pPr>
      <w:r>
        <w:rPr>
          <w:rStyle w:val="FootnoteReference"/>
        </w:rPr>
        <w:footnoteRef/>
      </w:r>
      <w:r>
        <w:t xml:space="preserve"> Thus, an Auction 100 applicant with a proposal listed in Attachment A may not communicate regarding bids or </w:t>
      </w:r>
      <w:r w:rsidRPr="000541C1">
        <w:t xml:space="preserve">bidding strategy (including post-auction market </w:t>
      </w:r>
      <w:r w:rsidRPr="000541C1">
        <w:t xml:space="preserve">structure) with respect to any other proposal(s) it may have submitted during the filing window.  </w:t>
      </w:r>
      <w:r w:rsidRPr="000541C1">
        <w:rPr>
          <w:i/>
        </w:rPr>
        <w:t xml:space="preserve">See </w:t>
      </w:r>
      <w:r w:rsidRPr="000541C1">
        <w:t xml:space="preserve">47 CFR §§ 1.2105(c), 73.5002(d).  </w:t>
      </w:r>
    </w:p>
  </w:footnote>
  <w:footnote w:id="9">
    <w:p w:rsidR="000C23AE" w:rsidP="000C23AE">
      <w:pPr>
        <w:pStyle w:val="FootnoteText"/>
      </w:pPr>
      <w:r w:rsidRPr="000541C1">
        <w:rPr>
          <w:rStyle w:val="FootnoteReference"/>
        </w:rPr>
        <w:footnoteRef/>
      </w:r>
      <w:r w:rsidRPr="000541C1">
        <w:t xml:space="preserve"> </w:t>
      </w:r>
      <w:r w:rsidRPr="000541C1">
        <w:rPr>
          <w:i/>
        </w:rPr>
        <w:t>See</w:t>
      </w:r>
      <w:r w:rsidRPr="000541C1">
        <w:t xml:space="preserve"> 47 CFR § 73.5002(e</w:t>
      </w:r>
      <w:r w:rsidRPr="00516595">
        <w:t>).</w:t>
      </w:r>
    </w:p>
  </w:footnote>
  <w:footnote w:id="10">
    <w:p w:rsidR="0092490C" w:rsidP="0092490C">
      <w:pPr>
        <w:pStyle w:val="FootnoteText"/>
      </w:pPr>
      <w:r>
        <w:rPr>
          <w:rStyle w:val="FootnoteReference"/>
        </w:rPr>
        <w:footnoteRef/>
      </w:r>
      <w:r>
        <w:t xml:space="preserve"> </w:t>
      </w:r>
      <w:r w:rsidRPr="00EB530A">
        <w:rPr>
          <w:i/>
        </w:rPr>
        <w:t xml:space="preserve">See </w:t>
      </w:r>
      <w:r w:rsidRPr="002D5F70">
        <w:rPr>
          <w:i/>
        </w:rPr>
        <w:t>id</w:t>
      </w:r>
      <w:r>
        <w:t>.</w:t>
      </w:r>
      <w:r w:rsidRPr="00EB530A">
        <w:t xml:space="preserve"> § 7</w:t>
      </w:r>
      <w:r>
        <w:t>4</w:t>
      </w:r>
      <w:r w:rsidRPr="00EB530A">
        <w:t>.</w:t>
      </w:r>
      <w:r>
        <w:t>1233(a)</w:t>
      </w:r>
      <w:r w:rsidRPr="00EB530A">
        <w:t>.</w:t>
      </w:r>
    </w:p>
  </w:footnote>
  <w:footnote w:id="11">
    <w:p w:rsidR="0092490C" w:rsidP="0092490C">
      <w:pPr>
        <w:pStyle w:val="FootnoteText"/>
      </w:pPr>
      <w:r>
        <w:rPr>
          <w:rStyle w:val="FootnoteReference"/>
        </w:rPr>
        <w:footnoteRef/>
      </w:r>
      <w:r>
        <w:t xml:space="preserve"> </w:t>
      </w:r>
      <w:r w:rsidRPr="00474BD4">
        <w:rPr>
          <w:i/>
        </w:rPr>
        <w:t xml:space="preserve">See </w:t>
      </w:r>
      <w:r>
        <w:rPr>
          <w:i/>
        </w:rPr>
        <w:t>infra</w:t>
      </w:r>
      <w:r w:rsidRPr="00474BD4">
        <w:t xml:space="preserve"> note </w:t>
      </w:r>
      <w:r w:rsidRPr="009E78CC">
        <w:t>1</w:t>
      </w:r>
      <w:r>
        <w:t>4</w:t>
      </w:r>
      <w:r w:rsidRPr="00474BD4">
        <w:t>.</w:t>
      </w:r>
    </w:p>
  </w:footnote>
  <w:footnote w:id="12">
    <w:p w:rsidR="00FE1561" w:rsidRPr="00BD420C" w:rsidP="00FE1561">
      <w:pPr>
        <w:pStyle w:val="FootnoteText"/>
      </w:pPr>
      <w:r>
        <w:rPr>
          <w:rStyle w:val="FootnoteReference"/>
        </w:rPr>
        <w:footnoteRef/>
      </w:r>
      <w:r>
        <w:t xml:space="preserve"> 47 U.S.C. § 311(c).</w:t>
      </w:r>
    </w:p>
  </w:footnote>
  <w:footnote w:id="13">
    <w:p w:rsidR="00FE1561" w:rsidRPr="00474BD4" w:rsidP="00FE1561">
      <w:pPr>
        <w:pStyle w:val="FootnoteText"/>
      </w:pPr>
      <w:r w:rsidRPr="00474BD4">
        <w:rPr>
          <w:rStyle w:val="FootnoteReference"/>
        </w:rPr>
        <w:footnoteRef/>
      </w:r>
      <w:r w:rsidRPr="00474BD4">
        <w:t xml:space="preserve"> 47 CFR § 73.3525.</w:t>
      </w:r>
    </w:p>
  </w:footnote>
  <w:footnote w:id="14">
    <w:p w:rsidR="00FE1561" w:rsidRPr="00516595" w:rsidP="00FE1561">
      <w:pPr>
        <w:pStyle w:val="FootnoteText"/>
      </w:pPr>
      <w:r w:rsidRPr="00516595">
        <w:rPr>
          <w:rStyle w:val="FootnoteReference"/>
        </w:rPr>
        <w:footnoteRef/>
      </w:r>
      <w:r w:rsidRPr="00516595">
        <w:t xml:space="preserve"> </w:t>
      </w:r>
      <w:r w:rsidRPr="00516595">
        <w:rPr>
          <w:i/>
        </w:rPr>
        <w:t>See</w:t>
      </w:r>
      <w:r w:rsidRPr="00516595">
        <w:t xml:space="preserve"> </w:t>
      </w:r>
      <w:r w:rsidRPr="002D5F70">
        <w:rPr>
          <w:i/>
        </w:rPr>
        <w:t>id</w:t>
      </w:r>
      <w:r>
        <w:t>.</w:t>
      </w:r>
      <w:r w:rsidRPr="00516595">
        <w:t xml:space="preserve"> § 73.5002(e).</w:t>
      </w:r>
    </w:p>
  </w:footnote>
  <w:footnote w:id="15">
    <w:p w:rsidR="00FE1561" w:rsidP="00FE1561">
      <w:pPr>
        <w:pStyle w:val="FootnoteText"/>
        <w:spacing w:after="0"/>
      </w:pPr>
      <w:r>
        <w:rPr>
          <w:rStyle w:val="FootnoteReference"/>
        </w:rPr>
        <w:footnoteRef/>
      </w:r>
      <w:r>
        <w:t xml:space="preserve"> Section 73.3525(a) requires that any such affidavit set forth:</w:t>
      </w:r>
    </w:p>
    <w:p w:rsidR="00FE1561" w:rsidP="00FE1561">
      <w:pPr>
        <w:pStyle w:val="FootnoteText"/>
        <w:numPr>
          <w:ilvl w:val="0"/>
          <w:numId w:val="7"/>
        </w:numPr>
        <w:spacing w:after="0"/>
      </w:pPr>
      <w:r>
        <w:t>The reasons why such an agreement is in the public interest;</w:t>
      </w:r>
    </w:p>
    <w:p w:rsidR="00FE1561" w:rsidP="00FE1561">
      <w:pPr>
        <w:pStyle w:val="FootnoteText"/>
        <w:numPr>
          <w:ilvl w:val="0"/>
          <w:numId w:val="7"/>
        </w:numPr>
        <w:spacing w:after="0"/>
      </w:pPr>
      <w:r>
        <w:t>A statement that its application was not filed for the purpose of reaching or carrying out a settlement agreeme</w:t>
      </w:r>
      <w:r>
        <w:t>nt;</w:t>
      </w:r>
    </w:p>
    <w:p w:rsidR="00FE1561" w:rsidP="00FE1561">
      <w:pPr>
        <w:pStyle w:val="FootnoteText"/>
        <w:numPr>
          <w:ilvl w:val="0"/>
          <w:numId w:val="7"/>
        </w:numPr>
        <w:spacing w:after="0"/>
      </w:pPr>
      <w:r>
        <w:t>A certification that neither the applicant nor its principals has received any money or other consideration in excess of the legitimate and prudent expenses of the applicant;</w:t>
      </w:r>
    </w:p>
    <w:p w:rsidR="00FE1561" w:rsidP="00FE1561">
      <w:pPr>
        <w:pStyle w:val="FootnoteText"/>
        <w:numPr>
          <w:ilvl w:val="0"/>
          <w:numId w:val="7"/>
        </w:numPr>
        <w:spacing w:after="0"/>
      </w:pPr>
      <w:r>
        <w:t>The exact nature and amount of any consideration paid or promised;</w:t>
      </w:r>
    </w:p>
    <w:p w:rsidR="00FE1561" w:rsidP="00FE1561">
      <w:pPr>
        <w:pStyle w:val="FootnoteText"/>
        <w:numPr>
          <w:ilvl w:val="0"/>
          <w:numId w:val="7"/>
        </w:numPr>
        <w:spacing w:after="0"/>
      </w:pPr>
      <w:r>
        <w:t>An itemize</w:t>
      </w:r>
      <w:r>
        <w:t>d accounting of the expenses for which it seeks reimbursement; and</w:t>
      </w:r>
    </w:p>
    <w:p w:rsidR="00FE1561" w:rsidRPr="002272E2" w:rsidP="00FE1561">
      <w:pPr>
        <w:pStyle w:val="FootnoteText"/>
        <w:numPr>
          <w:ilvl w:val="0"/>
          <w:numId w:val="7"/>
        </w:numPr>
      </w:pPr>
      <w:r>
        <w:t>The terms of any oral agreement relating to the dismissal or withdrawal of its application.</w:t>
      </w:r>
    </w:p>
  </w:footnote>
  <w:footnote w:id="16">
    <w:p w:rsidR="0092490C" w:rsidRPr="00474BD4" w:rsidP="0092490C">
      <w:pPr>
        <w:pStyle w:val="FootnoteText"/>
      </w:pPr>
      <w:r w:rsidRPr="00474BD4">
        <w:rPr>
          <w:rStyle w:val="FootnoteReference"/>
        </w:rPr>
        <w:footnoteRef/>
      </w:r>
      <w:r w:rsidRPr="00474BD4">
        <w:t xml:space="preserve"> </w:t>
      </w:r>
      <w:r>
        <w:t xml:space="preserve">When submitting the complete FCC Form 349, surviving applicants must simultaneously submit the </w:t>
      </w:r>
      <w:r>
        <w:t xml:space="preserve">required Form 349 application filing fee and Form 159, Remittance Advice.  </w:t>
      </w:r>
      <w:r w:rsidRPr="00474BD4">
        <w:rPr>
          <w:i/>
        </w:rPr>
        <w:t>See</w:t>
      </w:r>
      <w:r w:rsidRPr="00474BD4">
        <w:t xml:space="preserve"> </w:t>
      </w:r>
      <w:r>
        <w:t>S</w:t>
      </w:r>
      <w:r w:rsidRPr="00474BD4">
        <w:t xml:space="preserve">chedule of </w:t>
      </w:r>
      <w:r>
        <w:t>C</w:t>
      </w:r>
      <w:r w:rsidRPr="00474BD4">
        <w:t>harges at 47 CFR § 1.1104.  Method and forms of payment are addressed in 47 CFR §§ 1.11</w:t>
      </w:r>
      <w:r>
        <w:t>11</w:t>
      </w:r>
      <w:r w:rsidRPr="00474BD4">
        <w:t>, 1.111</w:t>
      </w:r>
      <w:r>
        <w:t>2</w:t>
      </w:r>
      <w:r w:rsidRPr="00474BD4">
        <w:t xml:space="preserve">.  </w:t>
      </w:r>
      <w:r w:rsidRPr="00474BD4">
        <w:rPr>
          <w:i/>
        </w:rPr>
        <w:t>See also</w:t>
      </w:r>
      <w:r w:rsidRPr="00474BD4">
        <w:t xml:space="preserve"> the Media Services Application Fee Filing Guide and the</w:t>
      </w:r>
      <w:r w:rsidRPr="00474BD4">
        <w:t xml:space="preserve"> FCC Form 3</w:t>
      </w:r>
      <w:r>
        <w:t>49</w:t>
      </w:r>
      <w:r w:rsidRPr="00474BD4">
        <w:t xml:space="preserve"> instructions</w:t>
      </w:r>
      <w:r>
        <w:t xml:space="preserve">. </w:t>
      </w:r>
    </w:p>
  </w:footnote>
  <w:footnote w:id="17">
    <w:p w:rsidR="0092490C" w:rsidP="0092490C">
      <w:pPr>
        <w:pStyle w:val="FootnoteText"/>
      </w:pPr>
      <w:r>
        <w:rPr>
          <w:rStyle w:val="FootnoteReference"/>
        </w:rPr>
        <w:footnoteRef/>
      </w:r>
      <w:r>
        <w:t xml:space="preserve"> </w:t>
      </w:r>
      <w:r>
        <w:rPr>
          <w:i/>
        </w:rPr>
        <w:t xml:space="preserve">See </w:t>
      </w:r>
      <w:r w:rsidRPr="00474BD4">
        <w:t>47 CFR § 73.3525</w:t>
      </w:r>
      <w:r>
        <w:t xml:space="preserve">(c). </w:t>
      </w:r>
    </w:p>
  </w:footnote>
  <w:footnote w:id="18">
    <w:p w:rsidR="00920F8E">
      <w:pPr>
        <w:pStyle w:val="FootnoteText"/>
      </w:pPr>
      <w:r>
        <w:rPr>
          <w:rStyle w:val="FootnoteReference"/>
        </w:rPr>
        <w:footnoteRef/>
      </w:r>
      <w:r>
        <w:t xml:space="preserve"> </w:t>
      </w:r>
      <w:r>
        <w:rPr>
          <w:i/>
        </w:rPr>
        <w:t xml:space="preserve">See </w:t>
      </w:r>
      <w:r w:rsidRPr="00474BD4">
        <w:t xml:space="preserve">47 CFR § </w:t>
      </w:r>
      <w:r>
        <w:t>0.401</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2E06" w:rsidRPr="00012E06" w:rsidP="00012E06">
    <w:pPr>
      <w:tabs>
        <w:tab w:val="center" w:pos="4680"/>
        <w:tab w:val="right" w:pos="9360"/>
      </w:tabs>
      <w:ind w:firstLine="1080"/>
      <w:rPr>
        <w:rFonts w:ascii="Arial" w:hAnsi="Arial" w:cs="Arial"/>
        <w:b/>
        <w:szCs w:val="22"/>
      </w:rPr>
    </w:pPr>
    <w:r w:rsidRPr="00012E06">
      <w:rPr>
        <w:rFonts w:ascii="Arial" w:hAnsi="Arial" w:cs="Arial"/>
        <w:b/>
        <w:sz w:val="96"/>
        <w:szCs w:val="96"/>
      </w:rPr>
      <w:tab/>
    </w:r>
    <w:r w:rsidRPr="00012E06">
      <w:rPr>
        <w:b/>
        <w:szCs w:val="22"/>
      </w:rPr>
      <w:t>Federal Communications Commission</w:t>
    </w:r>
    <w:r w:rsidRPr="00012E06">
      <w:rPr>
        <w:rFonts w:ascii="Arial" w:hAnsi="Arial" w:cs="Arial"/>
        <w:b/>
        <w:szCs w:val="22"/>
      </w:rPr>
      <w:tab/>
    </w:r>
    <w:r w:rsidRPr="00212A05">
      <w:rPr>
        <w:b/>
        <w:szCs w:val="22"/>
      </w:rPr>
      <w:t xml:space="preserve">DA </w:t>
    </w:r>
    <w:r w:rsidRPr="00DF068F" w:rsidR="00BC2540">
      <w:rPr>
        <w:b/>
        <w:szCs w:val="22"/>
      </w:rPr>
      <w:t>18-907</w:t>
    </w:r>
  </w:p>
  <w:p w:rsidR="006F739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837C62" w:rsidP="00837C62">
    <w:pPr>
      <w:pStyle w:val="Header"/>
    </w:pPr>
    <w:r>
      <w:rPr>
        <w:noProof/>
      </w:rPr>
      <w:drawing>
        <wp:anchor distT="0" distB="0" distL="114300" distR="114300" simplePos="0" relativeHeight="251666432" behindDoc="0" locked="0" layoutInCell="0" allowOverlap="1">
          <wp:simplePos x="0" y="0"/>
          <wp:positionH relativeFrom="column">
            <wp:posOffset>31750</wp:posOffset>
          </wp:positionH>
          <wp:positionV relativeFrom="paragraph">
            <wp:posOffset>107950</wp:posOffset>
          </wp:positionV>
          <wp:extent cx="530225" cy="530225"/>
          <wp:effectExtent l="0" t="0" r="3175" b="3175"/>
          <wp:wrapNone/>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418466" name="Picture 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837C62">
      <w:t>PUBLIC NOTICE</w:t>
    </w:r>
  </w:p>
  <w:p w:rsidR="00C82B6B" w:rsidP="00837C62">
    <w:pPr>
      <w:pStyle w:val="Header"/>
      <w:rPr>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pPr>
                      <w:rPr>
                        <w:rFonts w:ascii="Arial" w:hAnsi="Arial"/>
                        <w:b/>
                      </w:rPr>
                    </w:pPr>
                    <w:r>
                      <w:rPr>
                        <w:rFonts w:ascii="Arial" w:hAnsi="Arial"/>
                        <w:b/>
                      </w:rPr>
                      <w:t>Federal Communications Commission</w:t>
                    </w:r>
                  </w:p>
                  <w:p w:rsidR="00C82B6B" w:rsidP="00C82B6B">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82B6B" w:rsidP="00C82B6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Pr>
        <w:noProof/>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pPr>
                            <w:spacing w:before="40"/>
                            <w:jc w:val="right"/>
                            <w:rPr>
                              <w:rFonts w:ascii="Arial" w:hAnsi="Arial"/>
                              <w:b/>
                              <w:sz w:val="16"/>
                            </w:rPr>
                          </w:pPr>
                          <w:r>
                            <w:rPr>
                              <w:rFonts w:ascii="Arial" w:hAnsi="Arial"/>
                              <w:b/>
                              <w:sz w:val="16"/>
                            </w:rPr>
                            <w:t>News Media Information 202</w:t>
                          </w:r>
                          <w:r>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pPr>
                      <w:spacing w:before="40"/>
                      <w:jc w:val="right"/>
                      <w:rPr>
                        <w:rFonts w:ascii="Arial" w:hAnsi="Arial"/>
                        <w:b/>
                        <w:sz w:val="16"/>
                      </w:rPr>
                    </w:pPr>
                    <w:r>
                      <w:rPr>
                        <w:rFonts w:ascii="Arial" w:hAnsi="Arial"/>
                        <w:b/>
                        <w:sz w:val="16"/>
                      </w:rPr>
                      <w:t>News Media Information 202</w:t>
                    </w:r>
                    <w:r>
                      <w:rPr>
                        <w:rFonts w:ascii="Arial" w:hAnsi="Arial"/>
                        <w:b/>
                        <w:sz w:val="16"/>
                      </w:rPr>
                      <w:t>-</w:t>
                    </w:r>
                    <w:r>
                      <w:rPr>
                        <w:rFonts w:ascii="Arial" w:hAnsi="Arial"/>
                        <w:b/>
                        <w:sz w:val="16"/>
                      </w:rPr>
                      <w:t>418-0500</w:t>
                    </w:r>
                  </w:p>
                  <w:p w:rsidR="00C82B6B" w:rsidP="00C82B6B">
                    <w:pPr>
                      <w:jc w:val="right"/>
                      <w:rPr>
                        <w:rFonts w:ascii="Arial" w:hAnsi="Arial"/>
                        <w:b/>
                        <w:sz w:val="16"/>
                      </w:rPr>
                    </w:pPr>
                    <w:r>
                      <w:rPr>
                        <w:rFonts w:ascii="Arial" w:hAnsi="Arial"/>
                        <w:b/>
                        <w:sz w:val="16"/>
                      </w:rPr>
                      <w:tab/>
                      <w:t>Internet: www.fcc.gov</w:t>
                    </w:r>
                  </w:p>
                  <w:p w:rsidR="00C82B6B" w:rsidP="00C82B6B">
                    <w:pPr>
                      <w:jc w:val="right"/>
                      <w:rPr>
                        <w:rFonts w:ascii="Arial" w:hAnsi="Arial"/>
                        <w:b/>
                        <w:sz w:val="16"/>
                      </w:rPr>
                    </w:pPr>
                    <w:r>
                      <w:rPr>
                        <w:rFonts w:ascii="Arial" w:hAnsi="Arial"/>
                        <w:b/>
                        <w:sz w:val="16"/>
                      </w:rPr>
                      <w:t>TTY: 888-835-5322</w:t>
                    </w:r>
                  </w:p>
                  <w:p w:rsidR="00C82B6B" w:rsidP="00C82B6B">
                    <w:pPr>
                      <w:jc w:val="right"/>
                    </w:pPr>
                  </w:p>
                </w:txbxContent>
              </v:textbox>
            </v:shape>
          </w:pict>
        </mc:Fallback>
      </mc:AlternateContent>
    </w:r>
  </w:p>
  <w:p w:rsidR="006F7393" w:rsidRPr="00C82B6B" w:rsidP="00837C62">
    <w:pPr>
      <w:pStyle w:val="Header"/>
    </w:pPr>
    <w:r>
      <w:rPr>
        <w:noProof/>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46A179B"/>
    <w:multiLevelType w:val="hybridMultilevel"/>
    <w:tmpl w:val="A508A342"/>
    <w:lvl w:ilvl="0">
      <w:start w:val="1"/>
      <w:numFmt w:val="lowerLetter"/>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800"/>
        </w:tabs>
        <w:ind w:left="72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09DD"/>
    <w:pPr>
      <w:widowControl w:val="0"/>
    </w:pPr>
    <w:rPr>
      <w:snapToGrid w:val="0"/>
      <w:kern w:val="28"/>
      <w:sz w:val="22"/>
    </w:rPr>
  </w:style>
  <w:style w:type="paragraph" w:styleId="Heading1">
    <w:name w:val="heading 1"/>
    <w:basedOn w:val="Normal"/>
    <w:next w:val="ParaNum"/>
    <w:qFormat/>
    <w:rsid w:val="00CB09D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B09DD"/>
    <w:pPr>
      <w:keepNext/>
      <w:numPr>
        <w:ilvl w:val="1"/>
        <w:numId w:val="3"/>
      </w:numPr>
      <w:spacing w:after="120"/>
      <w:outlineLvl w:val="1"/>
    </w:pPr>
    <w:rPr>
      <w:b/>
    </w:rPr>
  </w:style>
  <w:style w:type="paragraph" w:styleId="Heading3">
    <w:name w:val="heading 3"/>
    <w:basedOn w:val="Normal"/>
    <w:next w:val="ParaNum"/>
    <w:qFormat/>
    <w:rsid w:val="00CB09DD"/>
    <w:pPr>
      <w:keepNext/>
      <w:numPr>
        <w:ilvl w:val="2"/>
        <w:numId w:val="3"/>
      </w:numPr>
      <w:tabs>
        <w:tab w:val="left" w:pos="2160"/>
      </w:tabs>
      <w:spacing w:after="120"/>
      <w:outlineLvl w:val="2"/>
    </w:pPr>
    <w:rPr>
      <w:b/>
    </w:rPr>
  </w:style>
  <w:style w:type="paragraph" w:styleId="Heading4">
    <w:name w:val="heading 4"/>
    <w:basedOn w:val="Normal"/>
    <w:next w:val="ParaNum"/>
    <w:qFormat/>
    <w:rsid w:val="00CB09DD"/>
    <w:pPr>
      <w:keepNext/>
      <w:numPr>
        <w:ilvl w:val="3"/>
        <w:numId w:val="3"/>
      </w:numPr>
      <w:tabs>
        <w:tab w:val="left" w:pos="2880"/>
      </w:tabs>
      <w:spacing w:after="120"/>
      <w:outlineLvl w:val="3"/>
    </w:pPr>
    <w:rPr>
      <w:b/>
    </w:rPr>
  </w:style>
  <w:style w:type="paragraph" w:styleId="Heading5">
    <w:name w:val="heading 5"/>
    <w:basedOn w:val="Normal"/>
    <w:next w:val="ParaNum"/>
    <w:qFormat/>
    <w:rsid w:val="00CB09D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B09DD"/>
    <w:pPr>
      <w:numPr>
        <w:ilvl w:val="5"/>
        <w:numId w:val="3"/>
      </w:numPr>
      <w:tabs>
        <w:tab w:val="left" w:pos="4320"/>
      </w:tabs>
      <w:spacing w:after="120"/>
      <w:outlineLvl w:val="5"/>
    </w:pPr>
    <w:rPr>
      <w:b/>
    </w:rPr>
  </w:style>
  <w:style w:type="paragraph" w:styleId="Heading7">
    <w:name w:val="heading 7"/>
    <w:basedOn w:val="Normal"/>
    <w:next w:val="ParaNum"/>
    <w:qFormat/>
    <w:rsid w:val="00CB09D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B09D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B09D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CB09DD"/>
    <w:pPr>
      <w:numPr>
        <w:numId w:val="2"/>
      </w:numPr>
      <w:tabs>
        <w:tab w:val="num" w:pos="1440"/>
        <w:tab w:val="clear" w:pos="1800"/>
      </w:tabs>
      <w:spacing w:after="120"/>
      <w:ind w:left="0"/>
    </w:pPr>
  </w:style>
  <w:style w:type="paragraph" w:styleId="EndnoteText">
    <w:name w:val="endnote text"/>
    <w:basedOn w:val="Normal"/>
    <w:semiHidden/>
    <w:rsid w:val="00CB09DD"/>
    <w:rPr>
      <w:sz w:val="20"/>
    </w:rPr>
  </w:style>
  <w:style w:type="character" w:styleId="EndnoteReference">
    <w:name w:val="endnote reference"/>
    <w:semiHidden/>
    <w:rsid w:val="00CB09DD"/>
    <w:rPr>
      <w:vertAlign w:val="superscript"/>
    </w:rPr>
  </w:style>
  <w:style w:type="paragraph" w:styleId="FootnoteText">
    <w:name w:val="footnote text"/>
    <w:aliases w:val="Footnote Text Char1,Footnote Text Char1 Char,Footnote Text Char1 Char Char Char Char,Footnote Text Char2 Char Char Char Char Char1,Footnote Text Char2 Char1 Char Char1,Footnote Text Char3,Footnote Text Char3 Char Char1,Footnote Text Char5"/>
    <w:link w:val="FootnoteTextChar"/>
    <w:rsid w:val="00CB09DD"/>
    <w:pPr>
      <w:spacing w:after="120"/>
    </w:pPr>
  </w:style>
  <w:style w:type="character" w:styleId="FootnoteReference">
    <w:name w:val="footnote reference"/>
    <w:rsid w:val="00CB09DD"/>
    <w:rPr>
      <w:rFonts w:ascii="Times New Roman" w:hAnsi="Times New Roman"/>
      <w:dstrike w:val="0"/>
      <w:color w:val="auto"/>
      <w:sz w:val="20"/>
      <w:vertAlign w:val="superscript"/>
    </w:rPr>
  </w:style>
  <w:style w:type="paragraph" w:styleId="TOC1">
    <w:name w:val="toc 1"/>
    <w:basedOn w:val="Normal"/>
    <w:next w:val="Normal"/>
    <w:semiHidden/>
    <w:rsid w:val="00CB09D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B09DD"/>
    <w:pPr>
      <w:tabs>
        <w:tab w:val="left" w:pos="720"/>
        <w:tab w:val="right" w:leader="dot" w:pos="9360"/>
      </w:tabs>
      <w:suppressAutoHyphens/>
      <w:ind w:left="720" w:right="720" w:hanging="360"/>
    </w:pPr>
    <w:rPr>
      <w:noProof/>
    </w:rPr>
  </w:style>
  <w:style w:type="paragraph" w:styleId="TOC3">
    <w:name w:val="toc 3"/>
    <w:basedOn w:val="Normal"/>
    <w:next w:val="Normal"/>
    <w:semiHidden/>
    <w:rsid w:val="00CB09D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09D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09D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09D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09D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09D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09D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09DD"/>
    <w:pPr>
      <w:tabs>
        <w:tab w:val="right" w:pos="9360"/>
      </w:tabs>
      <w:suppressAutoHyphens/>
    </w:pPr>
  </w:style>
  <w:style w:type="character" w:customStyle="1" w:styleId="EquationCaption">
    <w:name w:val="_Equation Caption"/>
    <w:rsid w:val="00CB09DD"/>
  </w:style>
  <w:style w:type="paragraph" w:styleId="Header">
    <w:name w:val="header"/>
    <w:basedOn w:val="Normal"/>
    <w:autoRedefine/>
    <w:rsid w:val="00CB09DD"/>
    <w:pPr>
      <w:spacing w:before="40"/>
    </w:pPr>
    <w:rPr>
      <w:rFonts w:ascii="Arial" w:hAnsi="Arial" w:cs="Arial"/>
      <w:b/>
      <w:sz w:val="96"/>
    </w:rPr>
  </w:style>
  <w:style w:type="paragraph" w:styleId="Footer">
    <w:name w:val="footer"/>
    <w:basedOn w:val="Normal"/>
    <w:link w:val="FooterChar"/>
    <w:uiPriority w:val="99"/>
    <w:rsid w:val="00CB09DD"/>
    <w:pPr>
      <w:tabs>
        <w:tab w:val="center" w:pos="4320"/>
        <w:tab w:val="right" w:pos="8640"/>
      </w:tabs>
    </w:pPr>
  </w:style>
  <w:style w:type="character" w:styleId="PageNumber">
    <w:name w:val="page number"/>
    <w:rsid w:val="00CB09DD"/>
  </w:style>
  <w:style w:type="paragraph" w:styleId="BlockText">
    <w:name w:val="Block Text"/>
    <w:basedOn w:val="Normal"/>
    <w:rsid w:val="00CB09DD"/>
    <w:pPr>
      <w:spacing w:after="240"/>
      <w:ind w:left="1440" w:right="1440"/>
    </w:pPr>
  </w:style>
  <w:style w:type="paragraph" w:customStyle="1" w:styleId="Paratitle">
    <w:name w:val="Para title"/>
    <w:basedOn w:val="Normal"/>
    <w:rsid w:val="00CB09DD"/>
    <w:pPr>
      <w:tabs>
        <w:tab w:val="center" w:pos="9270"/>
      </w:tabs>
      <w:spacing w:after="240"/>
    </w:pPr>
    <w:rPr>
      <w:spacing w:val="-2"/>
    </w:rPr>
  </w:style>
  <w:style w:type="paragraph" w:customStyle="1" w:styleId="Bullet">
    <w:name w:val="Bullet"/>
    <w:basedOn w:val="Normal"/>
    <w:rsid w:val="00CB09DD"/>
    <w:pPr>
      <w:tabs>
        <w:tab w:val="left" w:pos="2160"/>
      </w:tabs>
      <w:spacing w:after="220"/>
      <w:ind w:left="2160" w:hanging="720"/>
    </w:pPr>
  </w:style>
  <w:style w:type="paragraph" w:customStyle="1" w:styleId="TableFormat">
    <w:name w:val="TableFormat"/>
    <w:basedOn w:val="Bullet"/>
    <w:rsid w:val="00CB09DD"/>
    <w:pPr>
      <w:tabs>
        <w:tab w:val="clear" w:pos="2160"/>
        <w:tab w:val="left" w:pos="5040"/>
      </w:tabs>
      <w:ind w:left="5040" w:hanging="3600"/>
    </w:pPr>
  </w:style>
  <w:style w:type="paragraph" w:customStyle="1" w:styleId="TOCTitle">
    <w:name w:val="TOC Title"/>
    <w:basedOn w:val="Normal"/>
    <w:rsid w:val="00CB09D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09DD"/>
    <w:pPr>
      <w:jc w:val="center"/>
    </w:pPr>
    <w:rPr>
      <w:rFonts w:ascii="Times New Roman Bold" w:hAnsi="Times New Roman Bold"/>
      <w:b/>
      <w:bCs/>
      <w:caps/>
      <w:szCs w:val="22"/>
    </w:rPr>
  </w:style>
  <w:style w:type="character" w:styleId="Hyperlink">
    <w:name w:val="Hyperlink"/>
    <w:rsid w:val="00CB09DD"/>
    <w:rPr>
      <w:color w:val="0000FF"/>
      <w:u w:val="single"/>
    </w:rPr>
  </w:style>
  <w:style w:type="character" w:customStyle="1" w:styleId="FootnoteTextChar">
    <w:name w:val="Footnote Text Char"/>
    <w:aliases w:val="Footnote Text Char1 Char Char,Footnote Text Char1 Char Char Char Char Char,Footnote Text Char1 Char1,Footnote Text Char2 Char Char Char Char Char1 Char,Footnote Text Char2 Char1 Char Char1 Char,Footnote Text Char3 Char"/>
    <w:link w:val="FootnoteText"/>
    <w:rsid w:val="0092490C"/>
  </w:style>
  <w:style w:type="paragraph" w:styleId="BalloonText">
    <w:name w:val="Balloon Text"/>
    <w:basedOn w:val="Normal"/>
    <w:link w:val="BalloonTextChar"/>
    <w:rsid w:val="00CB09DD"/>
    <w:rPr>
      <w:rFonts w:ascii="Segoe UI" w:hAnsi="Segoe UI" w:cs="Segoe UI"/>
      <w:sz w:val="18"/>
      <w:szCs w:val="18"/>
    </w:rPr>
  </w:style>
  <w:style w:type="character" w:customStyle="1" w:styleId="BalloonTextChar">
    <w:name w:val="Balloon Text Char"/>
    <w:link w:val="BalloonText"/>
    <w:rsid w:val="00CB09DD"/>
    <w:rPr>
      <w:rFonts w:ascii="Segoe UI" w:hAnsi="Segoe UI" w:cs="Segoe UI"/>
      <w:snapToGrid w:val="0"/>
      <w:kern w:val="28"/>
      <w:sz w:val="18"/>
      <w:szCs w:val="18"/>
    </w:rPr>
  </w:style>
  <w:style w:type="character" w:customStyle="1" w:styleId="FooterChar">
    <w:name w:val="Footer Char"/>
    <w:link w:val="Footer"/>
    <w:uiPriority w:val="99"/>
    <w:rsid w:val="00CB09DD"/>
    <w:rPr>
      <w:snapToGrid w:val="0"/>
      <w:kern w:val="28"/>
      <w:sz w:val="22"/>
    </w:rPr>
  </w:style>
  <w:style w:type="character" w:styleId="CommentReference">
    <w:name w:val="annotation reference"/>
    <w:basedOn w:val="DefaultParagraphFont"/>
    <w:uiPriority w:val="99"/>
    <w:semiHidden/>
    <w:unhideWhenUsed/>
    <w:rsid w:val="002D33A8"/>
    <w:rPr>
      <w:sz w:val="16"/>
      <w:szCs w:val="16"/>
    </w:rPr>
  </w:style>
  <w:style w:type="paragraph" w:styleId="CommentText">
    <w:name w:val="annotation text"/>
    <w:basedOn w:val="Normal"/>
    <w:link w:val="CommentTextChar"/>
    <w:uiPriority w:val="99"/>
    <w:semiHidden/>
    <w:unhideWhenUsed/>
    <w:rsid w:val="002D33A8"/>
    <w:rPr>
      <w:sz w:val="20"/>
    </w:rPr>
  </w:style>
  <w:style w:type="character" w:customStyle="1" w:styleId="CommentTextChar">
    <w:name w:val="Comment Text Char"/>
    <w:basedOn w:val="DefaultParagraphFont"/>
    <w:link w:val="CommentText"/>
    <w:uiPriority w:val="99"/>
    <w:semiHidden/>
    <w:rsid w:val="002D33A8"/>
    <w:rPr>
      <w:snapToGrid w:val="0"/>
      <w:kern w:val="28"/>
    </w:rPr>
  </w:style>
  <w:style w:type="paragraph" w:styleId="CommentSubject">
    <w:name w:val="annotation subject"/>
    <w:basedOn w:val="CommentText"/>
    <w:next w:val="CommentText"/>
    <w:link w:val="CommentSubjectChar"/>
    <w:uiPriority w:val="99"/>
    <w:semiHidden/>
    <w:unhideWhenUsed/>
    <w:rsid w:val="002D33A8"/>
    <w:rPr>
      <w:b/>
      <w:bCs/>
    </w:rPr>
  </w:style>
  <w:style w:type="character" w:customStyle="1" w:styleId="CommentSubjectChar">
    <w:name w:val="Comment Subject Char"/>
    <w:basedOn w:val="CommentTextChar"/>
    <w:link w:val="CommentSubject"/>
    <w:uiPriority w:val="99"/>
    <w:semiHidden/>
    <w:rsid w:val="002D33A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