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E1011" w:rsidRPr="005F7CE2" w:rsidP="002E1011">
      <w:pPr>
        <w:jc w:val="right"/>
        <w:rPr>
          <w:b/>
          <w:szCs w:val="22"/>
        </w:rPr>
      </w:pPr>
      <w:r>
        <w:rPr>
          <w:b/>
          <w:szCs w:val="22"/>
        </w:rPr>
        <w:t xml:space="preserve">DA </w:t>
      </w:r>
      <w:r w:rsidRPr="00DE72C4">
        <w:rPr>
          <w:b/>
          <w:szCs w:val="22"/>
        </w:rPr>
        <w:t>18</w:t>
      </w:r>
      <w:r>
        <w:rPr>
          <w:b/>
          <w:szCs w:val="22"/>
        </w:rPr>
        <w:t>-910</w:t>
      </w:r>
    </w:p>
    <w:p w:rsidR="002E1011" w:rsidRPr="005F7CE2" w:rsidP="002E1011">
      <w:pPr>
        <w:spacing w:before="60"/>
        <w:jc w:val="right"/>
        <w:rPr>
          <w:b/>
          <w:szCs w:val="22"/>
        </w:rPr>
      </w:pPr>
      <w:r>
        <w:rPr>
          <w:b/>
          <w:szCs w:val="22"/>
        </w:rPr>
        <w:t>September 4, 2018</w:t>
      </w:r>
    </w:p>
    <w:p w:rsidR="002E1011" w:rsidRPr="00DA087C" w:rsidP="002E1011">
      <w:pPr>
        <w:jc w:val="right"/>
        <w:rPr>
          <w:szCs w:val="22"/>
        </w:rPr>
      </w:pPr>
    </w:p>
    <w:p w:rsidR="002E1011" w:rsidP="002E1011">
      <w:pPr>
        <w:jc w:val="center"/>
        <w:rPr>
          <w:b/>
          <w:szCs w:val="22"/>
        </w:rPr>
      </w:pPr>
      <w:r w:rsidRPr="00DA087C">
        <w:rPr>
          <w:b/>
          <w:szCs w:val="22"/>
        </w:rPr>
        <w:t>P</w:t>
      </w:r>
      <w:r>
        <w:rPr>
          <w:b/>
          <w:szCs w:val="22"/>
        </w:rPr>
        <w:t>LEADING CYCLE ESTABLISHED FOR AT&amp;T PETITION FOR</w:t>
      </w:r>
    </w:p>
    <w:p w:rsidR="002E1011" w:rsidP="002E1011">
      <w:pPr>
        <w:jc w:val="center"/>
        <w:rPr>
          <w:b/>
          <w:szCs w:val="22"/>
        </w:rPr>
      </w:pPr>
      <w:r>
        <w:rPr>
          <w:b/>
          <w:szCs w:val="22"/>
        </w:rPr>
        <w:t xml:space="preserve">RECONSIDERATION OF </w:t>
      </w:r>
      <w:r w:rsidRPr="00FB12FC">
        <w:rPr>
          <w:b/>
          <w:szCs w:val="22"/>
        </w:rPr>
        <w:t>MEMORANDUM OPINION AND ORDER</w:t>
      </w:r>
      <w:r>
        <w:rPr>
          <w:b/>
          <w:szCs w:val="22"/>
        </w:rPr>
        <w:t xml:space="preserve"> IN</w:t>
      </w:r>
    </w:p>
    <w:p w:rsidR="002E1011" w:rsidP="002E1011">
      <w:pPr>
        <w:jc w:val="center"/>
        <w:rPr>
          <w:b/>
          <w:szCs w:val="22"/>
        </w:rPr>
      </w:pPr>
      <w:r>
        <w:rPr>
          <w:b/>
          <w:szCs w:val="22"/>
        </w:rPr>
        <w:t>IOWA NETWORK ACCESS DIVISION TARIFF F.C.C. NO. 1</w:t>
      </w:r>
    </w:p>
    <w:p w:rsidR="002E1011" w:rsidP="002E1011">
      <w:pPr>
        <w:jc w:val="center"/>
        <w:rPr>
          <w:b/>
          <w:szCs w:val="22"/>
        </w:rPr>
      </w:pPr>
    </w:p>
    <w:p w:rsidR="002E1011" w:rsidRPr="00DA087C" w:rsidP="002E1011">
      <w:pPr>
        <w:spacing w:after="240"/>
        <w:jc w:val="center"/>
        <w:rPr>
          <w:b/>
          <w:szCs w:val="22"/>
        </w:rPr>
      </w:pPr>
      <w:r>
        <w:rPr>
          <w:b/>
          <w:szCs w:val="22"/>
        </w:rPr>
        <w:t>WC Docket No. 18-60; Transmittal No. 36</w:t>
      </w:r>
    </w:p>
    <w:p w:rsidR="002E1011" w:rsidRPr="00DA087C" w:rsidP="002E1011">
      <w:pPr>
        <w:rPr>
          <w:b/>
          <w:szCs w:val="22"/>
        </w:rPr>
      </w:pPr>
      <w:r>
        <w:rPr>
          <w:b/>
          <w:szCs w:val="22"/>
        </w:rPr>
        <w:t>Oppositions Due</w:t>
      </w:r>
      <w:r w:rsidRPr="00DA087C">
        <w:rPr>
          <w:b/>
          <w:szCs w:val="22"/>
        </w:rPr>
        <w:t xml:space="preserve">: </w:t>
      </w:r>
      <w:r>
        <w:rPr>
          <w:b/>
          <w:szCs w:val="22"/>
        </w:rPr>
        <w:t xml:space="preserve"> September 19, 2018</w:t>
      </w:r>
    </w:p>
    <w:p w:rsidR="002E1011" w:rsidP="002E1011">
      <w:pPr>
        <w:rPr>
          <w:b/>
          <w:szCs w:val="22"/>
        </w:rPr>
      </w:pPr>
      <w:r>
        <w:rPr>
          <w:b/>
          <w:szCs w:val="22"/>
        </w:rPr>
        <w:t>Replies Due</w:t>
      </w:r>
      <w:r w:rsidRPr="00DA087C">
        <w:rPr>
          <w:b/>
          <w:szCs w:val="22"/>
        </w:rPr>
        <w:t xml:space="preserve">: </w:t>
      </w:r>
      <w:r>
        <w:rPr>
          <w:b/>
          <w:szCs w:val="22"/>
        </w:rPr>
        <w:t xml:space="preserve"> September 26, 2018</w:t>
      </w:r>
    </w:p>
    <w:p w:rsidR="002E1011" w:rsidRPr="00DA087C" w:rsidP="002E1011">
      <w:pPr>
        <w:rPr>
          <w:szCs w:val="22"/>
        </w:rPr>
      </w:pPr>
    </w:p>
    <w:p w:rsidR="002E1011" w:rsidP="002E1011">
      <w:pPr>
        <w:autoSpaceDE w:val="0"/>
        <w:autoSpaceDN w:val="0"/>
        <w:adjustRightInd w:val="0"/>
        <w:ind w:firstLine="720"/>
        <w:rPr>
          <w:szCs w:val="22"/>
        </w:rPr>
      </w:pPr>
      <w:r w:rsidRPr="00DA087C">
        <w:rPr>
          <w:szCs w:val="22"/>
        </w:rPr>
        <w:t xml:space="preserve">By this Public Notice, the Wireline Competition Bureau invites interested parties to </w:t>
      </w:r>
      <w:r>
        <w:rPr>
          <w:szCs w:val="22"/>
        </w:rPr>
        <w:t xml:space="preserve">comment on AT&amp;T’s Petition for Reconsideration of the Memorandum Opinion and Order concluding the investigation into the lawfulness of Iowa Network Access Division’s d/b/a </w:t>
      </w:r>
      <w:r>
        <w:rPr>
          <w:szCs w:val="22"/>
        </w:rPr>
        <w:t>Aureon</w:t>
      </w:r>
      <w:r>
        <w:rPr>
          <w:szCs w:val="22"/>
        </w:rPr>
        <w:t xml:space="preserve"> interstate switched transport rate contained in Transmittal No. 36 of Tariff F.C.C. No. 1.</w:t>
      </w:r>
      <w:r>
        <w:rPr>
          <w:rStyle w:val="FootnoteReference"/>
          <w:szCs w:val="22"/>
        </w:rPr>
        <w:footnoteReference w:id="3"/>
      </w:r>
      <w:r>
        <w:rPr>
          <w:szCs w:val="22"/>
        </w:rPr>
        <w:t xml:space="preserve">  In its petition for reconsideration, AT&amp;T requests that the </w:t>
      </w:r>
      <w:r w:rsidRPr="004D47EF">
        <w:rPr>
          <w:szCs w:val="22"/>
        </w:rPr>
        <w:t>Commission calculate the</w:t>
      </w:r>
      <w:bookmarkStart w:id="0" w:name="_GoBack"/>
      <w:bookmarkEnd w:id="0"/>
      <w:r w:rsidRPr="004D47EF">
        <w:rPr>
          <w:szCs w:val="22"/>
        </w:rPr>
        <w:t xml:space="preserve"> </w:t>
      </w:r>
      <w:r>
        <w:rPr>
          <w:szCs w:val="22"/>
        </w:rPr>
        <w:t>competitive local exchange carrier</w:t>
      </w:r>
      <w:r w:rsidRPr="004D47EF">
        <w:rPr>
          <w:szCs w:val="22"/>
        </w:rPr>
        <w:t xml:space="preserve"> benchmark rate for </w:t>
      </w:r>
      <w:r w:rsidRPr="004D47EF">
        <w:rPr>
          <w:szCs w:val="22"/>
        </w:rPr>
        <w:t>Aureon’s</w:t>
      </w:r>
      <w:r w:rsidRPr="004D47EF">
        <w:rPr>
          <w:szCs w:val="22"/>
        </w:rPr>
        <w:t xml:space="preserve"> </w:t>
      </w:r>
      <w:r>
        <w:rPr>
          <w:szCs w:val="22"/>
        </w:rPr>
        <w:t>centralized equal access s</w:t>
      </w:r>
      <w:r w:rsidRPr="004D47EF">
        <w:rPr>
          <w:szCs w:val="22"/>
        </w:rPr>
        <w:t>ervice based on the mileage</w:t>
      </w:r>
      <w:r>
        <w:rPr>
          <w:szCs w:val="22"/>
        </w:rPr>
        <w:t xml:space="preserve"> </w:t>
      </w:r>
      <w:r w:rsidRPr="004D47EF">
        <w:rPr>
          <w:szCs w:val="22"/>
        </w:rPr>
        <w:t>that CenturyLink would charge for the competitive service</w:t>
      </w:r>
      <w:r>
        <w:rPr>
          <w:szCs w:val="22"/>
        </w:rPr>
        <w:t>.</w:t>
      </w:r>
      <w:r>
        <w:rPr>
          <w:rStyle w:val="FootnoteReference"/>
          <w:szCs w:val="22"/>
        </w:rPr>
        <w:footnoteReference w:id="4"/>
      </w:r>
    </w:p>
    <w:p w:rsidR="002E1011" w:rsidP="002E1011">
      <w:pPr>
        <w:autoSpaceDE w:val="0"/>
        <w:autoSpaceDN w:val="0"/>
        <w:adjustRightInd w:val="0"/>
        <w:rPr>
          <w:szCs w:val="22"/>
        </w:rPr>
      </w:pPr>
    </w:p>
    <w:p w:rsidR="002E1011" w:rsidRPr="00563B76" w:rsidP="002E1011">
      <w:pPr>
        <w:pStyle w:val="ParaNum"/>
        <w:numPr>
          <w:ilvl w:val="0"/>
          <w:numId w:val="0"/>
        </w:numPr>
        <w:tabs>
          <w:tab w:val="num" w:pos="1440"/>
        </w:tabs>
        <w:spacing w:after="220"/>
        <w:ind w:firstLine="720"/>
      </w:pPr>
      <w:r>
        <w:t xml:space="preserve">Interested </w:t>
      </w:r>
      <w:r w:rsidRPr="006F3398">
        <w:rPr>
          <w:szCs w:val="22"/>
        </w:rPr>
        <w:t>parties</w:t>
      </w:r>
      <w:r>
        <w:t xml:space="preserve"> may file comments and reply comments on or before the respective dates indicated above.  Comments may be filed using the Commission’s Electronic Comment Filing System (ECFS).  </w:t>
      </w:r>
      <w:r w:rsidRPr="00563B76">
        <w:rPr>
          <w:i/>
          <w:iCs/>
          <w:szCs w:val="22"/>
        </w:rPr>
        <w:t>See Electronic Filing of Documents in</w:t>
      </w:r>
      <w:r>
        <w:rPr>
          <w:i/>
          <w:iCs/>
          <w:szCs w:val="22"/>
        </w:rPr>
        <w:t xml:space="preserve"> </w:t>
      </w:r>
      <w:r w:rsidRPr="00563B76">
        <w:rPr>
          <w:i/>
          <w:iCs/>
          <w:szCs w:val="22"/>
        </w:rPr>
        <w:t>Rulemaking Proceedings</w:t>
      </w:r>
      <w:r w:rsidRPr="00563B76">
        <w:rPr>
          <w:szCs w:val="22"/>
        </w:rPr>
        <w:t>, 63 FR 24121 (1998).</w:t>
      </w:r>
    </w:p>
    <w:p w:rsidR="002E1011" w:rsidRPr="00C61DC6" w:rsidP="002E1011">
      <w:pPr>
        <w:numPr>
          <w:ilvl w:val="0"/>
          <w:numId w:val="8"/>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D96C8B">
        <w:rPr>
          <w:rStyle w:val="Hyperlink"/>
          <w:szCs w:val="22"/>
        </w:rPr>
        <w:t>https://www.fcc.gov/ecfs/</w:t>
      </w:r>
      <w:r>
        <w:fldChar w:fldCharType="end"/>
      </w:r>
      <w:r>
        <w:rPr>
          <w:rStyle w:val="Hyperlink"/>
          <w:szCs w:val="22"/>
        </w:rPr>
        <w:t>.</w:t>
      </w:r>
    </w:p>
    <w:p w:rsidR="002E1011" w:rsidRPr="006D08B3" w:rsidP="002E1011">
      <w:pPr>
        <w:numPr>
          <w:ilvl w:val="0"/>
          <w:numId w:val="7"/>
        </w:numPr>
        <w:spacing w:after="120"/>
        <w:rPr>
          <w:szCs w:val="22"/>
        </w:rPr>
      </w:pPr>
      <w:r w:rsidRPr="006D08B3">
        <w:rPr>
          <w:szCs w:val="22"/>
        </w:rPr>
        <w:t>Paper Filers:  Parties who choose to file by paper must file an original and one copy of each filing.  If more than one docket or rulemaking number appears in the caption of this proceeding, filers</w:t>
      </w:r>
      <w:r>
        <w:rPr>
          <w:szCs w:val="22"/>
        </w:rPr>
        <w:t xml:space="preserve"> </w:t>
      </w:r>
      <w:r w:rsidRPr="006D08B3">
        <w:rPr>
          <w:szCs w:val="22"/>
        </w:rPr>
        <w:t>must submit two additional copies for each additional docket or rulemaking number.</w:t>
      </w:r>
      <w:r>
        <w:rPr>
          <w:szCs w:val="22"/>
        </w:rPr>
        <w:t xml:space="preserve"> </w:t>
      </w:r>
    </w:p>
    <w:p w:rsidR="002E1011" w:rsidRPr="009775FF" w:rsidP="002E1011">
      <w:pPr>
        <w:autoSpaceDE w:val="0"/>
        <w:autoSpaceDN w:val="0"/>
        <w:adjustRightInd w:val="0"/>
        <w:ind w:firstLine="720"/>
      </w:pPr>
      <w:r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2E1011" w:rsidRPr="009775FF" w:rsidP="002E1011">
      <w:pPr>
        <w:numPr>
          <w:ilvl w:val="0"/>
          <w:numId w:val="9"/>
        </w:numPr>
        <w:spacing w:before="100" w:beforeAutospacing="1" w:after="120"/>
        <w:rPr>
          <w:szCs w:val="24"/>
        </w:rPr>
      </w:pPr>
      <w:r w:rsidRPr="009775FF">
        <w:rPr>
          <w:szCs w:val="24"/>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9775FF">
        <w:rPr>
          <w:szCs w:val="24"/>
          <w:u w:val="single"/>
        </w:rPr>
        <w:t>before</w:t>
      </w:r>
      <w:r w:rsidRPr="009775FF">
        <w:rPr>
          <w:szCs w:val="24"/>
        </w:rPr>
        <w:t xml:space="preserve"> entering the building.</w:t>
      </w:r>
    </w:p>
    <w:p w:rsidR="002E1011" w:rsidRPr="009775FF" w:rsidP="002E1011">
      <w:pPr>
        <w:numPr>
          <w:ilvl w:val="0"/>
          <w:numId w:val="9"/>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2E1011" w:rsidRPr="009775FF" w:rsidP="002E1011">
      <w:pPr>
        <w:numPr>
          <w:ilvl w:val="0"/>
          <w:numId w:val="9"/>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2E1011" w:rsidRPr="009775FF" w:rsidP="002E1011">
      <w:pPr>
        <w:spacing w:before="100" w:beforeAutospacing="1" w:after="100" w:afterAutospacing="1"/>
        <w:ind w:firstLine="720"/>
        <w:rPr>
          <w:szCs w:val="24"/>
        </w:rPr>
      </w:pPr>
      <w:r w:rsidRPr="009775FF">
        <w:rPr>
          <w:szCs w:val="24"/>
        </w:rPr>
        <w:t>People with Disabilities: To request materials in accessible formats for people with disabilities</w:t>
      </w:r>
      <w:r>
        <w:rPr>
          <w:szCs w:val="24"/>
        </w:rPr>
        <w:t xml:space="preserve"> </w:t>
      </w:r>
      <w:r w:rsidRPr="009775FF">
        <w:rPr>
          <w:szCs w:val="24"/>
        </w:rPr>
        <w:t xml:space="preserve">(Braille, large print, electronic files, audio format), send an e-mail to </w:t>
      </w:r>
      <w:r>
        <w:fldChar w:fldCharType="begin"/>
      </w:r>
      <w:r>
        <w:instrText xml:space="preserve"> HYPERLINK "mailto:fcc504@fcc.gov" </w:instrText>
      </w:r>
      <w:r>
        <w:fldChar w:fldCharType="separate"/>
      </w:r>
      <w:r w:rsidRPr="009775FF">
        <w:rPr>
          <w:rStyle w:val="Hyperlink"/>
          <w:szCs w:val="24"/>
        </w:rPr>
        <w:t>fcc504@fcc.gov</w:t>
      </w:r>
      <w:r>
        <w:fldChar w:fldCharType="end"/>
      </w:r>
      <w:r w:rsidRPr="009775FF">
        <w:rPr>
          <w:szCs w:val="24"/>
        </w:rPr>
        <w:t xml:space="preserve"> or call the Consumer &amp; Governmental Affairs Bureau at (202) 418-0530 (voice) or (202) 418-0432 (</w:t>
      </w:r>
      <w:r w:rsidRPr="009775FF">
        <w:rPr>
          <w:szCs w:val="24"/>
        </w:rPr>
        <w:t>tty</w:t>
      </w:r>
      <w:r w:rsidRPr="009775FF">
        <w:rPr>
          <w:szCs w:val="24"/>
        </w:rPr>
        <w:t>).</w:t>
      </w:r>
    </w:p>
    <w:p w:rsidR="002E1011" w:rsidRPr="004C403E" w:rsidP="002E1011">
      <w:pPr>
        <w:ind w:firstLine="720"/>
      </w:pPr>
      <w:r w:rsidRPr="004C403E">
        <w:t xml:space="preserve">This proceeding shall </w:t>
      </w:r>
      <w:r>
        <w:t xml:space="preserve">continue to </w:t>
      </w:r>
      <w:r w:rsidRPr="004C403E">
        <w:t xml:space="preserve">be treated as a “permit-but-disclose” proceeding in accordance with the Commission’s </w:t>
      </w:r>
      <w:r w:rsidRPr="004C403E">
        <w:rPr>
          <w:i/>
          <w:iCs/>
        </w:rPr>
        <w:t xml:space="preserve">ex parte </w:t>
      </w:r>
      <w:r w:rsidRPr="004C403E">
        <w:t>rules.</w:t>
      </w:r>
      <w:r>
        <w:rPr>
          <w:rStyle w:val="FootnoteReference"/>
          <w:szCs w:val="22"/>
        </w:rPr>
        <w:footnoteReference w:id="5"/>
      </w:r>
      <w:r w:rsidRPr="004C403E">
        <w:t xml:space="preserve">  Persons making </w:t>
      </w:r>
      <w:r w:rsidRPr="004C403E">
        <w:rPr>
          <w:i/>
        </w:rPr>
        <w:t xml:space="preserve">ex parte </w:t>
      </w:r>
      <w:r w:rsidRPr="004C403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C403E">
        <w:rPr>
          <w:i/>
          <w:iCs/>
        </w:rPr>
        <w:t xml:space="preserve">ex parte </w:t>
      </w:r>
      <w:r w:rsidRPr="004C403E">
        <w:t xml:space="preserve">presentations are reminded that memoranda summarizing the presentation must (1) list all persons attending or otherwise participating in the meeting at which the </w:t>
      </w:r>
      <w:r w:rsidRPr="004C403E">
        <w:rPr>
          <w:i/>
          <w:iCs/>
        </w:rPr>
        <w:t xml:space="preserve">ex parte </w:t>
      </w:r>
      <w:r w:rsidRPr="004C403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C403E">
        <w:rPr>
          <w:i/>
          <w:iCs/>
        </w:rPr>
        <w:t xml:space="preserve">ex parte </w:t>
      </w:r>
      <w:r w:rsidRPr="004C403E">
        <w:t xml:space="preserve">meetings are deemed to be written </w:t>
      </w:r>
      <w:r w:rsidRPr="004C403E">
        <w:rPr>
          <w:i/>
          <w:iCs/>
        </w:rPr>
        <w:t>ex parte</w:t>
      </w:r>
      <w:r w:rsidRPr="004C403E">
        <w:t xml:space="preserve"> presentations and must be filed consistent with rule 1.1206(b).  In proceedings governed by rule 1.49(f) or for which the Commission has made available a method of electronic filing, written </w:t>
      </w:r>
      <w:r w:rsidRPr="004C403E">
        <w:rPr>
          <w:i/>
          <w:iCs/>
        </w:rPr>
        <w:t xml:space="preserve">ex parte </w:t>
      </w:r>
      <w:r w:rsidRPr="004C403E">
        <w:t xml:space="preserve">presentations and memoranda summarizing oral </w:t>
      </w:r>
      <w:r w:rsidRPr="004C403E">
        <w:rPr>
          <w:i/>
          <w:iCs/>
        </w:rPr>
        <w:t xml:space="preserve">ex parte </w:t>
      </w:r>
      <w:r w:rsidRPr="004C403E">
        <w:t>presentations, and all attachments thereto, must be filed through the electronic comment filing system available for that proceeding, and must be filed in their native format (</w:t>
      </w:r>
      <w:r w:rsidRPr="004C403E">
        <w:rPr>
          <w:i/>
          <w:iCs/>
        </w:rPr>
        <w:t>e.g.</w:t>
      </w:r>
      <w:r w:rsidRPr="004C403E">
        <w:t xml:space="preserve">, .doc, .xml, .ppt, searchable .pdf).  Participants in this proceeding should familiarize themselves with the Commission’s </w:t>
      </w:r>
      <w:r w:rsidRPr="004C403E">
        <w:rPr>
          <w:i/>
          <w:iCs/>
        </w:rPr>
        <w:t xml:space="preserve">ex parte </w:t>
      </w:r>
      <w:r w:rsidRPr="004C403E">
        <w:rPr>
          <w:iCs/>
        </w:rPr>
        <w:t>rules.</w:t>
      </w:r>
    </w:p>
    <w:p w:rsidR="002E1011" w:rsidP="002E1011">
      <w:pPr>
        <w:spacing w:before="120" w:after="240"/>
        <w:ind w:firstLine="720"/>
        <w:rPr>
          <w:szCs w:val="22"/>
        </w:rPr>
      </w:pPr>
      <w:r w:rsidRPr="00C37728">
        <w:rPr>
          <w:szCs w:val="22"/>
        </w:rPr>
        <w:t xml:space="preserve">For further information, please contact </w:t>
      </w:r>
      <w:r>
        <w:rPr>
          <w:szCs w:val="22"/>
        </w:rPr>
        <w:t>Edward Krachmer</w:t>
      </w:r>
      <w:r w:rsidRPr="00C37728">
        <w:rPr>
          <w:szCs w:val="22"/>
        </w:rPr>
        <w:t>, Pricing Policy Division, Wireline Competition Bureau at (202) 418-</w:t>
      </w:r>
      <w:r>
        <w:rPr>
          <w:szCs w:val="22"/>
        </w:rPr>
        <w:t>1525</w:t>
      </w:r>
      <w:r w:rsidRPr="00C37728">
        <w:rPr>
          <w:szCs w:val="22"/>
        </w:rPr>
        <w:t xml:space="preserve"> or via email at </w:t>
      </w:r>
      <w:r>
        <w:fldChar w:fldCharType="begin"/>
      </w:r>
      <w:r>
        <w:instrText xml:space="preserve"> HYPERLINK "mailto:edward.krachmer@fcc.gov" </w:instrText>
      </w:r>
      <w:r>
        <w:fldChar w:fldCharType="separate"/>
      </w:r>
      <w:r w:rsidRPr="00405A55">
        <w:rPr>
          <w:rStyle w:val="Hyperlink"/>
          <w:szCs w:val="22"/>
        </w:rPr>
        <w:t>edward.krachmer@fcc.gov</w:t>
      </w:r>
      <w:r>
        <w:fldChar w:fldCharType="end"/>
      </w:r>
      <w:r w:rsidRPr="00C37728">
        <w:rPr>
          <w:szCs w:val="22"/>
        </w:rPr>
        <w:t>.</w:t>
      </w:r>
    </w:p>
    <w:p w:rsidR="002E1011" w:rsidRPr="00C37728" w:rsidP="002E1011">
      <w:pPr>
        <w:spacing w:before="120" w:after="240"/>
        <w:ind w:firstLine="720"/>
        <w:rPr>
          <w:szCs w:val="22"/>
        </w:rPr>
      </w:pPr>
    </w:p>
    <w:p w:rsidR="002E1011" w:rsidRPr="00B962FB" w:rsidP="002E1011">
      <w:pPr>
        <w:spacing w:before="120" w:after="240"/>
        <w:jc w:val="center"/>
        <w:rPr>
          <w:szCs w:val="22"/>
        </w:rPr>
      </w:pPr>
      <w:r w:rsidRPr="00B962FB">
        <w:rPr>
          <w:szCs w:val="22"/>
        </w:rPr>
        <w:t>-FCC-</w:t>
      </w:r>
    </w:p>
    <w:p w:rsidR="00930ECF" w:rsidRPr="00930ECF" w:rsidP="002E1011">
      <w:pPr>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15A3">
      <w:r>
        <w:separator/>
      </w:r>
    </w:p>
  </w:footnote>
  <w:footnote w:type="continuationSeparator" w:id="1">
    <w:p w:rsidR="00A015A3">
      <w:pPr>
        <w:rPr>
          <w:sz w:val="20"/>
        </w:rPr>
      </w:pPr>
      <w:r>
        <w:rPr>
          <w:sz w:val="20"/>
        </w:rPr>
        <w:t xml:space="preserve">(Continued from previous page)  </w:t>
      </w:r>
      <w:r>
        <w:rPr>
          <w:sz w:val="20"/>
        </w:rPr>
        <w:separator/>
      </w:r>
    </w:p>
  </w:footnote>
  <w:footnote w:type="continuationNotice" w:id="2">
    <w:p w:rsidR="00A015A3" w:rsidP="00910F12">
      <w:pPr>
        <w:jc w:val="right"/>
        <w:rPr>
          <w:sz w:val="20"/>
        </w:rPr>
      </w:pPr>
      <w:r>
        <w:rPr>
          <w:sz w:val="20"/>
        </w:rPr>
        <w:t>(continued….)</w:t>
      </w:r>
    </w:p>
  </w:footnote>
  <w:footnote w:id="3">
    <w:p w:rsidR="002E1011" w:rsidRPr="00C37728" w:rsidP="002E1011">
      <w:pPr>
        <w:pStyle w:val="FootnoteText"/>
        <w:rPr>
          <w:i/>
        </w:rPr>
      </w:pPr>
      <w:r>
        <w:rPr>
          <w:rStyle w:val="FootnoteReference"/>
        </w:rPr>
        <w:footnoteRef/>
      </w:r>
      <w:r>
        <w:t xml:space="preserve"> AT&amp;T Petition for Reconsideration, </w:t>
      </w:r>
      <w:r w:rsidRPr="00923508">
        <w:t xml:space="preserve">Iowa Network Access Division Tariff F.C.C. No. 1, Transmittal No. 36, WC Docket No. 18-60 </w:t>
      </w:r>
      <w:r>
        <w:t xml:space="preserve">(filed August 30, 2018) (AT&amp;T Petition); </w:t>
      </w:r>
      <w:r w:rsidRPr="00D0041B">
        <w:rPr>
          <w:i/>
        </w:rPr>
        <w:t>Iowa Network Access Division Tariff F.C.C. No. 1</w:t>
      </w:r>
      <w:r>
        <w:t>, Transmittal No. 36, WC Docket No. 18-60, Memorandum Opinion and Order (rel. July 30, 2018).</w:t>
      </w:r>
    </w:p>
  </w:footnote>
  <w:footnote w:id="4">
    <w:p w:rsidR="002E1011" w:rsidP="002E1011">
      <w:pPr>
        <w:pStyle w:val="FootnoteText"/>
      </w:pPr>
      <w:r>
        <w:rPr>
          <w:rStyle w:val="FootnoteReference"/>
        </w:rPr>
        <w:footnoteRef/>
      </w:r>
      <w:r>
        <w:t xml:space="preserve"> AT&amp;T Petition at 2.</w:t>
      </w:r>
    </w:p>
  </w:footnote>
  <w:footnote w:id="5">
    <w:p w:rsidR="002E1011" w:rsidRPr="00061E9F" w:rsidP="002E1011">
      <w:pPr>
        <w:pStyle w:val="FootnoteText"/>
        <w:tabs>
          <w:tab w:val="left" w:pos="5772"/>
        </w:tabs>
        <w:rPr>
          <w:iCs/>
        </w:rPr>
      </w:pPr>
      <w:r>
        <w:rPr>
          <w:rStyle w:val="FootnoteReference"/>
        </w:rPr>
        <w:footnoteRef/>
      </w:r>
      <w:r>
        <w:t xml:space="preserve"> 47 CFR §§ 1.1200 </w:t>
      </w:r>
      <w:r>
        <w:rPr>
          <w:iCs/>
        </w:rPr>
        <w:t>et seq</w:t>
      </w: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E1011">
      <w:rPr>
        <w:b/>
      </w:rPr>
      <w:t>DA 18-910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8">
    <w:nsid w:val="7F0406EE"/>
    <w:multiLevelType w:val="hybridMultilevel"/>
    <w:tmpl w:val="749E4CE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0B5"/>
    <w:pPr>
      <w:widowControl w:val="0"/>
    </w:pPr>
    <w:rPr>
      <w:snapToGrid w:val="0"/>
      <w:kern w:val="28"/>
      <w:sz w:val="22"/>
    </w:rPr>
  </w:style>
  <w:style w:type="paragraph" w:styleId="Heading1">
    <w:name w:val="heading 1"/>
    <w:basedOn w:val="Normal"/>
    <w:next w:val="ParaNum"/>
    <w:qFormat/>
    <w:rsid w:val="00DE10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10B5"/>
    <w:pPr>
      <w:keepNext/>
      <w:numPr>
        <w:ilvl w:val="1"/>
        <w:numId w:val="3"/>
      </w:numPr>
      <w:spacing w:after="120"/>
      <w:outlineLvl w:val="1"/>
    </w:pPr>
    <w:rPr>
      <w:b/>
    </w:rPr>
  </w:style>
  <w:style w:type="paragraph" w:styleId="Heading3">
    <w:name w:val="heading 3"/>
    <w:basedOn w:val="Normal"/>
    <w:next w:val="ParaNum"/>
    <w:qFormat/>
    <w:rsid w:val="00DE10B5"/>
    <w:pPr>
      <w:keepNext/>
      <w:numPr>
        <w:ilvl w:val="2"/>
        <w:numId w:val="3"/>
      </w:numPr>
      <w:tabs>
        <w:tab w:val="left" w:pos="2160"/>
      </w:tabs>
      <w:spacing w:after="120"/>
      <w:outlineLvl w:val="2"/>
    </w:pPr>
    <w:rPr>
      <w:b/>
    </w:rPr>
  </w:style>
  <w:style w:type="paragraph" w:styleId="Heading4">
    <w:name w:val="heading 4"/>
    <w:basedOn w:val="Normal"/>
    <w:next w:val="ParaNum"/>
    <w:qFormat/>
    <w:rsid w:val="00DE10B5"/>
    <w:pPr>
      <w:keepNext/>
      <w:numPr>
        <w:ilvl w:val="3"/>
        <w:numId w:val="3"/>
      </w:numPr>
      <w:tabs>
        <w:tab w:val="left" w:pos="2880"/>
      </w:tabs>
      <w:spacing w:after="120"/>
      <w:outlineLvl w:val="3"/>
    </w:pPr>
    <w:rPr>
      <w:b/>
    </w:rPr>
  </w:style>
  <w:style w:type="paragraph" w:styleId="Heading5">
    <w:name w:val="heading 5"/>
    <w:basedOn w:val="Normal"/>
    <w:next w:val="ParaNum"/>
    <w:qFormat/>
    <w:rsid w:val="00DE10B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10B5"/>
    <w:pPr>
      <w:numPr>
        <w:ilvl w:val="5"/>
        <w:numId w:val="3"/>
      </w:numPr>
      <w:tabs>
        <w:tab w:val="left" w:pos="4320"/>
      </w:tabs>
      <w:spacing w:after="120"/>
      <w:outlineLvl w:val="5"/>
    </w:pPr>
    <w:rPr>
      <w:b/>
    </w:rPr>
  </w:style>
  <w:style w:type="paragraph" w:styleId="Heading7">
    <w:name w:val="heading 7"/>
    <w:basedOn w:val="Normal"/>
    <w:next w:val="ParaNum"/>
    <w:qFormat/>
    <w:rsid w:val="00DE10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10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10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E10B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E10B5"/>
  </w:style>
  <w:style w:type="paragraph" w:customStyle="1" w:styleId="ParaNum">
    <w:name w:val="ParaNum"/>
    <w:basedOn w:val="Normal"/>
    <w:link w:val="ParaNumChar"/>
    <w:rsid w:val="00DE10B5"/>
    <w:pPr>
      <w:numPr>
        <w:numId w:val="2"/>
      </w:numPr>
      <w:tabs>
        <w:tab w:val="clear" w:pos="1080"/>
        <w:tab w:val="num" w:pos="1440"/>
      </w:tabs>
      <w:spacing w:after="120"/>
    </w:pPr>
  </w:style>
  <w:style w:type="paragraph" w:styleId="EndnoteText">
    <w:name w:val="endnote text"/>
    <w:basedOn w:val="Normal"/>
    <w:semiHidden/>
    <w:rsid w:val="00DE10B5"/>
    <w:rPr>
      <w:sz w:val="20"/>
    </w:rPr>
  </w:style>
  <w:style w:type="character" w:styleId="EndnoteReference">
    <w:name w:val="endnote reference"/>
    <w:semiHidden/>
    <w:rsid w:val="00DE10B5"/>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DE10B5"/>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DE10B5"/>
    <w:rPr>
      <w:rFonts w:ascii="Times New Roman" w:hAnsi="Times New Roman"/>
      <w:dstrike w:val="0"/>
      <w:color w:val="auto"/>
      <w:sz w:val="22"/>
      <w:vertAlign w:val="superscript"/>
    </w:rPr>
  </w:style>
  <w:style w:type="paragraph" w:styleId="TOC1">
    <w:name w:val="toc 1"/>
    <w:basedOn w:val="Normal"/>
    <w:next w:val="Normal"/>
    <w:uiPriority w:val="39"/>
    <w:rsid w:val="00DE10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10B5"/>
    <w:pPr>
      <w:tabs>
        <w:tab w:val="left" w:pos="720"/>
        <w:tab w:val="right" w:leader="dot" w:pos="9360"/>
      </w:tabs>
      <w:suppressAutoHyphens/>
      <w:ind w:left="720" w:right="720" w:hanging="360"/>
    </w:pPr>
    <w:rPr>
      <w:noProof/>
    </w:rPr>
  </w:style>
  <w:style w:type="paragraph" w:styleId="TOC3">
    <w:name w:val="toc 3"/>
    <w:basedOn w:val="Normal"/>
    <w:next w:val="Normal"/>
    <w:semiHidden/>
    <w:rsid w:val="00DE10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10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10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10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10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10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10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10B5"/>
    <w:pPr>
      <w:tabs>
        <w:tab w:val="right" w:pos="9360"/>
      </w:tabs>
      <w:suppressAutoHyphens/>
    </w:pPr>
  </w:style>
  <w:style w:type="character" w:customStyle="1" w:styleId="EquationCaption">
    <w:name w:val="_Equation Caption"/>
    <w:rsid w:val="00DE10B5"/>
  </w:style>
  <w:style w:type="paragraph" w:styleId="Header">
    <w:name w:val="header"/>
    <w:basedOn w:val="Normal"/>
    <w:autoRedefine/>
    <w:rsid w:val="00DE10B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E10B5"/>
    <w:pPr>
      <w:tabs>
        <w:tab w:val="center" w:pos="4320"/>
        <w:tab w:val="right" w:pos="8640"/>
      </w:tabs>
    </w:pPr>
  </w:style>
  <w:style w:type="character" w:styleId="PageNumber">
    <w:name w:val="page number"/>
    <w:rsid w:val="00DE10B5"/>
  </w:style>
  <w:style w:type="paragraph" w:styleId="BlockText">
    <w:name w:val="Block Text"/>
    <w:basedOn w:val="Normal"/>
    <w:rsid w:val="00DE10B5"/>
    <w:pPr>
      <w:spacing w:after="240"/>
      <w:ind w:left="1440" w:right="1440"/>
    </w:pPr>
  </w:style>
  <w:style w:type="paragraph" w:customStyle="1" w:styleId="Paratitle">
    <w:name w:val="Para title"/>
    <w:basedOn w:val="Normal"/>
    <w:rsid w:val="00DE10B5"/>
    <w:pPr>
      <w:tabs>
        <w:tab w:val="center" w:pos="9270"/>
      </w:tabs>
      <w:spacing w:after="240"/>
    </w:pPr>
    <w:rPr>
      <w:spacing w:val="-2"/>
    </w:rPr>
  </w:style>
  <w:style w:type="paragraph" w:customStyle="1" w:styleId="Bullet">
    <w:name w:val="Bullet"/>
    <w:basedOn w:val="Normal"/>
    <w:rsid w:val="00DE10B5"/>
    <w:pPr>
      <w:numPr>
        <w:numId w:val="1"/>
      </w:numPr>
      <w:tabs>
        <w:tab w:val="clear" w:pos="360"/>
        <w:tab w:val="left" w:pos="2160"/>
      </w:tabs>
      <w:spacing w:after="220"/>
      <w:ind w:left="2160" w:hanging="720"/>
    </w:pPr>
  </w:style>
  <w:style w:type="paragraph" w:customStyle="1" w:styleId="TableFormat">
    <w:name w:val="TableFormat"/>
    <w:basedOn w:val="Bullet"/>
    <w:rsid w:val="00DE10B5"/>
    <w:pPr>
      <w:numPr>
        <w:numId w:val="0"/>
      </w:numPr>
      <w:tabs>
        <w:tab w:val="clear" w:pos="2160"/>
        <w:tab w:val="left" w:pos="5040"/>
      </w:tabs>
      <w:ind w:left="5040" w:hanging="3600"/>
    </w:pPr>
  </w:style>
  <w:style w:type="paragraph" w:customStyle="1" w:styleId="TOCTitle">
    <w:name w:val="TOC Title"/>
    <w:basedOn w:val="Normal"/>
    <w:rsid w:val="00DE10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10B5"/>
    <w:pPr>
      <w:jc w:val="center"/>
    </w:pPr>
    <w:rPr>
      <w:rFonts w:ascii="Times New Roman Bold" w:hAnsi="Times New Roman Bold"/>
      <w:b/>
      <w:bCs/>
      <w:caps/>
      <w:szCs w:val="22"/>
    </w:rPr>
  </w:style>
  <w:style w:type="character" w:styleId="Hyperlink">
    <w:name w:val="Hyperlink"/>
    <w:rsid w:val="00DE10B5"/>
    <w:rPr>
      <w:color w:val="0000FF"/>
      <w:u w:val="single"/>
    </w:rPr>
  </w:style>
  <w:style w:type="character" w:customStyle="1" w:styleId="FooterChar">
    <w:name w:val="Footer Char"/>
    <w:link w:val="Footer"/>
    <w:uiPriority w:val="99"/>
    <w:rsid w:val="00DE10B5"/>
    <w:rPr>
      <w:snapToGrid w:val="0"/>
      <w:kern w:val="28"/>
      <w:sz w:val="22"/>
    </w:rPr>
  </w:style>
  <w:style w:type="character" w:customStyle="1" w:styleId="ParaNumChar">
    <w:name w:val="ParaNum Char"/>
    <w:link w:val="ParaNum"/>
    <w:locked/>
    <w:rsid w:val="002E1011"/>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locked/>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