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D3254" w:rsidRPr="00ED302C" w:rsidP="00DD3254">
      <w:pPr>
        <w:jc w:val="center"/>
        <w:rPr>
          <w:b/>
          <w:szCs w:val="22"/>
        </w:rPr>
      </w:pPr>
      <w:r w:rsidRPr="00ED302C">
        <w:rPr>
          <w:b/>
          <w:szCs w:val="22"/>
        </w:rPr>
        <w:t>Before the</w:t>
      </w:r>
    </w:p>
    <w:p w:rsidR="00DD3254" w:rsidRPr="00ED302C" w:rsidP="00DD3254">
      <w:pPr>
        <w:pStyle w:val="StyleBoldCentered"/>
        <w:rPr>
          <w:rFonts w:ascii="Times New Roman" w:hAnsi="Times New Roman"/>
        </w:rPr>
      </w:pPr>
      <w:r w:rsidRPr="00ED302C">
        <w:rPr>
          <w:rFonts w:ascii="Times New Roman" w:hAnsi="Times New Roman"/>
        </w:rPr>
        <w:t>F</w:t>
      </w:r>
      <w:r w:rsidRPr="00ED302C">
        <w:rPr>
          <w:rFonts w:ascii="Times New Roman" w:hAnsi="Times New Roman"/>
          <w:caps w:val="0"/>
        </w:rPr>
        <w:t>ederal Communications Commission</w:t>
      </w:r>
    </w:p>
    <w:p w:rsidR="00DD3254" w:rsidRPr="00ED302C" w:rsidP="00DD3254">
      <w:pPr>
        <w:pStyle w:val="StyleBoldCentered"/>
        <w:rPr>
          <w:rFonts w:ascii="Times New Roman" w:hAnsi="Times New Roman"/>
        </w:rPr>
      </w:pPr>
      <w:r w:rsidRPr="00ED302C">
        <w:rPr>
          <w:rFonts w:ascii="Times New Roman" w:hAnsi="Times New Roman"/>
          <w:caps w:val="0"/>
        </w:rPr>
        <w:t>Washington, D.C. 20554</w:t>
      </w:r>
    </w:p>
    <w:p w:rsidR="00DD3254" w:rsidRPr="00ED302C" w:rsidP="00DD3254">
      <w:pPr>
        <w:rPr>
          <w:szCs w:val="22"/>
        </w:rPr>
      </w:pPr>
    </w:p>
    <w:p w:rsidR="00DD3254" w:rsidRPr="00ED302C" w:rsidP="00DD3254">
      <w:pPr>
        <w:rPr>
          <w:szCs w:val="22"/>
        </w:rPr>
      </w:pPr>
    </w:p>
    <w:tbl>
      <w:tblPr>
        <w:tblW w:w="0" w:type="auto"/>
        <w:tblLayout w:type="fixed"/>
        <w:tblLook w:val="0000"/>
      </w:tblPr>
      <w:tblGrid>
        <w:gridCol w:w="4698"/>
        <w:gridCol w:w="630"/>
        <w:gridCol w:w="4248"/>
      </w:tblGrid>
      <w:tr w:rsidTr="00221CC7">
        <w:tblPrEx>
          <w:tblW w:w="0" w:type="auto"/>
          <w:tblLayout w:type="fixed"/>
          <w:tblLook w:val="0000"/>
        </w:tblPrEx>
        <w:tc>
          <w:tcPr>
            <w:tcW w:w="4698" w:type="dxa"/>
          </w:tcPr>
          <w:p w:rsidR="00DD3254" w:rsidRPr="00ED302C" w:rsidP="00221CC7">
            <w:pPr>
              <w:pStyle w:val="BodyText"/>
              <w:ind w:left="-22" w:hanging="90"/>
              <w:rPr>
                <w:spacing w:val="-2"/>
              </w:rPr>
            </w:pPr>
            <w:r w:rsidRPr="00ED302C">
              <w:rPr>
                <w:spacing w:val="-2"/>
              </w:rPr>
              <w:t xml:space="preserve">In </w:t>
            </w:r>
            <w:r w:rsidRPr="00ED302C">
              <w:t>the</w:t>
            </w:r>
            <w:r w:rsidRPr="00ED302C">
              <w:rPr>
                <w:spacing w:val="-2"/>
              </w:rPr>
              <w:t xml:space="preserve"> Matter of</w:t>
            </w:r>
          </w:p>
          <w:p w:rsidR="00DD3254" w:rsidRPr="00ED302C" w:rsidP="00221CC7">
            <w:pPr>
              <w:pStyle w:val="BodyText"/>
              <w:ind w:left="0" w:hanging="90"/>
              <w:rPr>
                <w:spacing w:val="-2"/>
                <w:kern w:val="28"/>
              </w:rPr>
            </w:pPr>
          </w:p>
          <w:p w:rsidR="00DD3254" w:rsidRPr="00ED302C" w:rsidP="00221CC7">
            <w:pPr>
              <w:pStyle w:val="BodyText"/>
              <w:ind w:left="-112"/>
            </w:pPr>
            <w:r w:rsidRPr="00ED302C">
              <w:rPr>
                <w:spacing w:val="-2"/>
              </w:rPr>
              <w:t>Improving</w:t>
            </w:r>
            <w:r w:rsidRPr="00ED302C">
              <w:rPr>
                <w:spacing w:val="-9"/>
              </w:rPr>
              <w:t xml:space="preserve"> </w:t>
            </w:r>
            <w:r w:rsidRPr="00ED302C">
              <w:rPr>
                <w:spacing w:val="-1"/>
              </w:rPr>
              <w:t>Wireless</w:t>
            </w:r>
            <w:r w:rsidRPr="00ED302C">
              <w:rPr>
                <w:spacing w:val="-9"/>
              </w:rPr>
              <w:t xml:space="preserve"> </w:t>
            </w:r>
            <w:r w:rsidRPr="00ED302C">
              <w:rPr>
                <w:spacing w:val="-1"/>
              </w:rPr>
              <w:t>Emergency</w:t>
            </w:r>
            <w:r w:rsidRPr="00ED302C">
              <w:rPr>
                <w:spacing w:val="-8"/>
              </w:rPr>
              <w:t xml:space="preserve"> </w:t>
            </w:r>
            <w:r w:rsidRPr="00ED302C">
              <w:rPr>
                <w:spacing w:val="-1"/>
              </w:rPr>
              <w:t>Alerts</w:t>
            </w:r>
            <w:r w:rsidRPr="00ED302C">
              <w:rPr>
                <w:spacing w:val="-9"/>
              </w:rPr>
              <w:t xml:space="preserve"> </w:t>
            </w:r>
            <w:r w:rsidRPr="00ED302C">
              <w:t xml:space="preserve">and </w:t>
            </w:r>
            <w:r w:rsidRPr="00ED302C">
              <w:rPr>
                <w:spacing w:val="-2"/>
              </w:rPr>
              <w:t>Community</w:t>
            </w:r>
            <w:r w:rsidRPr="00ED302C">
              <w:rPr>
                <w:spacing w:val="-1"/>
              </w:rPr>
              <w:t>-Initiated</w:t>
            </w:r>
            <w:r w:rsidRPr="00ED302C">
              <w:rPr>
                <w:spacing w:val="-24"/>
              </w:rPr>
              <w:t xml:space="preserve"> </w:t>
            </w:r>
            <w:r w:rsidRPr="00ED302C">
              <w:rPr>
                <w:spacing w:val="-1"/>
              </w:rPr>
              <w:t>Alerting</w:t>
            </w:r>
          </w:p>
          <w:p w:rsidR="00DD3254" w:rsidRPr="00ED302C" w:rsidP="00221CC7">
            <w:pPr>
              <w:tabs>
                <w:tab w:val="center" w:pos="4680"/>
              </w:tabs>
              <w:suppressAutoHyphens/>
              <w:ind w:hanging="90"/>
              <w:rPr>
                <w:szCs w:val="22"/>
              </w:rPr>
            </w:pPr>
          </w:p>
          <w:p w:rsidR="00DD3254" w:rsidRPr="00ED302C" w:rsidP="00221CC7">
            <w:pPr>
              <w:pStyle w:val="BodyText"/>
              <w:ind w:left="-22" w:hanging="90"/>
            </w:pPr>
            <w:r w:rsidRPr="00ED302C">
              <w:t>Amendments to Part 11 of the Commission’s</w:t>
            </w:r>
          </w:p>
          <w:p w:rsidR="00DD3254" w:rsidRPr="00ED302C" w:rsidP="00221CC7">
            <w:pPr>
              <w:pStyle w:val="BodyText"/>
              <w:ind w:left="-22" w:hanging="90"/>
              <w:rPr>
                <w:spacing w:val="-2"/>
              </w:rPr>
            </w:pPr>
            <w:r w:rsidRPr="00ED302C">
              <w:t>Rules Regarding the Emergency Alert System</w:t>
            </w:r>
          </w:p>
        </w:tc>
        <w:tc>
          <w:tcPr>
            <w:tcW w:w="630" w:type="dxa"/>
          </w:tcPr>
          <w:p w:rsidR="00DD3254" w:rsidRPr="00ED302C" w:rsidP="00221CC7">
            <w:pPr>
              <w:tabs>
                <w:tab w:val="center" w:pos="4680"/>
              </w:tabs>
              <w:suppressAutoHyphens/>
              <w:rPr>
                <w:b/>
                <w:spacing w:val="-2"/>
                <w:szCs w:val="22"/>
              </w:rPr>
            </w:pPr>
            <w:r w:rsidRPr="00ED302C">
              <w:rPr>
                <w:b/>
                <w:spacing w:val="-2"/>
                <w:szCs w:val="22"/>
              </w:rPr>
              <w:t>)</w:t>
            </w:r>
          </w:p>
          <w:p w:rsidR="00DD3254" w:rsidRPr="00ED302C" w:rsidP="00221CC7">
            <w:pPr>
              <w:tabs>
                <w:tab w:val="center" w:pos="4680"/>
              </w:tabs>
              <w:suppressAutoHyphens/>
              <w:rPr>
                <w:b/>
                <w:spacing w:val="-2"/>
                <w:szCs w:val="22"/>
              </w:rPr>
            </w:pPr>
            <w:r w:rsidRPr="00ED302C">
              <w:rPr>
                <w:b/>
                <w:spacing w:val="-2"/>
                <w:szCs w:val="22"/>
              </w:rPr>
              <w:t>)</w:t>
            </w:r>
          </w:p>
          <w:p w:rsidR="00DD3254" w:rsidRPr="00ED302C" w:rsidP="00221CC7">
            <w:pPr>
              <w:tabs>
                <w:tab w:val="center" w:pos="4680"/>
              </w:tabs>
              <w:suppressAutoHyphens/>
              <w:rPr>
                <w:b/>
                <w:spacing w:val="-2"/>
                <w:szCs w:val="22"/>
              </w:rPr>
            </w:pPr>
            <w:r w:rsidRPr="00ED302C">
              <w:rPr>
                <w:b/>
                <w:spacing w:val="-2"/>
                <w:szCs w:val="22"/>
              </w:rPr>
              <w:t>)</w:t>
            </w:r>
          </w:p>
          <w:p w:rsidR="00DD3254" w:rsidRPr="00ED302C" w:rsidP="00221CC7">
            <w:pPr>
              <w:tabs>
                <w:tab w:val="center" w:pos="4680"/>
              </w:tabs>
              <w:suppressAutoHyphens/>
              <w:rPr>
                <w:b/>
                <w:spacing w:val="-2"/>
                <w:szCs w:val="22"/>
              </w:rPr>
            </w:pPr>
            <w:r w:rsidRPr="00ED302C">
              <w:rPr>
                <w:b/>
                <w:spacing w:val="-2"/>
                <w:szCs w:val="22"/>
              </w:rPr>
              <w:t>)</w:t>
            </w:r>
          </w:p>
          <w:p w:rsidR="00DD3254" w:rsidRPr="00ED302C" w:rsidP="00221CC7">
            <w:pPr>
              <w:tabs>
                <w:tab w:val="center" w:pos="4680"/>
              </w:tabs>
              <w:suppressAutoHyphens/>
              <w:rPr>
                <w:b/>
                <w:spacing w:val="-2"/>
                <w:szCs w:val="22"/>
              </w:rPr>
            </w:pPr>
            <w:r w:rsidRPr="00ED302C">
              <w:rPr>
                <w:b/>
                <w:spacing w:val="-2"/>
                <w:szCs w:val="22"/>
              </w:rPr>
              <w:t>)</w:t>
            </w:r>
          </w:p>
          <w:p w:rsidR="00DD3254" w:rsidRPr="00ED302C" w:rsidP="00221CC7">
            <w:pPr>
              <w:tabs>
                <w:tab w:val="center" w:pos="4680"/>
              </w:tabs>
              <w:suppressAutoHyphens/>
              <w:rPr>
                <w:b/>
                <w:spacing w:val="-2"/>
                <w:szCs w:val="22"/>
              </w:rPr>
            </w:pPr>
            <w:r w:rsidRPr="00ED302C">
              <w:rPr>
                <w:b/>
                <w:spacing w:val="-2"/>
                <w:szCs w:val="22"/>
              </w:rPr>
              <w:t>)</w:t>
            </w:r>
          </w:p>
          <w:p w:rsidR="00DD3254" w:rsidRPr="00ED302C" w:rsidP="00221CC7">
            <w:pPr>
              <w:tabs>
                <w:tab w:val="center" w:pos="4680"/>
              </w:tabs>
              <w:suppressAutoHyphens/>
              <w:rPr>
                <w:b/>
                <w:spacing w:val="-2"/>
                <w:szCs w:val="22"/>
              </w:rPr>
            </w:pPr>
            <w:r w:rsidRPr="00ED302C">
              <w:rPr>
                <w:b/>
                <w:spacing w:val="-2"/>
                <w:szCs w:val="22"/>
              </w:rPr>
              <w:t>)</w:t>
            </w:r>
          </w:p>
        </w:tc>
        <w:tc>
          <w:tcPr>
            <w:tcW w:w="4248" w:type="dxa"/>
          </w:tcPr>
          <w:p w:rsidR="00DD3254" w:rsidRPr="00ED302C" w:rsidP="00221CC7">
            <w:pPr>
              <w:tabs>
                <w:tab w:val="center" w:pos="4680"/>
              </w:tabs>
              <w:suppressAutoHyphens/>
              <w:rPr>
                <w:spacing w:val="-2"/>
                <w:szCs w:val="22"/>
              </w:rPr>
            </w:pPr>
          </w:p>
          <w:p w:rsidR="00DD3254" w:rsidRPr="00ED302C" w:rsidP="00221CC7">
            <w:pPr>
              <w:pStyle w:val="TOAHeading"/>
              <w:tabs>
                <w:tab w:val="center" w:pos="4680"/>
                <w:tab w:val="clear" w:pos="9360"/>
              </w:tabs>
              <w:rPr>
                <w:spacing w:val="-2"/>
                <w:szCs w:val="22"/>
              </w:rPr>
            </w:pPr>
          </w:p>
          <w:p w:rsidR="00DD3254" w:rsidRPr="00ED302C" w:rsidP="00221CC7">
            <w:pPr>
              <w:tabs>
                <w:tab w:val="center" w:pos="4680"/>
              </w:tabs>
              <w:suppressAutoHyphens/>
              <w:rPr>
                <w:szCs w:val="22"/>
              </w:rPr>
            </w:pPr>
            <w:r w:rsidRPr="00ED302C">
              <w:rPr>
                <w:spacing w:val="-1"/>
                <w:szCs w:val="22"/>
              </w:rPr>
              <w:t>PS</w:t>
            </w:r>
            <w:r w:rsidRPr="00ED302C">
              <w:rPr>
                <w:spacing w:val="-3"/>
                <w:szCs w:val="22"/>
              </w:rPr>
              <w:t xml:space="preserve"> </w:t>
            </w:r>
            <w:r w:rsidRPr="00ED302C">
              <w:rPr>
                <w:spacing w:val="-1"/>
                <w:szCs w:val="22"/>
              </w:rPr>
              <w:t>Docket</w:t>
            </w:r>
            <w:r w:rsidRPr="00ED302C">
              <w:rPr>
                <w:spacing w:val="-2"/>
                <w:szCs w:val="22"/>
              </w:rPr>
              <w:t xml:space="preserve"> </w:t>
            </w:r>
            <w:r w:rsidRPr="00ED302C">
              <w:rPr>
                <w:spacing w:val="-1"/>
                <w:szCs w:val="22"/>
              </w:rPr>
              <w:t>No.</w:t>
            </w:r>
            <w:r w:rsidRPr="00ED302C">
              <w:rPr>
                <w:spacing w:val="-2"/>
                <w:szCs w:val="22"/>
              </w:rPr>
              <w:t xml:space="preserve"> </w:t>
            </w:r>
            <w:r w:rsidRPr="00ED302C">
              <w:rPr>
                <w:szCs w:val="22"/>
              </w:rPr>
              <w:t>15-91</w:t>
            </w:r>
          </w:p>
          <w:p w:rsidR="00DD3254" w:rsidRPr="00ED302C" w:rsidP="00221CC7">
            <w:pPr>
              <w:tabs>
                <w:tab w:val="center" w:pos="4680"/>
              </w:tabs>
              <w:suppressAutoHyphens/>
              <w:rPr>
                <w:szCs w:val="22"/>
              </w:rPr>
            </w:pPr>
          </w:p>
          <w:p w:rsidR="00DD3254" w:rsidRPr="00ED302C" w:rsidP="00221CC7">
            <w:pPr>
              <w:tabs>
                <w:tab w:val="center" w:pos="4680"/>
              </w:tabs>
              <w:suppressAutoHyphens/>
              <w:rPr>
                <w:szCs w:val="22"/>
              </w:rPr>
            </w:pPr>
          </w:p>
          <w:p w:rsidR="00DD3254" w:rsidRPr="00ED302C" w:rsidP="00221CC7">
            <w:pPr>
              <w:tabs>
                <w:tab w:val="center" w:pos="4680"/>
              </w:tabs>
              <w:suppressAutoHyphens/>
              <w:rPr>
                <w:spacing w:val="-2"/>
                <w:szCs w:val="22"/>
              </w:rPr>
            </w:pPr>
            <w:r w:rsidRPr="00ED302C">
              <w:rPr>
                <w:szCs w:val="22"/>
              </w:rPr>
              <w:t>PS Docket No. 15-94</w:t>
            </w:r>
          </w:p>
        </w:tc>
      </w:tr>
    </w:tbl>
    <w:p w:rsidR="00DD3254" w:rsidRPr="00ED302C" w:rsidP="00DD3254">
      <w:pPr>
        <w:rPr>
          <w:szCs w:val="22"/>
        </w:rPr>
      </w:pPr>
    </w:p>
    <w:p w:rsidR="00DD3254" w:rsidRPr="00ED302C" w:rsidP="00DD3254">
      <w:pPr>
        <w:pStyle w:val="StyleBoldCentered"/>
        <w:rPr>
          <w:rFonts w:ascii="Times New Roman" w:hAnsi="Times New Roman"/>
        </w:rPr>
      </w:pPr>
      <w:r w:rsidRPr="00ED302C">
        <w:rPr>
          <w:rFonts w:ascii="Times New Roman" w:hAnsi="Times New Roman"/>
        </w:rPr>
        <w:t>ORDER</w:t>
      </w:r>
    </w:p>
    <w:p w:rsidR="00DD3254" w:rsidRPr="00ED302C" w:rsidP="00DD3254">
      <w:pPr>
        <w:tabs>
          <w:tab w:val="left" w:pos="-720"/>
        </w:tabs>
        <w:suppressAutoHyphens/>
        <w:spacing w:line="227" w:lineRule="auto"/>
        <w:rPr>
          <w:spacing w:val="-2"/>
          <w:szCs w:val="22"/>
        </w:rPr>
      </w:pPr>
    </w:p>
    <w:p w:rsidR="00DD3254" w:rsidRPr="00ED302C" w:rsidP="00DD3254">
      <w:pPr>
        <w:tabs>
          <w:tab w:val="left" w:pos="720"/>
          <w:tab w:val="right" w:pos="9360"/>
        </w:tabs>
        <w:suppressAutoHyphens/>
        <w:spacing w:line="227" w:lineRule="auto"/>
        <w:rPr>
          <w:spacing w:val="-2"/>
          <w:szCs w:val="22"/>
        </w:rPr>
      </w:pPr>
      <w:r w:rsidRPr="00ED302C">
        <w:rPr>
          <w:b/>
          <w:spacing w:val="-2"/>
          <w:szCs w:val="22"/>
        </w:rPr>
        <w:t xml:space="preserve">Adopted:  September </w:t>
      </w:r>
      <w:r w:rsidR="001752BB">
        <w:rPr>
          <w:b/>
          <w:spacing w:val="-2"/>
          <w:szCs w:val="22"/>
        </w:rPr>
        <w:t>7</w:t>
      </w:r>
      <w:r w:rsidRPr="00ED302C">
        <w:rPr>
          <w:b/>
          <w:spacing w:val="-2"/>
          <w:szCs w:val="22"/>
        </w:rPr>
        <w:t>, 2018</w:t>
      </w:r>
      <w:r w:rsidRPr="00ED302C">
        <w:rPr>
          <w:b/>
          <w:spacing w:val="-2"/>
          <w:szCs w:val="22"/>
        </w:rPr>
        <w:tab/>
        <w:t xml:space="preserve">Released:  September </w:t>
      </w:r>
      <w:r w:rsidR="001752BB">
        <w:rPr>
          <w:b/>
          <w:spacing w:val="-2"/>
          <w:szCs w:val="22"/>
        </w:rPr>
        <w:t>7</w:t>
      </w:r>
      <w:r w:rsidRPr="00ED302C">
        <w:rPr>
          <w:b/>
          <w:spacing w:val="-2"/>
          <w:szCs w:val="22"/>
        </w:rPr>
        <w:t>, 2018</w:t>
      </w:r>
    </w:p>
    <w:p w:rsidR="00DD3254" w:rsidRPr="00ED302C" w:rsidP="00DD3254">
      <w:pPr>
        <w:rPr>
          <w:szCs w:val="22"/>
        </w:rPr>
      </w:pPr>
    </w:p>
    <w:p w:rsidR="00DD3254" w:rsidRPr="00ED302C" w:rsidP="00DD3254">
      <w:pPr>
        <w:pStyle w:val="BodyText"/>
        <w:ind w:left="0"/>
      </w:pPr>
      <w:r w:rsidRPr="00ED302C">
        <w:t>By</w:t>
      </w:r>
      <w:r w:rsidRPr="00ED302C">
        <w:rPr>
          <w:spacing w:val="-6"/>
        </w:rPr>
        <w:t xml:space="preserve"> </w:t>
      </w:r>
      <w:r w:rsidRPr="00ED302C">
        <w:t>the</w:t>
      </w:r>
      <w:r w:rsidRPr="00ED302C">
        <w:rPr>
          <w:spacing w:val="-8"/>
        </w:rPr>
        <w:t xml:space="preserve"> </w:t>
      </w:r>
      <w:r w:rsidRPr="00ED302C">
        <w:rPr>
          <w:spacing w:val="-1"/>
        </w:rPr>
        <w:t>Chief,</w:t>
      </w:r>
      <w:r w:rsidRPr="00ED302C">
        <w:rPr>
          <w:spacing w:val="-6"/>
        </w:rPr>
        <w:t xml:space="preserve"> </w:t>
      </w:r>
      <w:r w:rsidRPr="00ED302C">
        <w:rPr>
          <w:spacing w:val="-1"/>
        </w:rPr>
        <w:t>Public</w:t>
      </w:r>
      <w:r w:rsidRPr="00ED302C">
        <w:rPr>
          <w:spacing w:val="-5"/>
        </w:rPr>
        <w:t xml:space="preserve"> </w:t>
      </w:r>
      <w:r w:rsidRPr="00ED302C">
        <w:rPr>
          <w:spacing w:val="-1"/>
        </w:rPr>
        <w:t>Safety</w:t>
      </w:r>
      <w:r w:rsidRPr="00ED302C">
        <w:rPr>
          <w:spacing w:val="-5"/>
        </w:rPr>
        <w:t xml:space="preserve"> </w:t>
      </w:r>
      <w:r w:rsidRPr="00ED302C">
        <w:rPr>
          <w:spacing w:val="-1"/>
        </w:rPr>
        <w:t>and</w:t>
      </w:r>
      <w:r w:rsidRPr="00ED302C">
        <w:rPr>
          <w:spacing w:val="-5"/>
        </w:rPr>
        <w:t xml:space="preserve"> </w:t>
      </w:r>
      <w:r w:rsidRPr="00ED302C">
        <w:rPr>
          <w:spacing w:val="-1"/>
        </w:rPr>
        <w:t>Homeland</w:t>
      </w:r>
      <w:r w:rsidRPr="00ED302C">
        <w:rPr>
          <w:spacing w:val="-6"/>
        </w:rPr>
        <w:t xml:space="preserve"> </w:t>
      </w:r>
      <w:r w:rsidRPr="00ED302C">
        <w:rPr>
          <w:spacing w:val="-1"/>
        </w:rPr>
        <w:t>Security</w:t>
      </w:r>
      <w:r w:rsidRPr="00ED302C">
        <w:rPr>
          <w:spacing w:val="-5"/>
        </w:rPr>
        <w:t xml:space="preserve"> </w:t>
      </w:r>
      <w:r w:rsidRPr="00ED302C">
        <w:rPr>
          <w:spacing w:val="-2"/>
        </w:rPr>
        <w:t>Bureau:</w:t>
      </w:r>
    </w:p>
    <w:p w:rsidR="00DD3254" w:rsidRPr="00ED302C" w:rsidP="00DD3254">
      <w:pPr>
        <w:rPr>
          <w:spacing w:val="-2"/>
          <w:szCs w:val="22"/>
        </w:rPr>
      </w:pPr>
    </w:p>
    <w:p w:rsidR="00DD3254" w:rsidRPr="00ED302C" w:rsidP="00DD3254">
      <w:pPr>
        <w:pStyle w:val="Heading1"/>
        <w:rPr>
          <w:rFonts w:ascii="Times New Roman" w:hAnsi="Times New Roman"/>
          <w:szCs w:val="22"/>
        </w:rPr>
      </w:pPr>
      <w:r w:rsidRPr="00ED302C">
        <w:rPr>
          <w:rFonts w:ascii="Times New Roman" w:hAnsi="Times New Roman"/>
          <w:szCs w:val="22"/>
        </w:rPr>
        <w:t>INTRODUCTION</w:t>
      </w:r>
    </w:p>
    <w:p w:rsidR="00DD3254" w:rsidRPr="00ED302C" w:rsidP="00DD3254">
      <w:pPr>
        <w:pStyle w:val="ParaNum"/>
        <w:rPr>
          <w:szCs w:val="22"/>
        </w:rPr>
      </w:pPr>
      <w:r w:rsidRPr="00ED302C">
        <w:rPr>
          <w:szCs w:val="22"/>
        </w:rPr>
        <w:t>In</w:t>
      </w:r>
      <w:r w:rsidRPr="00ED302C">
        <w:rPr>
          <w:spacing w:val="-5"/>
          <w:szCs w:val="22"/>
        </w:rPr>
        <w:t xml:space="preserve"> </w:t>
      </w:r>
      <w:r w:rsidRPr="00ED302C">
        <w:rPr>
          <w:spacing w:val="-1"/>
          <w:szCs w:val="22"/>
        </w:rPr>
        <w:t>this</w:t>
      </w:r>
      <w:r w:rsidRPr="00ED302C">
        <w:rPr>
          <w:spacing w:val="-4"/>
          <w:szCs w:val="22"/>
        </w:rPr>
        <w:t xml:space="preserve"> </w:t>
      </w:r>
      <w:r w:rsidRPr="00ED302C">
        <w:rPr>
          <w:i/>
          <w:spacing w:val="-1"/>
          <w:szCs w:val="22"/>
        </w:rPr>
        <w:t>Order</w:t>
      </w:r>
      <w:r w:rsidRPr="00ED302C">
        <w:rPr>
          <w:spacing w:val="-1"/>
          <w:szCs w:val="22"/>
        </w:rPr>
        <w:t>,</w:t>
      </w:r>
      <w:r w:rsidRPr="00ED302C">
        <w:rPr>
          <w:spacing w:val="-4"/>
          <w:szCs w:val="22"/>
        </w:rPr>
        <w:t xml:space="preserve"> </w:t>
      </w:r>
      <w:r w:rsidRPr="00ED302C">
        <w:rPr>
          <w:szCs w:val="22"/>
        </w:rPr>
        <w:t>the</w:t>
      </w:r>
      <w:r w:rsidRPr="00ED302C">
        <w:rPr>
          <w:spacing w:val="-6"/>
          <w:szCs w:val="22"/>
        </w:rPr>
        <w:t xml:space="preserve"> </w:t>
      </w:r>
      <w:r w:rsidRPr="00ED302C">
        <w:rPr>
          <w:spacing w:val="-1"/>
          <w:szCs w:val="22"/>
        </w:rPr>
        <w:t>Public</w:t>
      </w:r>
      <w:r w:rsidRPr="00ED302C">
        <w:rPr>
          <w:spacing w:val="-4"/>
          <w:szCs w:val="22"/>
        </w:rPr>
        <w:t xml:space="preserve"> </w:t>
      </w:r>
      <w:r w:rsidRPr="00ED302C">
        <w:rPr>
          <w:spacing w:val="-1"/>
          <w:szCs w:val="22"/>
        </w:rPr>
        <w:t>Safety</w:t>
      </w:r>
      <w:r w:rsidRPr="00ED302C">
        <w:rPr>
          <w:spacing w:val="-4"/>
          <w:szCs w:val="22"/>
        </w:rPr>
        <w:t xml:space="preserve"> </w:t>
      </w:r>
      <w:r w:rsidRPr="00ED302C">
        <w:rPr>
          <w:szCs w:val="22"/>
        </w:rPr>
        <w:t>and</w:t>
      </w:r>
      <w:r w:rsidRPr="00ED302C">
        <w:rPr>
          <w:spacing w:val="-5"/>
          <w:szCs w:val="22"/>
        </w:rPr>
        <w:t xml:space="preserve"> </w:t>
      </w:r>
      <w:r w:rsidRPr="00ED302C">
        <w:rPr>
          <w:spacing w:val="-1"/>
          <w:szCs w:val="22"/>
        </w:rPr>
        <w:t>Homeland</w:t>
      </w:r>
      <w:r w:rsidRPr="00ED302C">
        <w:rPr>
          <w:spacing w:val="-6"/>
          <w:szCs w:val="22"/>
        </w:rPr>
        <w:t xml:space="preserve"> </w:t>
      </w:r>
      <w:r w:rsidRPr="00ED302C">
        <w:rPr>
          <w:spacing w:val="-1"/>
          <w:szCs w:val="22"/>
        </w:rPr>
        <w:t>Security</w:t>
      </w:r>
      <w:r w:rsidRPr="00ED302C">
        <w:rPr>
          <w:spacing w:val="-4"/>
          <w:szCs w:val="22"/>
        </w:rPr>
        <w:t xml:space="preserve"> </w:t>
      </w:r>
      <w:r w:rsidRPr="00ED302C">
        <w:rPr>
          <w:spacing w:val="-2"/>
          <w:szCs w:val="22"/>
        </w:rPr>
        <w:t>Bureau</w:t>
      </w:r>
      <w:r w:rsidRPr="00ED302C">
        <w:rPr>
          <w:spacing w:val="-6"/>
          <w:szCs w:val="22"/>
        </w:rPr>
        <w:t xml:space="preserve"> </w:t>
      </w:r>
      <w:r w:rsidRPr="00ED302C">
        <w:rPr>
          <w:szCs w:val="22"/>
        </w:rPr>
        <w:t>(Bureau)</w:t>
      </w:r>
      <w:r w:rsidRPr="00ED302C">
        <w:rPr>
          <w:spacing w:val="-4"/>
          <w:szCs w:val="22"/>
        </w:rPr>
        <w:t xml:space="preserve"> </w:t>
      </w:r>
      <w:r w:rsidRPr="00ED302C">
        <w:rPr>
          <w:szCs w:val="22"/>
        </w:rPr>
        <w:t>of</w:t>
      </w:r>
      <w:r w:rsidRPr="00ED302C">
        <w:rPr>
          <w:spacing w:val="-5"/>
          <w:szCs w:val="22"/>
        </w:rPr>
        <w:t xml:space="preserve"> </w:t>
      </w:r>
      <w:r w:rsidRPr="00ED302C">
        <w:rPr>
          <w:szCs w:val="22"/>
        </w:rPr>
        <w:t>the</w:t>
      </w:r>
      <w:r w:rsidRPr="00ED302C">
        <w:rPr>
          <w:spacing w:val="-5"/>
          <w:szCs w:val="22"/>
        </w:rPr>
        <w:t xml:space="preserve"> </w:t>
      </w:r>
      <w:r w:rsidRPr="00ED302C">
        <w:rPr>
          <w:spacing w:val="-1"/>
          <w:szCs w:val="22"/>
        </w:rPr>
        <w:t>Federal</w:t>
      </w:r>
      <w:r w:rsidRPr="00ED302C">
        <w:rPr>
          <w:spacing w:val="39"/>
          <w:w w:val="99"/>
          <w:szCs w:val="22"/>
        </w:rPr>
        <w:t xml:space="preserve"> </w:t>
      </w:r>
      <w:r w:rsidRPr="00ED302C">
        <w:rPr>
          <w:spacing w:val="-1"/>
          <w:szCs w:val="22"/>
        </w:rPr>
        <w:t>Communications</w:t>
      </w:r>
      <w:r w:rsidRPr="00ED302C">
        <w:rPr>
          <w:spacing w:val="-9"/>
          <w:szCs w:val="22"/>
        </w:rPr>
        <w:t xml:space="preserve"> </w:t>
      </w:r>
      <w:r w:rsidRPr="00ED302C">
        <w:rPr>
          <w:spacing w:val="-1"/>
          <w:szCs w:val="22"/>
        </w:rPr>
        <w:t>Commission</w:t>
      </w:r>
      <w:r w:rsidRPr="00ED302C">
        <w:rPr>
          <w:spacing w:val="-8"/>
          <w:szCs w:val="22"/>
        </w:rPr>
        <w:t xml:space="preserve"> </w:t>
      </w:r>
      <w:r w:rsidRPr="00ED302C">
        <w:rPr>
          <w:spacing w:val="-1"/>
          <w:szCs w:val="22"/>
        </w:rPr>
        <w:t>(Commission)</w:t>
      </w:r>
      <w:r w:rsidRPr="00ED302C">
        <w:rPr>
          <w:spacing w:val="-8"/>
          <w:szCs w:val="22"/>
        </w:rPr>
        <w:t xml:space="preserve"> </w:t>
      </w:r>
      <w:r w:rsidRPr="00ED302C">
        <w:rPr>
          <w:szCs w:val="22"/>
        </w:rPr>
        <w:t>grants</w:t>
      </w:r>
      <w:r w:rsidRPr="00ED302C">
        <w:rPr>
          <w:spacing w:val="-8"/>
          <w:szCs w:val="22"/>
        </w:rPr>
        <w:t xml:space="preserve"> </w:t>
      </w:r>
      <w:r w:rsidRPr="00ED302C">
        <w:rPr>
          <w:szCs w:val="22"/>
        </w:rPr>
        <w:t>a</w:t>
      </w:r>
      <w:r w:rsidRPr="00ED302C">
        <w:rPr>
          <w:spacing w:val="-8"/>
          <w:szCs w:val="22"/>
        </w:rPr>
        <w:t xml:space="preserve"> </w:t>
      </w:r>
      <w:r w:rsidRPr="00ED302C">
        <w:rPr>
          <w:spacing w:val="-1"/>
          <w:szCs w:val="22"/>
        </w:rPr>
        <w:t>limited</w:t>
      </w:r>
      <w:r w:rsidRPr="00ED302C">
        <w:rPr>
          <w:spacing w:val="-8"/>
          <w:szCs w:val="22"/>
        </w:rPr>
        <w:t xml:space="preserve"> </w:t>
      </w:r>
      <w:r w:rsidRPr="00ED302C">
        <w:rPr>
          <w:spacing w:val="-1"/>
          <w:szCs w:val="22"/>
        </w:rPr>
        <w:t>waiver</w:t>
      </w:r>
      <w:r w:rsidRPr="00ED302C">
        <w:rPr>
          <w:spacing w:val="-8"/>
          <w:szCs w:val="22"/>
        </w:rPr>
        <w:t xml:space="preserve"> </w:t>
      </w:r>
      <w:r w:rsidRPr="00ED302C">
        <w:rPr>
          <w:szCs w:val="22"/>
        </w:rPr>
        <w:t>of</w:t>
      </w:r>
      <w:r w:rsidRPr="00ED302C">
        <w:rPr>
          <w:spacing w:val="-8"/>
          <w:szCs w:val="22"/>
        </w:rPr>
        <w:t xml:space="preserve"> </w:t>
      </w:r>
      <w:r w:rsidRPr="00ED302C">
        <w:rPr>
          <w:spacing w:val="-1"/>
          <w:szCs w:val="22"/>
        </w:rPr>
        <w:t>the</w:t>
      </w:r>
      <w:r w:rsidRPr="00ED302C">
        <w:rPr>
          <w:spacing w:val="-8"/>
          <w:szCs w:val="22"/>
        </w:rPr>
        <w:t xml:space="preserve"> </w:t>
      </w:r>
      <w:r w:rsidRPr="00ED302C">
        <w:rPr>
          <w:szCs w:val="22"/>
        </w:rPr>
        <w:t>Commission’s</w:t>
      </w:r>
      <w:r w:rsidRPr="00ED302C">
        <w:rPr>
          <w:spacing w:val="-7"/>
          <w:szCs w:val="22"/>
        </w:rPr>
        <w:t xml:space="preserve"> Emergency Alert System (EAS) and </w:t>
      </w:r>
      <w:r w:rsidRPr="00ED302C">
        <w:rPr>
          <w:spacing w:val="-1"/>
          <w:szCs w:val="22"/>
        </w:rPr>
        <w:t>Wireless Emergency</w:t>
      </w:r>
      <w:r w:rsidRPr="00ED302C">
        <w:rPr>
          <w:spacing w:val="-7"/>
          <w:szCs w:val="22"/>
        </w:rPr>
        <w:t xml:space="preserve"> </w:t>
      </w:r>
      <w:r w:rsidRPr="00ED302C">
        <w:rPr>
          <w:spacing w:val="-1"/>
          <w:szCs w:val="22"/>
        </w:rPr>
        <w:t>Alert</w:t>
      </w:r>
      <w:r w:rsidRPr="00ED302C">
        <w:rPr>
          <w:spacing w:val="-6"/>
          <w:szCs w:val="22"/>
        </w:rPr>
        <w:t xml:space="preserve"> </w:t>
      </w:r>
      <w:r w:rsidRPr="00ED302C">
        <w:rPr>
          <w:szCs w:val="22"/>
        </w:rPr>
        <w:t>(WEA)</w:t>
      </w:r>
      <w:r w:rsidRPr="00ED302C">
        <w:rPr>
          <w:spacing w:val="-6"/>
          <w:szCs w:val="22"/>
        </w:rPr>
        <w:t xml:space="preserve"> </w:t>
      </w:r>
      <w:r w:rsidRPr="00ED302C">
        <w:rPr>
          <w:spacing w:val="-1"/>
          <w:szCs w:val="22"/>
        </w:rPr>
        <w:t>rules</w:t>
      </w:r>
      <w:r w:rsidRPr="00ED302C">
        <w:rPr>
          <w:spacing w:val="14"/>
          <w:position w:val="7"/>
          <w:szCs w:val="22"/>
        </w:rPr>
        <w:t xml:space="preserve"> </w:t>
      </w:r>
      <w:r w:rsidRPr="00ED302C">
        <w:rPr>
          <w:szCs w:val="22"/>
        </w:rPr>
        <w:t>to</w:t>
      </w:r>
      <w:r w:rsidRPr="00ED302C">
        <w:rPr>
          <w:spacing w:val="-7"/>
          <w:szCs w:val="22"/>
        </w:rPr>
        <w:t xml:space="preserve"> </w:t>
      </w:r>
      <w:bookmarkStart w:id="0" w:name="_Hlk523488788"/>
      <w:r w:rsidRPr="00ED302C">
        <w:rPr>
          <w:spacing w:val="-1"/>
          <w:szCs w:val="22"/>
        </w:rPr>
        <w:t>permit EAS Participants</w:t>
      </w:r>
      <w:r>
        <w:rPr>
          <w:spacing w:val="-1"/>
          <w:szCs w:val="22"/>
          <w:vertAlign w:val="superscript"/>
        </w:rPr>
        <w:footnoteReference w:id="3"/>
      </w:r>
      <w:r w:rsidRPr="00ED302C">
        <w:rPr>
          <w:spacing w:val="-1"/>
          <w:szCs w:val="22"/>
        </w:rPr>
        <w:t xml:space="preserve"> and Participating Commercial Mobile Service (CMS) Providers</w:t>
      </w:r>
      <w:r>
        <w:rPr>
          <w:szCs w:val="22"/>
          <w:vertAlign w:val="superscript"/>
        </w:rPr>
        <w:footnoteReference w:id="4"/>
      </w:r>
      <w:r w:rsidRPr="00ED302C">
        <w:rPr>
          <w:spacing w:val="-1"/>
          <w:szCs w:val="22"/>
        </w:rPr>
        <w:t xml:space="preserve"> to participate in a test to be conducted by the</w:t>
      </w:r>
      <w:r w:rsidRPr="00ED302C">
        <w:rPr>
          <w:spacing w:val="-9"/>
          <w:szCs w:val="22"/>
        </w:rPr>
        <w:t xml:space="preserve"> </w:t>
      </w:r>
      <w:r w:rsidRPr="00ED302C">
        <w:rPr>
          <w:spacing w:val="-1"/>
          <w:szCs w:val="22"/>
        </w:rPr>
        <w:t>Puerto</w:t>
      </w:r>
      <w:r w:rsidRPr="00ED302C">
        <w:rPr>
          <w:spacing w:val="-9"/>
          <w:szCs w:val="22"/>
        </w:rPr>
        <w:t xml:space="preserve"> Rico </w:t>
      </w:r>
      <w:r w:rsidRPr="00ED302C">
        <w:rPr>
          <w:szCs w:val="22"/>
        </w:rPr>
        <w:t>Emergency</w:t>
      </w:r>
      <w:r w:rsidRPr="00ED302C">
        <w:rPr>
          <w:spacing w:val="-9"/>
          <w:szCs w:val="22"/>
        </w:rPr>
        <w:t xml:space="preserve"> </w:t>
      </w:r>
      <w:r w:rsidRPr="00ED302C">
        <w:rPr>
          <w:szCs w:val="22"/>
        </w:rPr>
        <w:t>Management</w:t>
      </w:r>
      <w:r w:rsidRPr="00ED302C">
        <w:rPr>
          <w:spacing w:val="-9"/>
          <w:szCs w:val="22"/>
        </w:rPr>
        <w:t xml:space="preserve"> </w:t>
      </w:r>
      <w:r w:rsidRPr="00ED302C">
        <w:rPr>
          <w:szCs w:val="22"/>
        </w:rPr>
        <w:t>Bureau</w:t>
      </w:r>
      <w:r w:rsidRPr="00ED302C">
        <w:rPr>
          <w:spacing w:val="-9"/>
          <w:szCs w:val="22"/>
        </w:rPr>
        <w:t xml:space="preserve"> (PREMB)</w:t>
      </w:r>
      <w:r w:rsidRPr="00ED302C">
        <w:rPr>
          <w:szCs w:val="22"/>
        </w:rPr>
        <w:t>.</w:t>
      </w:r>
      <w:r>
        <w:rPr>
          <w:rStyle w:val="FootnoteReference"/>
          <w:sz w:val="22"/>
          <w:szCs w:val="22"/>
        </w:rPr>
        <w:footnoteReference w:id="5"/>
      </w:r>
      <w:r w:rsidRPr="00ED302C">
        <w:rPr>
          <w:szCs w:val="22"/>
        </w:rPr>
        <w:t xml:space="preserve">  This </w:t>
      </w:r>
      <w:r w:rsidRPr="00ED302C">
        <w:rPr>
          <w:spacing w:val="-1"/>
          <w:szCs w:val="22"/>
        </w:rPr>
        <w:t>test</w:t>
      </w:r>
      <w:r w:rsidRPr="00ED302C">
        <w:rPr>
          <w:szCs w:val="22"/>
        </w:rPr>
        <w:t xml:space="preserve"> will be a combined live EAS and end-to-end WEA test, scheduled </w:t>
      </w:r>
      <w:r>
        <w:rPr>
          <w:szCs w:val="22"/>
        </w:rPr>
        <w:t xml:space="preserve">for </w:t>
      </w:r>
      <w:r w:rsidRPr="00ED302C">
        <w:rPr>
          <w:szCs w:val="22"/>
        </w:rPr>
        <w:t xml:space="preserve">September 12, 2018, with a backup date of September 13, 2018.  </w:t>
      </w:r>
      <w:bookmarkEnd w:id="0"/>
      <w:r w:rsidRPr="00ED302C">
        <w:rPr>
          <w:szCs w:val="22"/>
        </w:rPr>
        <w:t>For the reasons discussed below, we grant the PREMB request, subject to certain conditions</w:t>
      </w:r>
      <w:r>
        <w:rPr>
          <w:szCs w:val="22"/>
        </w:rPr>
        <w:t>.</w:t>
      </w:r>
    </w:p>
    <w:p w:rsidR="00DD3254" w:rsidRPr="00ED302C" w:rsidP="00DD3254">
      <w:pPr>
        <w:pStyle w:val="Heading1"/>
        <w:rPr>
          <w:rFonts w:ascii="Times New Roman" w:hAnsi="Times New Roman"/>
          <w:szCs w:val="22"/>
        </w:rPr>
      </w:pPr>
      <w:r w:rsidRPr="00ED302C">
        <w:rPr>
          <w:rFonts w:ascii="Times New Roman" w:hAnsi="Times New Roman"/>
          <w:szCs w:val="22"/>
        </w:rPr>
        <w:t>BACKGROUND</w:t>
      </w:r>
    </w:p>
    <w:p w:rsidR="00DD3254" w:rsidRPr="00ED302C" w:rsidP="00DD3254">
      <w:pPr>
        <w:pStyle w:val="ParaNum"/>
        <w:rPr>
          <w:szCs w:val="22"/>
        </w:rPr>
      </w:pPr>
      <w:bookmarkStart w:id="1" w:name="_Ref434933436"/>
      <w:r w:rsidRPr="00ED302C">
        <w:rPr>
          <w:szCs w:val="22"/>
        </w:rPr>
        <w:t>The EAS is a national public warning system through which EAS Participants deliver alerts to the public to warn them of impending emergencies.</w:t>
      </w:r>
      <w:r>
        <w:rPr>
          <w:szCs w:val="22"/>
          <w:vertAlign w:val="superscript"/>
        </w:rPr>
        <w:footnoteReference w:id="6"/>
      </w:r>
      <w:r w:rsidRPr="00ED302C">
        <w:rPr>
          <w:szCs w:val="22"/>
        </w:rPr>
        <w:t xml:space="preserve">  The primary purpose of the EAS is to provide the President of the United States with “the capability to provide immediate </w:t>
      </w:r>
      <w:r w:rsidRPr="00ED302C">
        <w:rPr>
          <w:spacing w:val="-1"/>
          <w:szCs w:val="22"/>
        </w:rPr>
        <w:t>communications</w:t>
      </w:r>
      <w:r w:rsidRPr="00ED302C">
        <w:rPr>
          <w:szCs w:val="22"/>
        </w:rPr>
        <w:t xml:space="preserve"> and information to the general public at the National, State and Local Area levels during periods of national emergency.”</w:t>
      </w:r>
      <w:r>
        <w:rPr>
          <w:szCs w:val="22"/>
          <w:vertAlign w:val="superscript"/>
        </w:rPr>
        <w:footnoteReference w:id="7"/>
      </w:r>
      <w:r w:rsidRPr="00ED302C">
        <w:rPr>
          <w:szCs w:val="22"/>
        </w:rPr>
        <w:t xml:space="preserve">  State and local authorities also use the EAS to distribute voluntary weather-related and </w:t>
      </w:r>
      <w:r w:rsidRPr="00ED302C">
        <w:rPr>
          <w:szCs w:val="22"/>
        </w:rPr>
        <w:t>other emergency alerts to the public.</w:t>
      </w:r>
      <w:r>
        <w:rPr>
          <w:szCs w:val="22"/>
          <w:vertAlign w:val="superscript"/>
        </w:rPr>
        <w:footnoteReference w:id="8"/>
      </w:r>
      <w:r w:rsidRPr="00ED302C">
        <w:rPr>
          <w:szCs w:val="22"/>
        </w:rPr>
        <w:t xml:space="preserve">  EAS testing at the state and local level increases the proficiency of local emergency personnel, provides insight into the system’s functionality and effectiveness at the federal level, and enhances the public’s ability to respond to EAS alerts when they occur.</w:t>
      </w:r>
      <w:r>
        <w:rPr>
          <w:rStyle w:val="FootnoteReference"/>
          <w:sz w:val="22"/>
          <w:szCs w:val="22"/>
        </w:rPr>
        <w:footnoteReference w:id="9"/>
      </w:r>
      <w:r w:rsidRPr="00ED302C">
        <w:rPr>
          <w:szCs w:val="22"/>
        </w:rPr>
        <w:t xml:space="preserve">  The Commission’s EAS rules contain procedures by which EAS Participants must test the system,</w:t>
      </w:r>
      <w:r>
        <w:rPr>
          <w:rStyle w:val="FootnoteReference"/>
          <w:sz w:val="22"/>
          <w:szCs w:val="22"/>
        </w:rPr>
        <w:footnoteReference w:id="10"/>
      </w:r>
      <w:r w:rsidRPr="00ED302C">
        <w:rPr>
          <w:szCs w:val="22"/>
        </w:rPr>
        <w:t xml:space="preserve"> and prohibit the unauthorized use of the EAS Attention Signal and codes.</w:t>
      </w:r>
      <w:r>
        <w:rPr>
          <w:rStyle w:val="FootnoteReference"/>
          <w:sz w:val="22"/>
          <w:szCs w:val="22"/>
        </w:rPr>
        <w:footnoteReference w:id="11"/>
      </w:r>
    </w:p>
    <w:p w:rsidR="00DD3254" w:rsidRPr="00ED302C" w:rsidP="00DD3254">
      <w:pPr>
        <w:pStyle w:val="ParaNum"/>
        <w:rPr>
          <w:szCs w:val="22"/>
        </w:rPr>
      </w:pPr>
      <w:r w:rsidRPr="00ED302C">
        <w:rPr>
          <w:szCs w:val="22"/>
        </w:rPr>
        <w:t xml:space="preserve">The WEA system allows authorized government entities to send geographically targeted emergency alerts to commercial </w:t>
      </w:r>
      <w:r w:rsidRPr="00ED302C">
        <w:rPr>
          <w:spacing w:val="-1"/>
          <w:szCs w:val="22"/>
        </w:rPr>
        <w:t>wireless</w:t>
      </w:r>
      <w:r w:rsidRPr="00ED302C">
        <w:rPr>
          <w:szCs w:val="22"/>
        </w:rPr>
        <w:t xml:space="preserve"> subscribers who have WEA-capable mobile devices, and whose commercial wireless service providers are Participating CMS Providers.</w:t>
      </w:r>
      <w:r>
        <w:rPr>
          <w:szCs w:val="22"/>
          <w:vertAlign w:val="superscript"/>
        </w:rPr>
        <w:footnoteReference w:id="12"/>
      </w:r>
      <w:r w:rsidRPr="00ED302C">
        <w:rPr>
          <w:szCs w:val="22"/>
        </w:rPr>
        <w:t xml:space="preserve">  The Commission’s rules prohibit the use of the WEA Attention Signal except during actual emergencies, authorized tests, and certain public service announcements.</w:t>
      </w:r>
      <w:r>
        <w:rPr>
          <w:szCs w:val="22"/>
          <w:vertAlign w:val="superscript"/>
        </w:rPr>
        <w:footnoteReference w:id="13"/>
      </w:r>
      <w:r w:rsidRPr="00ED302C">
        <w:rPr>
          <w:szCs w:val="22"/>
        </w:rPr>
        <w:t xml:space="preserve">  Additionally, the Commission’s rules allow testing of WEA functionality only in limited circumstances that currently do not include end-to-end WEA tests to the public.</w:t>
      </w:r>
      <w:r>
        <w:rPr>
          <w:szCs w:val="22"/>
          <w:vertAlign w:val="superscript"/>
        </w:rPr>
        <w:footnoteReference w:id="14"/>
      </w:r>
      <w:r w:rsidRPr="00ED302C">
        <w:rPr>
          <w:szCs w:val="22"/>
        </w:rPr>
        <w:t xml:space="preserve">  On November 1, 2016, the Commission adopted a </w:t>
      </w:r>
      <w:r w:rsidRPr="00ED302C">
        <w:rPr>
          <w:i/>
          <w:szCs w:val="22"/>
        </w:rPr>
        <w:t>Report and Order</w:t>
      </w:r>
      <w:r w:rsidRPr="00ED302C">
        <w:rPr>
          <w:szCs w:val="22"/>
        </w:rPr>
        <w:t xml:space="preserve"> that amends the WEA testing rules to permit emergency managers to conduct end-to-end WEA tests to the public to assess how WEA is working within their jurisdictions.</w:t>
      </w:r>
      <w:r>
        <w:rPr>
          <w:szCs w:val="22"/>
          <w:vertAlign w:val="superscript"/>
        </w:rPr>
        <w:footnoteReference w:id="15"/>
      </w:r>
      <w:r w:rsidRPr="00ED302C">
        <w:rPr>
          <w:szCs w:val="22"/>
        </w:rPr>
        <w:t xml:space="preserve">  The rules allowing such tests will not be effective until May 1, 2019.</w:t>
      </w:r>
      <w:r>
        <w:rPr>
          <w:szCs w:val="22"/>
          <w:vertAlign w:val="superscript"/>
        </w:rPr>
        <w:footnoteReference w:id="16"/>
      </w:r>
    </w:p>
    <w:p w:rsidR="00DD3254" w:rsidRPr="00A33925" w:rsidP="00DD3254">
      <w:pPr>
        <w:pStyle w:val="ParaNum"/>
        <w:rPr>
          <w:color w:val="010101"/>
          <w:szCs w:val="22"/>
        </w:rPr>
      </w:pPr>
      <w:bookmarkEnd w:id="1"/>
      <w:r w:rsidRPr="00ED302C">
        <w:rPr>
          <w:szCs w:val="22"/>
        </w:rPr>
        <w:t>The PREMB Letter requests a</w:t>
      </w:r>
      <w:r w:rsidRPr="00ED302C">
        <w:rPr>
          <w:spacing w:val="1"/>
          <w:szCs w:val="22"/>
        </w:rPr>
        <w:t xml:space="preserve"> </w:t>
      </w:r>
      <w:r w:rsidRPr="00ED302C">
        <w:rPr>
          <w:szCs w:val="22"/>
        </w:rPr>
        <w:t>waiver</w:t>
      </w:r>
      <w:r w:rsidRPr="00ED302C">
        <w:rPr>
          <w:spacing w:val="2"/>
          <w:szCs w:val="22"/>
        </w:rPr>
        <w:t xml:space="preserve"> of the Commission’s rules to allow</w:t>
      </w:r>
      <w:r w:rsidRPr="00ED302C">
        <w:rPr>
          <w:color w:val="010101"/>
          <w:szCs w:val="22"/>
        </w:rPr>
        <w:t xml:space="preserve"> </w:t>
      </w:r>
      <w:r w:rsidRPr="00ED302C">
        <w:rPr>
          <w:spacing w:val="2"/>
          <w:szCs w:val="22"/>
        </w:rPr>
        <w:t xml:space="preserve">Participating CMS Providers and EAS Participants </w:t>
      </w:r>
      <w:r w:rsidRPr="00ED302C">
        <w:rPr>
          <w:szCs w:val="22"/>
        </w:rPr>
        <w:t>to participate in a combined EAS and WEA test between 11:00 a.m. and 11:30 a.m. Atlantic Standard Time, on September 12, 2018, with a backup date of September 13, 2018.</w:t>
      </w:r>
      <w:r>
        <w:rPr>
          <w:rStyle w:val="FootnoteReference"/>
          <w:sz w:val="22"/>
          <w:szCs w:val="22"/>
        </w:rPr>
        <w:footnoteReference w:id="17"/>
      </w:r>
      <w:r w:rsidRPr="00ED302C">
        <w:rPr>
          <w:szCs w:val="22"/>
        </w:rPr>
        <w:t xml:space="preserve">  The PREMB Letter indicates that the purpose of this test is “to assess the readiness and effectiveness of our public warning system, plans and infrastructure and to raise public awareness about our alerting capability.”</w:t>
      </w:r>
      <w:r>
        <w:rPr>
          <w:rStyle w:val="FootnoteReference"/>
          <w:sz w:val="22"/>
          <w:szCs w:val="22"/>
        </w:rPr>
        <w:footnoteReference w:id="18"/>
      </w:r>
      <w:r w:rsidRPr="00ED302C">
        <w:rPr>
          <w:szCs w:val="22"/>
        </w:rPr>
        <w:t xml:space="preserve">  According to the PREMB Letter, since the two major hurricanes in 2017 severely damaged the island’s communications, Puerto Rico has been rebuilding its communications </w:t>
      </w:r>
      <w:r w:rsidRPr="00ED302C">
        <w:rPr>
          <w:szCs w:val="22"/>
        </w:rPr>
        <w:t>infrastructure.</w:t>
      </w:r>
      <w:r>
        <w:rPr>
          <w:rStyle w:val="FootnoteReference"/>
          <w:sz w:val="22"/>
          <w:szCs w:val="22"/>
        </w:rPr>
        <w:footnoteReference w:id="19"/>
      </w:r>
      <w:r w:rsidRPr="00ED302C">
        <w:rPr>
          <w:szCs w:val="22"/>
        </w:rPr>
        <w:t xml:space="preserve">  Specifically, the PREMB Letter notes that, PREMB, FEMA, PR State Emergency Communications Committee (SECC), </w:t>
      </w:r>
      <w:r w:rsidRPr="00A35D21">
        <w:rPr>
          <w:szCs w:val="22"/>
        </w:rPr>
        <w:t>National Oceanic Atmospheric Administration, Caribbean Seismic Network, EAS, and WEA participants have been working diligently to develop an effective, resilient, and sustainable public warning capability.</w:t>
      </w:r>
      <w:r>
        <w:rPr>
          <w:szCs w:val="22"/>
          <w:vertAlign w:val="superscript"/>
        </w:rPr>
        <w:footnoteReference w:id="20"/>
      </w:r>
      <w:r w:rsidRPr="00A35D21">
        <w:rPr>
          <w:szCs w:val="22"/>
        </w:rPr>
        <w:t xml:space="preserve">  The PREMB Letter also notes that FEMA Integrated Public Alert Warning System (IPAWS) has been providing training to PREMB and the PREMB 911 Bureau, </w:t>
      </w:r>
      <w:r>
        <w:rPr>
          <w:szCs w:val="22"/>
        </w:rPr>
        <w:t xml:space="preserve">and </w:t>
      </w:r>
      <w:r w:rsidRPr="00A35D21">
        <w:rPr>
          <w:szCs w:val="22"/>
        </w:rPr>
        <w:t>that FEMA has recently installed origination technologies and is supporting the development of IPAWS-compatible siren systems.</w:t>
      </w:r>
      <w:r>
        <w:rPr>
          <w:szCs w:val="22"/>
          <w:vertAlign w:val="superscript"/>
        </w:rPr>
        <w:footnoteReference w:id="21"/>
      </w:r>
      <w:r w:rsidRPr="00A35D21">
        <w:rPr>
          <w:szCs w:val="22"/>
        </w:rPr>
        <w:t xml:space="preserve">  The PREMB Letter notes that, as the peak of hurricane season approaches, it is “important that PREMB be able to test and validate its IPAWS origination capabilities and the participants’ ability to disseminate emergency messages to the public.”</w:t>
      </w:r>
      <w:r>
        <w:rPr>
          <w:szCs w:val="22"/>
          <w:vertAlign w:val="superscript"/>
        </w:rPr>
        <w:footnoteReference w:id="22"/>
      </w:r>
      <w:r w:rsidRPr="00A35D21">
        <w:rPr>
          <w:szCs w:val="22"/>
        </w:rPr>
        <w:t xml:space="preserve">  Accordingly, PREMB believes that “it is imperative that it test the system now, rather than wait until May 1, 2019 for the FCC’s WEA end-to-end testing rules to become effective.”</w:t>
      </w:r>
      <w:r>
        <w:rPr>
          <w:szCs w:val="22"/>
          <w:vertAlign w:val="superscript"/>
        </w:rPr>
        <w:footnoteReference w:id="23"/>
      </w:r>
    </w:p>
    <w:p w:rsidR="00DD3254" w:rsidRPr="00ED302C" w:rsidP="00DD3254">
      <w:pPr>
        <w:pStyle w:val="ParaNum"/>
        <w:rPr>
          <w:color w:val="010101"/>
          <w:szCs w:val="22"/>
        </w:rPr>
      </w:pPr>
      <w:r w:rsidRPr="00ED302C">
        <w:rPr>
          <w:szCs w:val="22"/>
        </w:rPr>
        <w:t>PREMB’s request is supported by the Puerto Rico Telephone Company (Claro).</w:t>
      </w:r>
      <w:r>
        <w:rPr>
          <w:rStyle w:val="FootnoteReference"/>
          <w:sz w:val="22"/>
          <w:szCs w:val="22"/>
        </w:rPr>
        <w:footnoteReference w:id="24"/>
      </w:r>
      <w:r w:rsidRPr="00ED302C">
        <w:rPr>
          <w:szCs w:val="22"/>
        </w:rPr>
        <w:t xml:space="preserve">  Claro indicates that it intends to fully participate in the PREMB proposed test.</w:t>
      </w:r>
      <w:r>
        <w:rPr>
          <w:rStyle w:val="FootnoteReference"/>
          <w:sz w:val="22"/>
          <w:szCs w:val="22"/>
        </w:rPr>
        <w:footnoteReference w:id="25"/>
      </w:r>
      <w:r w:rsidRPr="00ED302C">
        <w:rPr>
          <w:szCs w:val="22"/>
        </w:rPr>
        <w:t xml:space="preserve">  According to the Claro Letter, it has been “preparing and adjusting its systems to be able to guarantee that alerts and warnings are transmitted efficiently, in order to make sure that the residents of Puerto Rico have fast and credible information available in times of emergencies.”</w:t>
      </w:r>
      <w:r>
        <w:rPr>
          <w:rStyle w:val="FootnoteReference"/>
          <w:sz w:val="22"/>
          <w:szCs w:val="22"/>
        </w:rPr>
        <w:footnoteReference w:id="26"/>
      </w:r>
      <w:r w:rsidRPr="00ED302C">
        <w:rPr>
          <w:szCs w:val="22"/>
        </w:rPr>
        <w:t xml:space="preserve">  Claro believes that the proposed PREMB test and the required monthly test will serve as indications that it is ready for the </w:t>
      </w:r>
      <w:r w:rsidRPr="002879E7">
        <w:rPr>
          <w:szCs w:val="22"/>
        </w:rPr>
        <w:t>nationwide combined test of the WEA and EAS scheduled for September 20, 2018.</w:t>
      </w:r>
      <w:r>
        <w:rPr>
          <w:rStyle w:val="FootnoteReference"/>
          <w:szCs w:val="22"/>
        </w:rPr>
        <w:footnoteReference w:id="27"/>
      </w:r>
    </w:p>
    <w:p w:rsidR="00DD3254" w:rsidRPr="00ED302C" w:rsidP="00DD3254">
      <w:pPr>
        <w:pStyle w:val="ParaNum"/>
        <w:rPr>
          <w:szCs w:val="22"/>
        </w:rPr>
      </w:pPr>
      <w:r w:rsidRPr="00ED302C">
        <w:rPr>
          <w:szCs w:val="22"/>
        </w:rPr>
        <w:t>PREMB’s combined EAS and WEA test on September 12, would be sent in Spanish and English by the PREMB, and target all of Puerto Rico.</w:t>
      </w:r>
      <w:r>
        <w:rPr>
          <w:rStyle w:val="FootnoteReference"/>
          <w:sz w:val="22"/>
          <w:szCs w:val="22"/>
        </w:rPr>
        <w:footnoteReference w:id="28"/>
      </w:r>
      <w:r w:rsidRPr="00ED302C">
        <w:rPr>
          <w:szCs w:val="22"/>
        </w:rPr>
        <w:t xml:space="preserve">  The PREMB Letter states that the EAS test will use a live event code for a Civil Emergency Message to be broadcast on radio, television and cable.</w:t>
      </w:r>
      <w:r>
        <w:rPr>
          <w:rStyle w:val="FootnoteReference"/>
          <w:sz w:val="22"/>
          <w:szCs w:val="22"/>
        </w:rPr>
        <w:footnoteReference w:id="29"/>
      </w:r>
      <w:r w:rsidRPr="00ED302C">
        <w:rPr>
          <w:rStyle w:val="FootnoteReference"/>
          <w:sz w:val="22"/>
          <w:szCs w:val="22"/>
        </w:rPr>
        <w:t xml:space="preserve"> </w:t>
      </w:r>
      <w:r w:rsidRPr="00ED302C">
        <w:rPr>
          <w:szCs w:val="22"/>
        </w:rPr>
        <w:t xml:space="preserve">  The proposed WEA test message to be delivered to mobile devices would be:  “PRUEBA DE SISTEMA DE ALERTA. NO TOME ACCION. WIRELESS EMERGENCY ALERT TEST. TAKE NO ACTION.”</w:t>
      </w:r>
      <w:r>
        <w:rPr>
          <w:rStyle w:val="FootnoteReference"/>
          <w:sz w:val="22"/>
          <w:szCs w:val="22"/>
        </w:rPr>
        <w:footnoteReference w:id="30"/>
      </w:r>
      <w:r w:rsidRPr="00ED302C">
        <w:rPr>
          <w:szCs w:val="22"/>
        </w:rPr>
        <w:t xml:space="preserve">  The PREMB does not intend this test to substitute for other scheduled tests of the EAS or WEA.</w:t>
      </w:r>
    </w:p>
    <w:p w:rsidR="00DD3254" w:rsidRPr="00ED302C" w:rsidP="00DD3254">
      <w:pPr>
        <w:pStyle w:val="ParaNum"/>
        <w:rPr>
          <w:szCs w:val="22"/>
        </w:rPr>
      </w:pPr>
      <w:r w:rsidRPr="00ED302C">
        <w:rPr>
          <w:szCs w:val="22"/>
        </w:rPr>
        <w:t>According to the PREMB Letter, the PREMB will coordinate the test with the relevant Participating CMS providers and the EAS SECC, and the public safety answering points (PSAPs) are already “intimately involved with the public warning efforts and this test.”</w:t>
      </w:r>
      <w:r>
        <w:rPr>
          <w:rStyle w:val="FootnoteReference"/>
          <w:sz w:val="22"/>
          <w:szCs w:val="22"/>
        </w:rPr>
        <w:footnoteReference w:id="31"/>
      </w:r>
      <w:r w:rsidRPr="00ED302C">
        <w:rPr>
          <w:szCs w:val="22"/>
        </w:rPr>
        <w:t xml:space="preserve">  The PREMB Letter </w:t>
      </w:r>
      <w:bookmarkStart w:id="2" w:name="_Hlk523327559"/>
      <w:r w:rsidRPr="00ED302C">
        <w:rPr>
          <w:szCs w:val="22"/>
        </w:rPr>
        <w:t>describes an extensive public outreach campaign to be conducted by the PREMB Public Information Officer (PIO) in coordination with FEMA, other Puerto Rico PIOs and public safety agencies, including police and fire departments.</w:t>
      </w:r>
      <w:r>
        <w:rPr>
          <w:rStyle w:val="FootnoteReference"/>
          <w:sz w:val="22"/>
          <w:szCs w:val="22"/>
        </w:rPr>
        <w:footnoteReference w:id="32"/>
      </w:r>
      <w:r w:rsidRPr="00ED302C">
        <w:rPr>
          <w:szCs w:val="22"/>
        </w:rPr>
        <w:t xml:space="preserve"> </w:t>
      </w:r>
      <w:bookmarkEnd w:id="2"/>
      <w:r w:rsidRPr="00ED302C">
        <w:rPr>
          <w:szCs w:val="22"/>
        </w:rPr>
        <w:t xml:space="preserve"> Among other things, the public outreach campaign would include a press conference, television, radio and print interviews, public service announcements and social media.</w:t>
      </w:r>
      <w:r>
        <w:rPr>
          <w:rStyle w:val="FootnoteReference"/>
          <w:sz w:val="22"/>
          <w:szCs w:val="22"/>
        </w:rPr>
        <w:footnoteReference w:id="33"/>
      </w:r>
      <w:bookmarkStart w:id="3" w:name="_Hlk514697506"/>
    </w:p>
    <w:p w:rsidR="00DD3254" w:rsidRPr="00ED302C" w:rsidP="00DD3254">
      <w:pPr>
        <w:pStyle w:val="Heading1"/>
        <w:rPr>
          <w:rFonts w:ascii="Times New Roman" w:hAnsi="Times New Roman"/>
          <w:szCs w:val="22"/>
        </w:rPr>
      </w:pPr>
      <w:bookmarkEnd w:id="3"/>
      <w:r w:rsidRPr="00ED302C">
        <w:rPr>
          <w:rFonts w:ascii="Times New Roman" w:hAnsi="Times New Roman"/>
          <w:szCs w:val="22"/>
        </w:rPr>
        <w:t>DISCUSSION</w:t>
      </w:r>
    </w:p>
    <w:p w:rsidR="00DD3254" w:rsidRPr="00ED302C" w:rsidP="00DD3254">
      <w:pPr>
        <w:pStyle w:val="ParaNum"/>
        <w:rPr>
          <w:szCs w:val="22"/>
        </w:rPr>
      </w:pPr>
      <w:bookmarkStart w:id="4" w:name="_Hlk508439774"/>
      <w:r w:rsidRPr="00ED302C">
        <w:rPr>
          <w:szCs w:val="22"/>
        </w:rPr>
        <w:t>A</w:t>
      </w:r>
      <w:r w:rsidRPr="00ED302C">
        <w:rPr>
          <w:spacing w:val="-5"/>
          <w:szCs w:val="22"/>
        </w:rPr>
        <w:t xml:space="preserve"> </w:t>
      </w:r>
      <w:r w:rsidRPr="00ED302C">
        <w:rPr>
          <w:szCs w:val="22"/>
        </w:rPr>
        <w:t>provision</w:t>
      </w:r>
      <w:r w:rsidRPr="00ED302C">
        <w:rPr>
          <w:spacing w:val="-4"/>
          <w:szCs w:val="22"/>
        </w:rPr>
        <w:t xml:space="preserve"> </w:t>
      </w:r>
      <w:r w:rsidRPr="00ED302C">
        <w:rPr>
          <w:szCs w:val="22"/>
        </w:rPr>
        <w:t>of</w:t>
      </w:r>
      <w:r w:rsidRPr="00ED302C">
        <w:rPr>
          <w:spacing w:val="-3"/>
          <w:szCs w:val="22"/>
        </w:rPr>
        <w:t xml:space="preserve"> </w:t>
      </w:r>
      <w:r w:rsidRPr="00ED302C">
        <w:rPr>
          <w:szCs w:val="22"/>
        </w:rPr>
        <w:t>the</w:t>
      </w:r>
      <w:r w:rsidRPr="00ED302C">
        <w:rPr>
          <w:spacing w:val="-5"/>
          <w:szCs w:val="22"/>
        </w:rPr>
        <w:t xml:space="preserve"> </w:t>
      </w:r>
      <w:r w:rsidRPr="00ED302C">
        <w:rPr>
          <w:szCs w:val="22"/>
        </w:rPr>
        <w:t>Commission’s</w:t>
      </w:r>
      <w:r w:rsidRPr="00ED302C">
        <w:rPr>
          <w:spacing w:val="-4"/>
          <w:szCs w:val="22"/>
        </w:rPr>
        <w:t xml:space="preserve"> </w:t>
      </w:r>
      <w:r w:rsidRPr="00ED302C">
        <w:rPr>
          <w:szCs w:val="22"/>
        </w:rPr>
        <w:t>rules</w:t>
      </w:r>
      <w:r w:rsidRPr="00ED302C">
        <w:rPr>
          <w:spacing w:val="-3"/>
          <w:szCs w:val="22"/>
        </w:rPr>
        <w:t xml:space="preserve"> </w:t>
      </w:r>
      <w:r w:rsidRPr="00ED302C">
        <w:rPr>
          <w:szCs w:val="22"/>
        </w:rPr>
        <w:t>“may</w:t>
      </w:r>
      <w:r w:rsidRPr="00ED302C">
        <w:rPr>
          <w:spacing w:val="-5"/>
          <w:szCs w:val="22"/>
        </w:rPr>
        <w:t xml:space="preserve"> </w:t>
      </w:r>
      <w:r w:rsidRPr="00ED302C">
        <w:rPr>
          <w:szCs w:val="22"/>
        </w:rPr>
        <w:t>be</w:t>
      </w:r>
      <w:r w:rsidRPr="00ED302C">
        <w:rPr>
          <w:spacing w:val="-5"/>
          <w:szCs w:val="22"/>
        </w:rPr>
        <w:t xml:space="preserve"> </w:t>
      </w:r>
      <w:r w:rsidRPr="00ED302C">
        <w:rPr>
          <w:spacing w:val="-1"/>
          <w:szCs w:val="22"/>
        </w:rPr>
        <w:t>waived</w:t>
      </w:r>
      <w:r w:rsidRPr="00ED302C">
        <w:rPr>
          <w:spacing w:val="-4"/>
          <w:szCs w:val="22"/>
        </w:rPr>
        <w:t xml:space="preserve"> </w:t>
      </w:r>
      <w:r w:rsidRPr="00ED302C">
        <w:rPr>
          <w:szCs w:val="22"/>
        </w:rPr>
        <w:t>by</w:t>
      </w:r>
      <w:r w:rsidRPr="00ED302C">
        <w:rPr>
          <w:spacing w:val="-4"/>
          <w:szCs w:val="22"/>
        </w:rPr>
        <w:t xml:space="preserve"> </w:t>
      </w:r>
      <w:r w:rsidRPr="00ED302C">
        <w:rPr>
          <w:szCs w:val="22"/>
        </w:rPr>
        <w:t>the</w:t>
      </w:r>
      <w:r w:rsidRPr="00ED302C">
        <w:rPr>
          <w:spacing w:val="-4"/>
          <w:szCs w:val="22"/>
        </w:rPr>
        <w:t xml:space="preserve"> </w:t>
      </w:r>
      <w:r w:rsidRPr="00ED302C">
        <w:rPr>
          <w:spacing w:val="-1"/>
          <w:szCs w:val="22"/>
        </w:rPr>
        <w:t>Commission</w:t>
      </w:r>
      <w:r w:rsidRPr="00ED302C">
        <w:rPr>
          <w:spacing w:val="-4"/>
          <w:szCs w:val="22"/>
        </w:rPr>
        <w:t xml:space="preserve"> </w:t>
      </w:r>
      <w:r w:rsidRPr="00ED302C">
        <w:rPr>
          <w:szCs w:val="22"/>
        </w:rPr>
        <w:t>on</w:t>
      </w:r>
      <w:r w:rsidRPr="00ED302C">
        <w:rPr>
          <w:spacing w:val="-4"/>
          <w:szCs w:val="22"/>
        </w:rPr>
        <w:t xml:space="preserve"> </w:t>
      </w:r>
      <w:r w:rsidRPr="00ED302C">
        <w:rPr>
          <w:szCs w:val="22"/>
        </w:rPr>
        <w:t>its</w:t>
      </w:r>
      <w:r w:rsidRPr="00ED302C">
        <w:rPr>
          <w:spacing w:val="-4"/>
          <w:szCs w:val="22"/>
        </w:rPr>
        <w:t xml:space="preserve"> </w:t>
      </w:r>
      <w:r w:rsidRPr="00ED302C">
        <w:rPr>
          <w:szCs w:val="22"/>
        </w:rPr>
        <w:t>own</w:t>
      </w:r>
      <w:r w:rsidRPr="00ED302C">
        <w:rPr>
          <w:spacing w:val="27"/>
          <w:szCs w:val="22"/>
        </w:rPr>
        <w:t xml:space="preserve"> </w:t>
      </w:r>
      <w:r w:rsidRPr="00ED302C">
        <w:rPr>
          <w:spacing w:val="-1"/>
          <w:szCs w:val="22"/>
        </w:rPr>
        <w:t>motion</w:t>
      </w:r>
      <w:r w:rsidRPr="00ED302C">
        <w:rPr>
          <w:spacing w:val="-3"/>
          <w:szCs w:val="22"/>
        </w:rPr>
        <w:t xml:space="preserve"> </w:t>
      </w:r>
      <w:r w:rsidRPr="00ED302C">
        <w:rPr>
          <w:szCs w:val="22"/>
        </w:rPr>
        <w:t>or</w:t>
      </w:r>
      <w:r w:rsidRPr="00ED302C">
        <w:rPr>
          <w:spacing w:val="-3"/>
          <w:szCs w:val="22"/>
        </w:rPr>
        <w:t xml:space="preserve"> </w:t>
      </w:r>
      <w:r w:rsidRPr="00ED302C">
        <w:rPr>
          <w:szCs w:val="22"/>
        </w:rPr>
        <w:t>on</w:t>
      </w:r>
      <w:r w:rsidRPr="00ED302C">
        <w:rPr>
          <w:spacing w:val="-3"/>
          <w:szCs w:val="22"/>
        </w:rPr>
        <w:t xml:space="preserve"> </w:t>
      </w:r>
      <w:r w:rsidRPr="00ED302C">
        <w:rPr>
          <w:szCs w:val="22"/>
        </w:rPr>
        <w:t>petition</w:t>
      </w:r>
      <w:r w:rsidRPr="00ED302C">
        <w:rPr>
          <w:spacing w:val="-3"/>
          <w:szCs w:val="22"/>
        </w:rPr>
        <w:t xml:space="preserve"> </w:t>
      </w:r>
      <w:r w:rsidRPr="00ED302C">
        <w:rPr>
          <w:spacing w:val="-1"/>
          <w:szCs w:val="22"/>
        </w:rPr>
        <w:t>if</w:t>
      </w:r>
      <w:r w:rsidRPr="00ED302C">
        <w:rPr>
          <w:spacing w:val="-3"/>
          <w:szCs w:val="22"/>
        </w:rPr>
        <w:t xml:space="preserve"> </w:t>
      </w:r>
      <w:r w:rsidRPr="00ED302C">
        <w:rPr>
          <w:szCs w:val="22"/>
        </w:rPr>
        <w:t>good</w:t>
      </w:r>
      <w:r w:rsidRPr="00ED302C">
        <w:rPr>
          <w:spacing w:val="-2"/>
          <w:szCs w:val="22"/>
        </w:rPr>
        <w:t xml:space="preserve"> </w:t>
      </w:r>
      <w:r w:rsidRPr="00ED302C">
        <w:rPr>
          <w:szCs w:val="22"/>
        </w:rPr>
        <w:t>cause</w:t>
      </w:r>
      <w:r w:rsidRPr="00ED302C">
        <w:rPr>
          <w:spacing w:val="-4"/>
          <w:szCs w:val="22"/>
        </w:rPr>
        <w:t xml:space="preserve"> </w:t>
      </w:r>
      <w:r w:rsidRPr="00ED302C">
        <w:rPr>
          <w:szCs w:val="22"/>
        </w:rPr>
        <w:t>therefor</w:t>
      </w:r>
      <w:r w:rsidRPr="00ED302C">
        <w:rPr>
          <w:spacing w:val="-4"/>
          <w:szCs w:val="22"/>
        </w:rPr>
        <w:t xml:space="preserve"> </w:t>
      </w:r>
      <w:r w:rsidRPr="00ED302C">
        <w:rPr>
          <w:spacing w:val="-1"/>
          <w:szCs w:val="22"/>
        </w:rPr>
        <w:t>is</w:t>
      </w:r>
      <w:r w:rsidRPr="00ED302C">
        <w:rPr>
          <w:spacing w:val="-3"/>
          <w:szCs w:val="22"/>
        </w:rPr>
        <w:t xml:space="preserve"> </w:t>
      </w:r>
      <w:r w:rsidRPr="00ED302C">
        <w:rPr>
          <w:spacing w:val="-1"/>
          <w:szCs w:val="22"/>
        </w:rPr>
        <w:t>shown.”</w:t>
      </w:r>
      <w:r>
        <w:rPr>
          <w:rStyle w:val="FootnoteReference"/>
          <w:spacing w:val="-1"/>
          <w:sz w:val="22"/>
          <w:szCs w:val="22"/>
        </w:rPr>
        <w:footnoteReference w:id="34"/>
      </w:r>
      <w:r w:rsidRPr="00ED302C">
        <w:rPr>
          <w:szCs w:val="22"/>
        </w:rPr>
        <w:t xml:space="preserve">  The</w:t>
      </w:r>
      <w:r w:rsidRPr="00ED302C">
        <w:rPr>
          <w:spacing w:val="-4"/>
          <w:szCs w:val="22"/>
        </w:rPr>
        <w:t xml:space="preserve"> </w:t>
      </w:r>
      <w:r w:rsidRPr="00ED302C">
        <w:rPr>
          <w:szCs w:val="22"/>
        </w:rPr>
        <w:t>Commission</w:t>
      </w:r>
      <w:r w:rsidRPr="00ED302C">
        <w:rPr>
          <w:spacing w:val="-3"/>
          <w:szCs w:val="22"/>
        </w:rPr>
        <w:t xml:space="preserve"> </w:t>
      </w:r>
      <w:r w:rsidRPr="00ED302C">
        <w:rPr>
          <w:szCs w:val="22"/>
        </w:rPr>
        <w:t>may</w:t>
      </w:r>
      <w:r w:rsidRPr="00ED302C">
        <w:rPr>
          <w:spacing w:val="-4"/>
          <w:szCs w:val="22"/>
        </w:rPr>
        <w:t xml:space="preserve"> </w:t>
      </w:r>
      <w:r w:rsidRPr="00ED302C">
        <w:rPr>
          <w:szCs w:val="22"/>
        </w:rPr>
        <w:t>find</w:t>
      </w:r>
      <w:r w:rsidRPr="00ED302C">
        <w:rPr>
          <w:spacing w:val="-3"/>
          <w:szCs w:val="22"/>
        </w:rPr>
        <w:t xml:space="preserve"> </w:t>
      </w:r>
      <w:r w:rsidRPr="00ED302C">
        <w:rPr>
          <w:szCs w:val="22"/>
        </w:rPr>
        <w:t>good</w:t>
      </w:r>
      <w:r w:rsidRPr="00ED302C">
        <w:rPr>
          <w:spacing w:val="-2"/>
          <w:szCs w:val="22"/>
        </w:rPr>
        <w:t xml:space="preserve"> </w:t>
      </w:r>
      <w:r w:rsidRPr="00ED302C">
        <w:rPr>
          <w:szCs w:val="22"/>
        </w:rPr>
        <w:t>cause</w:t>
      </w:r>
      <w:r w:rsidRPr="00ED302C">
        <w:rPr>
          <w:spacing w:val="-4"/>
          <w:szCs w:val="22"/>
        </w:rPr>
        <w:t xml:space="preserve"> </w:t>
      </w:r>
      <w:r w:rsidRPr="00ED302C">
        <w:rPr>
          <w:spacing w:val="-1"/>
          <w:szCs w:val="22"/>
        </w:rPr>
        <w:t>to</w:t>
      </w:r>
      <w:r w:rsidRPr="00ED302C">
        <w:rPr>
          <w:spacing w:val="39"/>
          <w:szCs w:val="22"/>
        </w:rPr>
        <w:t xml:space="preserve"> </w:t>
      </w:r>
      <w:r w:rsidRPr="00ED302C">
        <w:rPr>
          <w:szCs w:val="22"/>
        </w:rPr>
        <w:t>extend</w:t>
      </w:r>
      <w:r w:rsidRPr="00ED302C">
        <w:rPr>
          <w:spacing w:val="-6"/>
          <w:szCs w:val="22"/>
        </w:rPr>
        <w:t xml:space="preserve"> </w:t>
      </w:r>
      <w:r w:rsidRPr="00ED302C">
        <w:rPr>
          <w:szCs w:val="22"/>
        </w:rPr>
        <w:t>a</w:t>
      </w:r>
      <w:r w:rsidRPr="00ED302C">
        <w:rPr>
          <w:spacing w:val="-7"/>
          <w:szCs w:val="22"/>
        </w:rPr>
        <w:t xml:space="preserve"> </w:t>
      </w:r>
      <w:r w:rsidRPr="00ED302C">
        <w:rPr>
          <w:spacing w:val="-1"/>
          <w:szCs w:val="22"/>
        </w:rPr>
        <w:t>waiver</w:t>
      </w:r>
      <w:r w:rsidRPr="00ED302C">
        <w:rPr>
          <w:spacing w:val="-6"/>
          <w:szCs w:val="22"/>
        </w:rPr>
        <w:t xml:space="preserve">, </w:t>
      </w:r>
      <w:r w:rsidRPr="00ED302C">
        <w:rPr>
          <w:szCs w:val="22"/>
        </w:rPr>
        <w:t>“if</w:t>
      </w:r>
      <w:r w:rsidRPr="00ED302C">
        <w:rPr>
          <w:spacing w:val="-6"/>
          <w:szCs w:val="22"/>
        </w:rPr>
        <w:t xml:space="preserve"> </w:t>
      </w:r>
      <w:r w:rsidRPr="00ED302C">
        <w:rPr>
          <w:spacing w:val="-1"/>
          <w:szCs w:val="22"/>
        </w:rPr>
        <w:t>special</w:t>
      </w:r>
      <w:r w:rsidRPr="00ED302C">
        <w:rPr>
          <w:spacing w:val="-5"/>
          <w:szCs w:val="22"/>
        </w:rPr>
        <w:t xml:space="preserve"> </w:t>
      </w:r>
      <w:r w:rsidRPr="00ED302C">
        <w:rPr>
          <w:szCs w:val="22"/>
        </w:rPr>
        <w:t>circumstances</w:t>
      </w:r>
      <w:r w:rsidRPr="00ED302C">
        <w:rPr>
          <w:spacing w:val="-5"/>
          <w:szCs w:val="22"/>
        </w:rPr>
        <w:t xml:space="preserve"> </w:t>
      </w:r>
      <w:r w:rsidRPr="00ED302C">
        <w:rPr>
          <w:spacing w:val="-1"/>
          <w:szCs w:val="22"/>
        </w:rPr>
        <w:t>warrant</w:t>
      </w:r>
      <w:r w:rsidRPr="00ED302C">
        <w:rPr>
          <w:spacing w:val="-5"/>
          <w:szCs w:val="22"/>
        </w:rPr>
        <w:t xml:space="preserve"> </w:t>
      </w:r>
      <w:r w:rsidRPr="00ED302C">
        <w:rPr>
          <w:szCs w:val="22"/>
        </w:rPr>
        <w:t>a</w:t>
      </w:r>
      <w:r w:rsidRPr="00ED302C">
        <w:rPr>
          <w:spacing w:val="-5"/>
          <w:szCs w:val="22"/>
        </w:rPr>
        <w:t xml:space="preserve"> </w:t>
      </w:r>
      <w:r w:rsidRPr="00ED302C">
        <w:rPr>
          <w:spacing w:val="-1"/>
          <w:szCs w:val="22"/>
        </w:rPr>
        <w:t>deviation</w:t>
      </w:r>
      <w:r w:rsidRPr="00ED302C">
        <w:rPr>
          <w:spacing w:val="-6"/>
          <w:szCs w:val="22"/>
        </w:rPr>
        <w:t xml:space="preserve"> </w:t>
      </w:r>
      <w:r w:rsidRPr="00ED302C">
        <w:rPr>
          <w:szCs w:val="22"/>
        </w:rPr>
        <w:t>from</w:t>
      </w:r>
      <w:r w:rsidRPr="00ED302C">
        <w:rPr>
          <w:spacing w:val="-5"/>
          <w:szCs w:val="22"/>
        </w:rPr>
        <w:t xml:space="preserve"> </w:t>
      </w:r>
      <w:r w:rsidRPr="00ED302C">
        <w:rPr>
          <w:szCs w:val="22"/>
        </w:rPr>
        <w:t>the</w:t>
      </w:r>
      <w:r w:rsidRPr="00ED302C">
        <w:rPr>
          <w:spacing w:val="-6"/>
          <w:szCs w:val="22"/>
        </w:rPr>
        <w:t xml:space="preserve"> </w:t>
      </w:r>
      <w:r w:rsidRPr="00ED302C">
        <w:rPr>
          <w:szCs w:val="22"/>
        </w:rPr>
        <w:t>general</w:t>
      </w:r>
      <w:r w:rsidRPr="00ED302C">
        <w:rPr>
          <w:spacing w:val="-5"/>
          <w:szCs w:val="22"/>
        </w:rPr>
        <w:t xml:space="preserve"> </w:t>
      </w:r>
      <w:r w:rsidRPr="00ED302C">
        <w:rPr>
          <w:szCs w:val="22"/>
        </w:rPr>
        <w:t>rule</w:t>
      </w:r>
      <w:r w:rsidRPr="00ED302C">
        <w:rPr>
          <w:spacing w:val="-5"/>
          <w:szCs w:val="22"/>
        </w:rPr>
        <w:t xml:space="preserve"> </w:t>
      </w:r>
      <w:r w:rsidRPr="00ED302C">
        <w:rPr>
          <w:spacing w:val="-1"/>
          <w:szCs w:val="22"/>
        </w:rPr>
        <w:t>and</w:t>
      </w:r>
      <w:r w:rsidRPr="00ED302C">
        <w:rPr>
          <w:spacing w:val="-5"/>
          <w:szCs w:val="22"/>
        </w:rPr>
        <w:t xml:space="preserve"> </w:t>
      </w:r>
      <w:r w:rsidRPr="00ED302C">
        <w:rPr>
          <w:spacing w:val="-1"/>
          <w:szCs w:val="22"/>
        </w:rPr>
        <w:t>such</w:t>
      </w:r>
      <w:r w:rsidRPr="00ED302C">
        <w:rPr>
          <w:spacing w:val="-6"/>
          <w:szCs w:val="22"/>
        </w:rPr>
        <w:t xml:space="preserve"> </w:t>
      </w:r>
      <w:r w:rsidRPr="00ED302C">
        <w:rPr>
          <w:szCs w:val="22"/>
        </w:rPr>
        <w:t xml:space="preserve">deviation </w:t>
      </w:r>
      <w:r w:rsidRPr="00ED302C">
        <w:rPr>
          <w:spacing w:val="-1"/>
          <w:szCs w:val="22"/>
        </w:rPr>
        <w:t>will</w:t>
      </w:r>
      <w:r w:rsidRPr="00ED302C">
        <w:rPr>
          <w:spacing w:val="-4"/>
          <w:szCs w:val="22"/>
        </w:rPr>
        <w:t xml:space="preserve"> </w:t>
      </w:r>
      <w:r w:rsidRPr="00ED302C">
        <w:rPr>
          <w:spacing w:val="-1"/>
          <w:szCs w:val="22"/>
        </w:rPr>
        <w:t>serve</w:t>
      </w:r>
      <w:r w:rsidRPr="00ED302C">
        <w:rPr>
          <w:spacing w:val="-4"/>
          <w:szCs w:val="22"/>
        </w:rPr>
        <w:t xml:space="preserve"> </w:t>
      </w:r>
      <w:r w:rsidRPr="00ED302C">
        <w:rPr>
          <w:szCs w:val="22"/>
        </w:rPr>
        <w:t>the</w:t>
      </w:r>
      <w:r w:rsidRPr="00ED302C">
        <w:rPr>
          <w:spacing w:val="-5"/>
          <w:szCs w:val="22"/>
        </w:rPr>
        <w:t xml:space="preserve"> </w:t>
      </w:r>
      <w:r w:rsidRPr="00ED302C">
        <w:rPr>
          <w:szCs w:val="22"/>
        </w:rPr>
        <w:t>public</w:t>
      </w:r>
      <w:r w:rsidRPr="00ED302C">
        <w:rPr>
          <w:spacing w:val="-3"/>
          <w:szCs w:val="22"/>
        </w:rPr>
        <w:t xml:space="preserve"> </w:t>
      </w:r>
      <w:r w:rsidRPr="00ED302C">
        <w:rPr>
          <w:spacing w:val="-1"/>
          <w:szCs w:val="22"/>
        </w:rPr>
        <w:t>interest.”</w:t>
      </w:r>
      <w:r>
        <w:rPr>
          <w:rStyle w:val="FootnoteReference"/>
          <w:spacing w:val="-1"/>
          <w:sz w:val="22"/>
          <w:szCs w:val="22"/>
        </w:rPr>
        <w:footnoteReference w:id="35"/>
      </w:r>
      <w:r w:rsidRPr="00ED302C">
        <w:rPr>
          <w:spacing w:val="-1"/>
          <w:szCs w:val="22"/>
        </w:rPr>
        <w:t xml:space="preserve">  We</w:t>
      </w:r>
      <w:r w:rsidRPr="00ED302C">
        <w:rPr>
          <w:szCs w:val="22"/>
        </w:rPr>
        <w:t xml:space="preserve"> conclude that there is good cause to grant the PREMB waiver request for the combined EAS and WEA end-to-end test.</w:t>
      </w:r>
    </w:p>
    <w:p w:rsidR="00DD3254" w:rsidRPr="00ED302C" w:rsidP="00DD3254">
      <w:pPr>
        <w:pStyle w:val="ParaNum"/>
        <w:rPr>
          <w:szCs w:val="22"/>
        </w:rPr>
      </w:pPr>
      <w:r w:rsidRPr="00EC3DA3">
        <w:rPr>
          <w:szCs w:val="22"/>
        </w:rPr>
        <w:t xml:space="preserve">We believe that the proposed test of the EAS and WEA will help educate and prepare the public and will help the PREMB to determine the readiness and effectiveness of Puerto Rico’s public warning system, plans, and infrastructure as it prepares for the peak of the 2018 hurricane season.  Given the disasters suffered by Puerto Rico during last year’s hurricanes and in preparation for this year’s peak hurricane season, we find waiver relief is warranted.  Rather than wait until after May 2019, we believe the proposed test would provide alert initiators and emergency managers information of immediate value to ongoing restoration and emergency preparedness efforts.  </w:t>
      </w:r>
      <w:r>
        <w:rPr>
          <w:szCs w:val="22"/>
        </w:rPr>
        <w:t xml:space="preserve">Finally, we are persuaded by the filing by Claro that participation in the September 12 test will help wireless providers in Puerto Rico prepare for the nationwide test that will be conducted eight days later.  </w:t>
      </w:r>
      <w:r w:rsidRPr="00ED302C">
        <w:rPr>
          <w:szCs w:val="22"/>
        </w:rPr>
        <w:t>Accordingly, we conclude that limited waivers of the Commission’s EAS and WEA rules are in the public interest.</w:t>
      </w:r>
      <w:r>
        <w:rPr>
          <w:rStyle w:val="FootnoteReference"/>
          <w:sz w:val="22"/>
          <w:szCs w:val="22"/>
        </w:rPr>
        <w:footnoteReference w:id="36"/>
      </w:r>
    </w:p>
    <w:p w:rsidR="00DD3254" w:rsidRPr="002879E7" w:rsidP="00DD3254">
      <w:pPr>
        <w:pStyle w:val="ParaNum"/>
        <w:rPr>
          <w:szCs w:val="22"/>
        </w:rPr>
      </w:pPr>
      <w:r w:rsidRPr="00ED302C">
        <w:rPr>
          <w:szCs w:val="22"/>
        </w:rPr>
        <w:t>We observe, however, that t</w:t>
      </w:r>
      <w:bookmarkStart w:id="5" w:name="_Ref235348554"/>
      <w:bookmarkEnd w:id="4"/>
      <w:r w:rsidRPr="00ED302C">
        <w:rPr>
          <w:szCs w:val="22"/>
        </w:rPr>
        <w:t>he</w:t>
      </w:r>
      <w:r w:rsidRPr="00ED302C">
        <w:rPr>
          <w:spacing w:val="-4"/>
          <w:szCs w:val="22"/>
        </w:rPr>
        <w:t xml:space="preserve"> combined EAS and </w:t>
      </w:r>
      <w:r w:rsidRPr="00ED302C">
        <w:rPr>
          <w:szCs w:val="22"/>
        </w:rPr>
        <w:t>WEA</w:t>
      </w:r>
      <w:r w:rsidRPr="00ED302C">
        <w:rPr>
          <w:spacing w:val="-5"/>
          <w:szCs w:val="22"/>
        </w:rPr>
        <w:t xml:space="preserve"> </w:t>
      </w:r>
      <w:r w:rsidRPr="00ED302C">
        <w:rPr>
          <w:szCs w:val="22"/>
        </w:rPr>
        <w:t>test</w:t>
      </w:r>
      <w:r w:rsidRPr="00ED302C">
        <w:rPr>
          <w:spacing w:val="-4"/>
          <w:szCs w:val="22"/>
        </w:rPr>
        <w:t xml:space="preserve"> </w:t>
      </w:r>
      <w:r w:rsidRPr="00ED302C">
        <w:rPr>
          <w:spacing w:val="-1"/>
          <w:szCs w:val="22"/>
        </w:rPr>
        <w:t>would</w:t>
      </w:r>
      <w:r w:rsidRPr="00ED302C">
        <w:rPr>
          <w:spacing w:val="-3"/>
          <w:szCs w:val="22"/>
        </w:rPr>
        <w:t xml:space="preserve"> </w:t>
      </w:r>
      <w:r w:rsidRPr="00ED302C">
        <w:rPr>
          <w:szCs w:val="22"/>
        </w:rPr>
        <w:t>not</w:t>
      </w:r>
      <w:r w:rsidRPr="00ED302C">
        <w:rPr>
          <w:spacing w:val="-4"/>
          <w:szCs w:val="22"/>
        </w:rPr>
        <w:t xml:space="preserve"> </w:t>
      </w:r>
      <w:r w:rsidRPr="00ED302C">
        <w:rPr>
          <w:szCs w:val="22"/>
        </w:rPr>
        <w:t>be</w:t>
      </w:r>
      <w:r w:rsidRPr="00ED302C">
        <w:rPr>
          <w:spacing w:val="-4"/>
          <w:szCs w:val="22"/>
        </w:rPr>
        <w:t xml:space="preserve"> </w:t>
      </w:r>
      <w:r w:rsidRPr="00ED302C">
        <w:rPr>
          <w:szCs w:val="22"/>
        </w:rPr>
        <w:t>in</w:t>
      </w:r>
      <w:r w:rsidRPr="00ED302C">
        <w:rPr>
          <w:spacing w:val="-4"/>
          <w:szCs w:val="22"/>
        </w:rPr>
        <w:t xml:space="preserve"> </w:t>
      </w:r>
      <w:r w:rsidRPr="00ED302C">
        <w:rPr>
          <w:szCs w:val="22"/>
        </w:rPr>
        <w:t>the</w:t>
      </w:r>
      <w:r w:rsidRPr="00ED302C">
        <w:rPr>
          <w:spacing w:val="-5"/>
          <w:szCs w:val="22"/>
        </w:rPr>
        <w:t xml:space="preserve"> </w:t>
      </w:r>
      <w:r w:rsidRPr="00ED302C">
        <w:rPr>
          <w:szCs w:val="22"/>
        </w:rPr>
        <w:t>public</w:t>
      </w:r>
      <w:r w:rsidRPr="00ED302C">
        <w:rPr>
          <w:spacing w:val="-4"/>
          <w:szCs w:val="22"/>
        </w:rPr>
        <w:t xml:space="preserve"> </w:t>
      </w:r>
      <w:r w:rsidRPr="00ED302C">
        <w:rPr>
          <w:szCs w:val="22"/>
        </w:rPr>
        <w:t>interest</w:t>
      </w:r>
      <w:r w:rsidRPr="00ED302C">
        <w:rPr>
          <w:spacing w:val="-4"/>
          <w:szCs w:val="22"/>
        </w:rPr>
        <w:t xml:space="preserve"> </w:t>
      </w:r>
      <w:r w:rsidRPr="00ED302C">
        <w:rPr>
          <w:szCs w:val="22"/>
        </w:rPr>
        <w:t>if</w:t>
      </w:r>
      <w:r w:rsidRPr="00ED302C">
        <w:rPr>
          <w:spacing w:val="-5"/>
          <w:szCs w:val="22"/>
        </w:rPr>
        <w:t xml:space="preserve"> </w:t>
      </w:r>
      <w:r w:rsidRPr="00ED302C">
        <w:rPr>
          <w:spacing w:val="-1"/>
          <w:szCs w:val="22"/>
        </w:rPr>
        <w:t>it</w:t>
      </w:r>
      <w:r w:rsidRPr="00ED302C">
        <w:rPr>
          <w:spacing w:val="-3"/>
          <w:szCs w:val="22"/>
        </w:rPr>
        <w:t xml:space="preserve"> </w:t>
      </w:r>
      <w:r w:rsidRPr="00ED302C">
        <w:rPr>
          <w:spacing w:val="-1"/>
          <w:szCs w:val="22"/>
        </w:rPr>
        <w:t>were</w:t>
      </w:r>
      <w:r w:rsidRPr="00ED302C">
        <w:rPr>
          <w:spacing w:val="29"/>
          <w:szCs w:val="22"/>
        </w:rPr>
        <w:t xml:space="preserve"> </w:t>
      </w:r>
      <w:r w:rsidRPr="00ED302C">
        <w:rPr>
          <w:szCs w:val="22"/>
        </w:rPr>
        <w:t>presented</w:t>
      </w:r>
      <w:r w:rsidRPr="00ED302C">
        <w:rPr>
          <w:spacing w:val="-4"/>
          <w:szCs w:val="22"/>
        </w:rPr>
        <w:t xml:space="preserve"> </w:t>
      </w:r>
      <w:r w:rsidRPr="00ED302C">
        <w:rPr>
          <w:spacing w:val="-1"/>
          <w:szCs w:val="22"/>
        </w:rPr>
        <w:t>in</w:t>
      </w:r>
      <w:r w:rsidRPr="00ED302C">
        <w:rPr>
          <w:spacing w:val="-5"/>
          <w:szCs w:val="22"/>
        </w:rPr>
        <w:t xml:space="preserve"> </w:t>
      </w:r>
      <w:r w:rsidRPr="00ED302C">
        <w:rPr>
          <w:szCs w:val="22"/>
        </w:rPr>
        <w:t>a</w:t>
      </w:r>
      <w:r w:rsidRPr="00ED302C">
        <w:rPr>
          <w:spacing w:val="-4"/>
          <w:szCs w:val="22"/>
        </w:rPr>
        <w:t xml:space="preserve"> </w:t>
      </w:r>
      <w:r w:rsidRPr="00ED302C">
        <w:rPr>
          <w:szCs w:val="22"/>
        </w:rPr>
        <w:t>manner</w:t>
      </w:r>
      <w:r w:rsidRPr="00ED302C">
        <w:rPr>
          <w:spacing w:val="-4"/>
          <w:szCs w:val="22"/>
        </w:rPr>
        <w:t xml:space="preserve"> </w:t>
      </w:r>
      <w:r w:rsidRPr="00ED302C">
        <w:rPr>
          <w:spacing w:val="-1"/>
          <w:szCs w:val="22"/>
        </w:rPr>
        <w:t>that</w:t>
      </w:r>
      <w:r w:rsidRPr="00ED302C">
        <w:rPr>
          <w:spacing w:val="-4"/>
          <w:szCs w:val="22"/>
        </w:rPr>
        <w:t xml:space="preserve"> </w:t>
      </w:r>
      <w:r w:rsidRPr="00ED302C">
        <w:rPr>
          <w:szCs w:val="22"/>
        </w:rPr>
        <w:t>could</w:t>
      </w:r>
      <w:r w:rsidRPr="00ED302C">
        <w:rPr>
          <w:spacing w:val="-5"/>
          <w:szCs w:val="22"/>
        </w:rPr>
        <w:t xml:space="preserve"> </w:t>
      </w:r>
      <w:r w:rsidRPr="00ED302C">
        <w:rPr>
          <w:spacing w:val="-1"/>
          <w:szCs w:val="22"/>
        </w:rPr>
        <w:t>lead</w:t>
      </w:r>
      <w:r w:rsidRPr="00ED302C">
        <w:rPr>
          <w:spacing w:val="-4"/>
          <w:szCs w:val="22"/>
        </w:rPr>
        <w:t xml:space="preserve"> </w:t>
      </w:r>
      <w:r w:rsidRPr="00ED302C">
        <w:rPr>
          <w:szCs w:val="22"/>
        </w:rPr>
        <w:t>the</w:t>
      </w:r>
      <w:r w:rsidRPr="00ED302C">
        <w:rPr>
          <w:spacing w:val="-5"/>
          <w:szCs w:val="22"/>
        </w:rPr>
        <w:t xml:space="preserve"> </w:t>
      </w:r>
      <w:r w:rsidRPr="00ED302C">
        <w:rPr>
          <w:szCs w:val="22"/>
        </w:rPr>
        <w:t>public</w:t>
      </w:r>
      <w:r w:rsidRPr="00ED302C">
        <w:rPr>
          <w:spacing w:val="-4"/>
          <w:szCs w:val="22"/>
        </w:rPr>
        <w:t xml:space="preserve"> </w:t>
      </w:r>
      <w:r w:rsidRPr="00ED302C">
        <w:rPr>
          <w:spacing w:val="-1"/>
          <w:szCs w:val="22"/>
        </w:rPr>
        <w:t>to</w:t>
      </w:r>
      <w:r w:rsidRPr="00ED302C">
        <w:rPr>
          <w:spacing w:val="-4"/>
          <w:szCs w:val="22"/>
        </w:rPr>
        <w:t xml:space="preserve"> </w:t>
      </w:r>
      <w:r w:rsidRPr="00ED302C">
        <w:rPr>
          <w:szCs w:val="22"/>
        </w:rPr>
        <w:t>conclude</w:t>
      </w:r>
      <w:r w:rsidRPr="00ED302C">
        <w:rPr>
          <w:spacing w:val="-5"/>
          <w:szCs w:val="22"/>
        </w:rPr>
        <w:t xml:space="preserve"> </w:t>
      </w:r>
      <w:r w:rsidRPr="00ED302C">
        <w:rPr>
          <w:spacing w:val="-1"/>
          <w:szCs w:val="22"/>
        </w:rPr>
        <w:t>that</w:t>
      </w:r>
      <w:r w:rsidRPr="00ED302C">
        <w:rPr>
          <w:spacing w:val="-4"/>
          <w:szCs w:val="22"/>
        </w:rPr>
        <w:t xml:space="preserve"> </w:t>
      </w:r>
      <w:r w:rsidRPr="00ED302C">
        <w:rPr>
          <w:szCs w:val="22"/>
        </w:rPr>
        <w:t>an</w:t>
      </w:r>
      <w:r w:rsidRPr="00ED302C">
        <w:rPr>
          <w:spacing w:val="-5"/>
          <w:szCs w:val="22"/>
        </w:rPr>
        <w:t xml:space="preserve"> </w:t>
      </w:r>
      <w:r w:rsidRPr="00ED302C">
        <w:rPr>
          <w:szCs w:val="22"/>
        </w:rPr>
        <w:t>actual</w:t>
      </w:r>
      <w:r w:rsidRPr="00ED302C">
        <w:rPr>
          <w:spacing w:val="-5"/>
          <w:szCs w:val="22"/>
        </w:rPr>
        <w:t xml:space="preserve"> </w:t>
      </w:r>
      <w:r w:rsidRPr="00ED302C">
        <w:rPr>
          <w:szCs w:val="22"/>
        </w:rPr>
        <w:t>alert</w:t>
      </w:r>
      <w:r w:rsidRPr="00ED302C">
        <w:rPr>
          <w:spacing w:val="-5"/>
          <w:szCs w:val="22"/>
        </w:rPr>
        <w:t xml:space="preserve"> </w:t>
      </w:r>
      <w:r w:rsidRPr="00ED302C">
        <w:rPr>
          <w:szCs w:val="22"/>
        </w:rPr>
        <w:t>is</w:t>
      </w:r>
      <w:r w:rsidRPr="00ED302C">
        <w:rPr>
          <w:spacing w:val="-5"/>
          <w:szCs w:val="22"/>
        </w:rPr>
        <w:t xml:space="preserve"> </w:t>
      </w:r>
      <w:r w:rsidRPr="00ED302C">
        <w:rPr>
          <w:spacing w:val="-1"/>
          <w:szCs w:val="22"/>
        </w:rPr>
        <w:t>being</w:t>
      </w:r>
      <w:r w:rsidRPr="00ED302C">
        <w:rPr>
          <w:spacing w:val="-4"/>
          <w:szCs w:val="22"/>
        </w:rPr>
        <w:t xml:space="preserve"> </w:t>
      </w:r>
      <w:r w:rsidRPr="00ED302C">
        <w:rPr>
          <w:spacing w:val="-1"/>
          <w:szCs w:val="22"/>
        </w:rPr>
        <w:t>transmitted,</w:t>
      </w:r>
      <w:r w:rsidRPr="00ED302C">
        <w:rPr>
          <w:spacing w:val="-4"/>
          <w:szCs w:val="22"/>
        </w:rPr>
        <w:t xml:space="preserve"> </w:t>
      </w:r>
      <w:r w:rsidRPr="00ED302C">
        <w:rPr>
          <w:szCs w:val="22"/>
        </w:rPr>
        <w:t xml:space="preserve">or </w:t>
      </w:r>
      <w:r>
        <w:rPr>
          <w:szCs w:val="22"/>
        </w:rPr>
        <w:t xml:space="preserve">would </w:t>
      </w:r>
      <w:r w:rsidRPr="00ED302C">
        <w:rPr>
          <w:szCs w:val="22"/>
        </w:rPr>
        <w:t>otherwise</w:t>
      </w:r>
      <w:r w:rsidRPr="00ED302C">
        <w:rPr>
          <w:spacing w:val="-6"/>
          <w:szCs w:val="22"/>
        </w:rPr>
        <w:t xml:space="preserve"> </w:t>
      </w:r>
      <w:r w:rsidRPr="00ED302C">
        <w:rPr>
          <w:szCs w:val="22"/>
        </w:rPr>
        <w:t>confuse</w:t>
      </w:r>
      <w:r w:rsidRPr="00ED302C">
        <w:rPr>
          <w:spacing w:val="-6"/>
          <w:szCs w:val="22"/>
        </w:rPr>
        <w:t xml:space="preserve"> </w:t>
      </w:r>
      <w:r w:rsidRPr="00ED302C">
        <w:rPr>
          <w:spacing w:val="-1"/>
          <w:szCs w:val="22"/>
        </w:rPr>
        <w:t>the</w:t>
      </w:r>
      <w:r w:rsidRPr="00ED302C">
        <w:rPr>
          <w:spacing w:val="-5"/>
          <w:szCs w:val="22"/>
        </w:rPr>
        <w:t xml:space="preserve"> </w:t>
      </w:r>
      <w:r w:rsidRPr="00ED302C">
        <w:rPr>
          <w:szCs w:val="22"/>
        </w:rPr>
        <w:t>public.</w:t>
      </w:r>
      <w:r>
        <w:rPr>
          <w:rStyle w:val="FootnoteReference"/>
          <w:sz w:val="22"/>
          <w:szCs w:val="22"/>
        </w:rPr>
        <w:footnoteReference w:id="37"/>
      </w:r>
      <w:r w:rsidRPr="00ED302C">
        <w:rPr>
          <w:position w:val="7"/>
          <w:szCs w:val="22"/>
        </w:rPr>
        <w:t xml:space="preserve">  </w:t>
      </w:r>
      <w:r w:rsidRPr="00ED302C">
        <w:rPr>
          <w:szCs w:val="22"/>
        </w:rPr>
        <w:t>We</w:t>
      </w:r>
      <w:r w:rsidRPr="00ED302C">
        <w:rPr>
          <w:spacing w:val="-6"/>
          <w:szCs w:val="22"/>
        </w:rPr>
        <w:t xml:space="preserve"> </w:t>
      </w:r>
      <w:r w:rsidRPr="00ED302C">
        <w:rPr>
          <w:szCs w:val="22"/>
        </w:rPr>
        <w:t>therefore</w:t>
      </w:r>
      <w:r w:rsidRPr="00ED302C">
        <w:rPr>
          <w:spacing w:val="-5"/>
          <w:szCs w:val="22"/>
        </w:rPr>
        <w:t xml:space="preserve"> </w:t>
      </w:r>
      <w:r w:rsidRPr="00ED302C">
        <w:rPr>
          <w:spacing w:val="-1"/>
          <w:szCs w:val="22"/>
        </w:rPr>
        <w:t>condition</w:t>
      </w:r>
      <w:r w:rsidRPr="00ED302C">
        <w:rPr>
          <w:spacing w:val="-6"/>
          <w:szCs w:val="22"/>
        </w:rPr>
        <w:t xml:space="preserve"> </w:t>
      </w:r>
      <w:r w:rsidRPr="00ED302C">
        <w:rPr>
          <w:szCs w:val="22"/>
        </w:rPr>
        <w:t>this</w:t>
      </w:r>
      <w:r w:rsidRPr="00ED302C">
        <w:rPr>
          <w:spacing w:val="-6"/>
          <w:szCs w:val="22"/>
        </w:rPr>
        <w:t xml:space="preserve"> </w:t>
      </w:r>
      <w:r w:rsidRPr="00ED302C">
        <w:rPr>
          <w:spacing w:val="-1"/>
          <w:szCs w:val="22"/>
        </w:rPr>
        <w:t>waiver</w:t>
      </w:r>
      <w:r w:rsidRPr="00ED302C">
        <w:rPr>
          <w:spacing w:val="-5"/>
          <w:szCs w:val="22"/>
        </w:rPr>
        <w:t xml:space="preserve"> </w:t>
      </w:r>
      <w:r w:rsidRPr="00ED302C">
        <w:rPr>
          <w:szCs w:val="22"/>
        </w:rPr>
        <w:t>upon</w:t>
      </w:r>
      <w:r w:rsidRPr="00ED302C">
        <w:rPr>
          <w:spacing w:val="-6"/>
          <w:szCs w:val="22"/>
        </w:rPr>
        <w:t xml:space="preserve"> </w:t>
      </w:r>
      <w:r w:rsidRPr="00ED302C">
        <w:rPr>
          <w:szCs w:val="22"/>
        </w:rPr>
        <w:t>the full</w:t>
      </w:r>
      <w:r w:rsidRPr="00ED302C">
        <w:rPr>
          <w:spacing w:val="-5"/>
          <w:szCs w:val="22"/>
        </w:rPr>
        <w:t xml:space="preserve"> </w:t>
      </w:r>
      <w:r w:rsidRPr="00ED302C">
        <w:rPr>
          <w:spacing w:val="-1"/>
          <w:szCs w:val="22"/>
        </w:rPr>
        <w:t>implementation</w:t>
      </w:r>
      <w:r w:rsidRPr="00ED302C">
        <w:rPr>
          <w:spacing w:val="-5"/>
          <w:szCs w:val="22"/>
        </w:rPr>
        <w:t xml:space="preserve"> </w:t>
      </w:r>
      <w:r w:rsidRPr="00ED302C">
        <w:rPr>
          <w:szCs w:val="22"/>
        </w:rPr>
        <w:t>of</w:t>
      </w:r>
      <w:r w:rsidRPr="00ED302C">
        <w:rPr>
          <w:spacing w:val="-5"/>
          <w:szCs w:val="22"/>
        </w:rPr>
        <w:t xml:space="preserve"> </w:t>
      </w:r>
      <w:r w:rsidRPr="00ED302C">
        <w:rPr>
          <w:szCs w:val="22"/>
        </w:rPr>
        <w:t>the</w:t>
      </w:r>
      <w:r w:rsidRPr="00ED302C">
        <w:rPr>
          <w:spacing w:val="-5"/>
          <w:szCs w:val="22"/>
        </w:rPr>
        <w:t xml:space="preserve"> </w:t>
      </w:r>
      <w:r w:rsidRPr="00ED302C">
        <w:rPr>
          <w:szCs w:val="22"/>
        </w:rPr>
        <w:t>outreach</w:t>
      </w:r>
      <w:r w:rsidRPr="00ED302C">
        <w:rPr>
          <w:spacing w:val="-4"/>
          <w:szCs w:val="22"/>
        </w:rPr>
        <w:t xml:space="preserve"> </w:t>
      </w:r>
      <w:r w:rsidRPr="00ED302C">
        <w:rPr>
          <w:spacing w:val="-1"/>
          <w:szCs w:val="22"/>
        </w:rPr>
        <w:t>plan</w:t>
      </w:r>
      <w:r w:rsidRPr="00ED302C">
        <w:rPr>
          <w:spacing w:val="-6"/>
          <w:szCs w:val="22"/>
        </w:rPr>
        <w:t xml:space="preserve"> </w:t>
      </w:r>
      <w:r w:rsidRPr="00ED302C">
        <w:rPr>
          <w:szCs w:val="22"/>
        </w:rPr>
        <w:t>described</w:t>
      </w:r>
      <w:r w:rsidRPr="00ED302C">
        <w:rPr>
          <w:spacing w:val="-4"/>
          <w:szCs w:val="22"/>
        </w:rPr>
        <w:t xml:space="preserve"> </w:t>
      </w:r>
      <w:r w:rsidRPr="00ED302C">
        <w:rPr>
          <w:szCs w:val="22"/>
        </w:rPr>
        <w:t>in</w:t>
      </w:r>
      <w:r w:rsidRPr="00ED302C">
        <w:rPr>
          <w:spacing w:val="-6"/>
          <w:szCs w:val="22"/>
        </w:rPr>
        <w:t xml:space="preserve"> </w:t>
      </w:r>
      <w:r w:rsidRPr="00ED302C">
        <w:rPr>
          <w:spacing w:val="-1"/>
          <w:szCs w:val="22"/>
        </w:rPr>
        <w:t>the</w:t>
      </w:r>
      <w:r w:rsidRPr="00ED302C">
        <w:rPr>
          <w:spacing w:val="-4"/>
          <w:szCs w:val="22"/>
        </w:rPr>
        <w:t xml:space="preserve"> PREMB Letter</w:t>
      </w:r>
      <w:r w:rsidRPr="00ED302C">
        <w:rPr>
          <w:szCs w:val="22"/>
        </w:rPr>
        <w:t>,</w:t>
      </w:r>
      <w:r w:rsidRPr="00ED302C">
        <w:rPr>
          <w:spacing w:val="-5"/>
          <w:szCs w:val="22"/>
        </w:rPr>
        <w:t xml:space="preserve"> </w:t>
      </w:r>
      <w:r w:rsidRPr="00ED302C">
        <w:rPr>
          <w:spacing w:val="-1"/>
          <w:szCs w:val="22"/>
        </w:rPr>
        <w:t>including outreach</w:t>
      </w:r>
      <w:r w:rsidRPr="00ED302C">
        <w:rPr>
          <w:spacing w:val="-5"/>
          <w:szCs w:val="22"/>
        </w:rPr>
        <w:t xml:space="preserve"> </w:t>
      </w:r>
      <w:r w:rsidRPr="00ED302C">
        <w:rPr>
          <w:szCs w:val="22"/>
        </w:rPr>
        <w:t>to</w:t>
      </w:r>
      <w:r w:rsidRPr="00ED302C">
        <w:rPr>
          <w:spacing w:val="-6"/>
          <w:szCs w:val="22"/>
        </w:rPr>
        <w:t xml:space="preserve"> </w:t>
      </w:r>
      <w:r w:rsidRPr="00ED302C">
        <w:rPr>
          <w:szCs w:val="22"/>
        </w:rPr>
        <w:t>the</w:t>
      </w:r>
      <w:r w:rsidRPr="00ED302C">
        <w:rPr>
          <w:spacing w:val="-5"/>
          <w:szCs w:val="22"/>
        </w:rPr>
        <w:t xml:space="preserve"> </w:t>
      </w:r>
      <w:r w:rsidRPr="00ED302C">
        <w:rPr>
          <w:spacing w:val="-1"/>
          <w:szCs w:val="22"/>
        </w:rPr>
        <w:t>public,</w:t>
      </w:r>
      <w:r w:rsidRPr="00ED302C">
        <w:rPr>
          <w:spacing w:val="-6"/>
          <w:szCs w:val="22"/>
        </w:rPr>
        <w:t xml:space="preserve"> </w:t>
      </w:r>
      <w:r w:rsidRPr="00ED302C">
        <w:rPr>
          <w:szCs w:val="22"/>
        </w:rPr>
        <w:t>press,</w:t>
      </w:r>
      <w:r w:rsidRPr="00ED302C">
        <w:rPr>
          <w:spacing w:val="-5"/>
          <w:szCs w:val="22"/>
        </w:rPr>
        <w:t xml:space="preserve"> </w:t>
      </w:r>
      <w:r w:rsidRPr="00ED302C">
        <w:rPr>
          <w:spacing w:val="-1"/>
          <w:szCs w:val="22"/>
        </w:rPr>
        <w:t>and</w:t>
      </w:r>
      <w:r w:rsidRPr="00ED302C">
        <w:rPr>
          <w:spacing w:val="-4"/>
          <w:szCs w:val="22"/>
        </w:rPr>
        <w:t xml:space="preserve"> </w:t>
      </w:r>
      <w:r w:rsidRPr="00ED302C">
        <w:rPr>
          <w:szCs w:val="22"/>
        </w:rPr>
        <w:t>relevant</w:t>
      </w:r>
      <w:r w:rsidRPr="00ED302C">
        <w:rPr>
          <w:spacing w:val="-5"/>
          <w:szCs w:val="22"/>
        </w:rPr>
        <w:t xml:space="preserve"> </w:t>
      </w:r>
      <w:r w:rsidRPr="00ED302C">
        <w:rPr>
          <w:spacing w:val="-1"/>
          <w:szCs w:val="22"/>
        </w:rPr>
        <w:t>government</w:t>
      </w:r>
      <w:r w:rsidRPr="00ED302C">
        <w:rPr>
          <w:spacing w:val="-4"/>
          <w:szCs w:val="22"/>
        </w:rPr>
        <w:t xml:space="preserve"> </w:t>
      </w:r>
      <w:r w:rsidRPr="00ED302C">
        <w:rPr>
          <w:spacing w:val="-1"/>
          <w:szCs w:val="22"/>
        </w:rPr>
        <w:t>agencies, and making clear</w:t>
      </w:r>
      <w:r w:rsidRPr="00ED302C">
        <w:rPr>
          <w:spacing w:val="-6"/>
          <w:szCs w:val="22"/>
        </w:rPr>
        <w:t xml:space="preserve"> </w:t>
      </w:r>
      <w:r w:rsidRPr="00ED302C">
        <w:rPr>
          <w:szCs w:val="22"/>
        </w:rPr>
        <w:t>that</w:t>
      </w:r>
      <w:r w:rsidRPr="00ED302C">
        <w:rPr>
          <w:spacing w:val="-6"/>
          <w:szCs w:val="22"/>
        </w:rPr>
        <w:t xml:space="preserve"> </w:t>
      </w:r>
      <w:r w:rsidRPr="00ED302C">
        <w:rPr>
          <w:spacing w:val="-1"/>
          <w:szCs w:val="22"/>
        </w:rPr>
        <w:t>members</w:t>
      </w:r>
      <w:r w:rsidRPr="00ED302C">
        <w:rPr>
          <w:spacing w:val="-5"/>
          <w:szCs w:val="22"/>
        </w:rPr>
        <w:t xml:space="preserve"> </w:t>
      </w:r>
      <w:r w:rsidRPr="00ED302C">
        <w:rPr>
          <w:szCs w:val="22"/>
        </w:rPr>
        <w:t>of</w:t>
      </w:r>
      <w:r w:rsidRPr="00ED302C">
        <w:rPr>
          <w:spacing w:val="-5"/>
          <w:szCs w:val="22"/>
        </w:rPr>
        <w:t xml:space="preserve"> </w:t>
      </w:r>
      <w:r w:rsidRPr="00ED302C">
        <w:rPr>
          <w:szCs w:val="22"/>
        </w:rPr>
        <w:t>the</w:t>
      </w:r>
      <w:r w:rsidRPr="00ED302C">
        <w:rPr>
          <w:spacing w:val="-5"/>
          <w:szCs w:val="22"/>
        </w:rPr>
        <w:t xml:space="preserve"> </w:t>
      </w:r>
      <w:r w:rsidRPr="00ED302C">
        <w:rPr>
          <w:szCs w:val="22"/>
        </w:rPr>
        <w:t>public</w:t>
      </w:r>
      <w:r w:rsidRPr="00ED302C">
        <w:rPr>
          <w:spacing w:val="-5"/>
          <w:szCs w:val="22"/>
        </w:rPr>
        <w:t xml:space="preserve"> </w:t>
      </w:r>
      <w:r w:rsidRPr="00ED302C">
        <w:rPr>
          <w:spacing w:val="-1"/>
          <w:szCs w:val="22"/>
        </w:rPr>
        <w:t>may</w:t>
      </w:r>
      <w:r w:rsidRPr="00ED302C">
        <w:rPr>
          <w:spacing w:val="-6"/>
          <w:szCs w:val="22"/>
        </w:rPr>
        <w:t xml:space="preserve"> </w:t>
      </w:r>
      <w:r w:rsidRPr="00ED302C">
        <w:rPr>
          <w:szCs w:val="22"/>
        </w:rPr>
        <w:t>receive</w:t>
      </w:r>
      <w:r w:rsidRPr="00ED302C">
        <w:rPr>
          <w:spacing w:val="-5"/>
          <w:szCs w:val="22"/>
        </w:rPr>
        <w:t xml:space="preserve"> multiple</w:t>
      </w:r>
      <w:r w:rsidRPr="00ED302C">
        <w:rPr>
          <w:spacing w:val="-6"/>
          <w:szCs w:val="22"/>
        </w:rPr>
        <w:t xml:space="preserve"> </w:t>
      </w:r>
      <w:r w:rsidRPr="00ED302C">
        <w:rPr>
          <w:spacing w:val="-1"/>
          <w:szCs w:val="22"/>
        </w:rPr>
        <w:t>test</w:t>
      </w:r>
      <w:r w:rsidRPr="00ED302C">
        <w:rPr>
          <w:spacing w:val="-5"/>
          <w:szCs w:val="22"/>
        </w:rPr>
        <w:t xml:space="preserve"> </w:t>
      </w:r>
      <w:r w:rsidRPr="00ED302C">
        <w:rPr>
          <w:szCs w:val="22"/>
        </w:rPr>
        <w:t>messages</w:t>
      </w:r>
      <w:r w:rsidRPr="00ED302C">
        <w:rPr>
          <w:spacing w:val="-1"/>
          <w:szCs w:val="22"/>
        </w:rPr>
        <w:t>.</w:t>
      </w:r>
    </w:p>
    <w:p w:rsidR="00DD3254" w:rsidRPr="00ED302C" w:rsidP="00DD3254">
      <w:pPr>
        <w:pStyle w:val="ParaNum"/>
        <w:rPr>
          <w:szCs w:val="22"/>
        </w:rPr>
      </w:pPr>
      <w:r w:rsidRPr="00ED302C">
        <w:rPr>
          <w:szCs w:val="22"/>
        </w:rPr>
        <w:t>We</w:t>
      </w:r>
      <w:r w:rsidRPr="00ED302C">
        <w:rPr>
          <w:spacing w:val="-6"/>
          <w:szCs w:val="22"/>
        </w:rPr>
        <w:t xml:space="preserve"> </w:t>
      </w:r>
      <w:r w:rsidRPr="00ED302C">
        <w:rPr>
          <w:szCs w:val="22"/>
        </w:rPr>
        <w:t>further</w:t>
      </w:r>
      <w:r w:rsidRPr="00ED302C">
        <w:rPr>
          <w:spacing w:val="-4"/>
          <w:szCs w:val="22"/>
        </w:rPr>
        <w:t xml:space="preserve"> </w:t>
      </w:r>
      <w:r w:rsidRPr="00ED302C">
        <w:rPr>
          <w:szCs w:val="22"/>
        </w:rPr>
        <w:t>condition</w:t>
      </w:r>
      <w:r w:rsidRPr="00ED302C">
        <w:rPr>
          <w:spacing w:val="-5"/>
          <w:szCs w:val="22"/>
        </w:rPr>
        <w:t xml:space="preserve"> </w:t>
      </w:r>
      <w:r w:rsidRPr="00ED302C">
        <w:rPr>
          <w:spacing w:val="-1"/>
          <w:szCs w:val="22"/>
        </w:rPr>
        <w:t>this</w:t>
      </w:r>
      <w:r w:rsidRPr="00ED302C">
        <w:rPr>
          <w:spacing w:val="-4"/>
          <w:szCs w:val="22"/>
        </w:rPr>
        <w:t xml:space="preserve"> </w:t>
      </w:r>
      <w:r w:rsidRPr="00ED302C">
        <w:rPr>
          <w:spacing w:val="-1"/>
          <w:szCs w:val="22"/>
        </w:rPr>
        <w:t>waiver</w:t>
      </w:r>
      <w:r w:rsidRPr="00ED302C">
        <w:rPr>
          <w:spacing w:val="-5"/>
          <w:szCs w:val="22"/>
        </w:rPr>
        <w:t xml:space="preserve"> </w:t>
      </w:r>
      <w:r w:rsidRPr="00ED302C">
        <w:rPr>
          <w:szCs w:val="22"/>
        </w:rPr>
        <w:t>to</w:t>
      </w:r>
      <w:r w:rsidRPr="00ED302C">
        <w:rPr>
          <w:spacing w:val="-5"/>
          <w:szCs w:val="22"/>
        </w:rPr>
        <w:t xml:space="preserve"> </w:t>
      </w:r>
      <w:r w:rsidRPr="00ED302C">
        <w:rPr>
          <w:szCs w:val="22"/>
        </w:rPr>
        <w:t>require</w:t>
      </w:r>
      <w:r w:rsidRPr="00ED302C">
        <w:rPr>
          <w:spacing w:val="-5"/>
          <w:szCs w:val="22"/>
        </w:rPr>
        <w:t xml:space="preserve"> </w:t>
      </w:r>
      <w:r w:rsidRPr="00ED302C">
        <w:rPr>
          <w:szCs w:val="22"/>
        </w:rPr>
        <w:t>that</w:t>
      </w:r>
      <w:r w:rsidRPr="00ED302C">
        <w:rPr>
          <w:spacing w:val="-5"/>
          <w:szCs w:val="22"/>
        </w:rPr>
        <w:t xml:space="preserve"> </w:t>
      </w:r>
      <w:r w:rsidRPr="00ED302C">
        <w:rPr>
          <w:szCs w:val="22"/>
        </w:rPr>
        <w:t>the</w:t>
      </w:r>
      <w:r w:rsidRPr="00ED302C">
        <w:rPr>
          <w:spacing w:val="-5"/>
          <w:szCs w:val="22"/>
        </w:rPr>
        <w:t xml:space="preserve"> t</w:t>
      </w:r>
      <w:r w:rsidRPr="00ED302C">
        <w:rPr>
          <w:szCs w:val="22"/>
        </w:rPr>
        <w:t>est</w:t>
      </w:r>
      <w:r w:rsidRPr="00ED302C">
        <w:rPr>
          <w:spacing w:val="-5"/>
          <w:szCs w:val="22"/>
        </w:rPr>
        <w:t xml:space="preserve"> </w:t>
      </w:r>
      <w:r w:rsidRPr="00ED302C">
        <w:rPr>
          <w:szCs w:val="22"/>
        </w:rPr>
        <w:t>may</w:t>
      </w:r>
      <w:r w:rsidRPr="00ED302C">
        <w:rPr>
          <w:spacing w:val="-5"/>
          <w:szCs w:val="22"/>
        </w:rPr>
        <w:t xml:space="preserve"> </w:t>
      </w:r>
      <w:r w:rsidRPr="00ED302C">
        <w:rPr>
          <w:szCs w:val="22"/>
        </w:rPr>
        <w:t>only</w:t>
      </w:r>
      <w:r w:rsidRPr="00ED302C">
        <w:rPr>
          <w:spacing w:val="-4"/>
          <w:szCs w:val="22"/>
        </w:rPr>
        <w:t xml:space="preserve"> </w:t>
      </w:r>
      <w:r w:rsidRPr="00ED302C">
        <w:rPr>
          <w:szCs w:val="22"/>
        </w:rPr>
        <w:t>be</w:t>
      </w:r>
      <w:r w:rsidRPr="00ED302C">
        <w:rPr>
          <w:spacing w:val="30"/>
          <w:w w:val="99"/>
          <w:szCs w:val="22"/>
        </w:rPr>
        <w:t xml:space="preserve"> </w:t>
      </w:r>
      <w:r w:rsidRPr="00ED302C">
        <w:rPr>
          <w:spacing w:val="-1"/>
          <w:szCs w:val="22"/>
        </w:rPr>
        <w:t>conducted</w:t>
      </w:r>
      <w:r w:rsidRPr="00ED302C">
        <w:rPr>
          <w:spacing w:val="-4"/>
          <w:szCs w:val="22"/>
        </w:rPr>
        <w:t xml:space="preserve"> </w:t>
      </w:r>
      <w:r w:rsidRPr="00ED302C">
        <w:rPr>
          <w:szCs w:val="22"/>
        </w:rPr>
        <w:t>on September 12,</w:t>
      </w:r>
      <w:r w:rsidRPr="00ED302C">
        <w:rPr>
          <w:spacing w:val="-3"/>
          <w:szCs w:val="22"/>
        </w:rPr>
        <w:t xml:space="preserve"> </w:t>
      </w:r>
      <w:r w:rsidRPr="00ED302C">
        <w:rPr>
          <w:szCs w:val="22"/>
        </w:rPr>
        <w:t>2018,</w:t>
      </w:r>
      <w:r w:rsidRPr="00ED302C">
        <w:rPr>
          <w:spacing w:val="-3"/>
          <w:szCs w:val="22"/>
        </w:rPr>
        <w:t xml:space="preserve"> </w:t>
      </w:r>
      <w:r w:rsidRPr="00ED302C">
        <w:rPr>
          <w:szCs w:val="22"/>
        </w:rPr>
        <w:t>as</w:t>
      </w:r>
      <w:r w:rsidRPr="00ED302C">
        <w:rPr>
          <w:spacing w:val="-4"/>
          <w:szCs w:val="22"/>
        </w:rPr>
        <w:t xml:space="preserve"> </w:t>
      </w:r>
      <w:r w:rsidRPr="00ED302C">
        <w:rPr>
          <w:spacing w:val="-1"/>
          <w:szCs w:val="22"/>
        </w:rPr>
        <w:t>referenced</w:t>
      </w:r>
      <w:r w:rsidRPr="00ED302C">
        <w:rPr>
          <w:spacing w:val="-3"/>
          <w:szCs w:val="22"/>
        </w:rPr>
        <w:t xml:space="preserve"> </w:t>
      </w:r>
      <w:r w:rsidRPr="00ED302C">
        <w:rPr>
          <w:szCs w:val="22"/>
        </w:rPr>
        <w:t>in</w:t>
      </w:r>
      <w:r w:rsidRPr="00ED302C">
        <w:rPr>
          <w:spacing w:val="-4"/>
          <w:szCs w:val="22"/>
        </w:rPr>
        <w:t xml:space="preserve"> </w:t>
      </w:r>
      <w:r w:rsidRPr="00ED302C">
        <w:rPr>
          <w:szCs w:val="22"/>
        </w:rPr>
        <w:t>the</w:t>
      </w:r>
      <w:r w:rsidRPr="00ED302C">
        <w:rPr>
          <w:spacing w:val="-4"/>
          <w:szCs w:val="22"/>
        </w:rPr>
        <w:t xml:space="preserve"> PREMB</w:t>
      </w:r>
      <w:r w:rsidRPr="00ED302C">
        <w:rPr>
          <w:spacing w:val="-1"/>
          <w:szCs w:val="22"/>
        </w:rPr>
        <w:t xml:space="preserve"> Letter,</w:t>
      </w:r>
      <w:r w:rsidRPr="00ED302C">
        <w:rPr>
          <w:spacing w:val="-4"/>
          <w:szCs w:val="22"/>
        </w:rPr>
        <w:t xml:space="preserve"> or on the back-up date of September 13, 2018, </w:t>
      </w:r>
      <w:r w:rsidRPr="00ED302C">
        <w:rPr>
          <w:szCs w:val="22"/>
        </w:rPr>
        <w:t>and</w:t>
      </w:r>
      <w:r w:rsidRPr="00ED302C">
        <w:rPr>
          <w:spacing w:val="-4"/>
          <w:szCs w:val="22"/>
        </w:rPr>
        <w:t xml:space="preserve"> </w:t>
      </w:r>
      <w:r w:rsidRPr="00ED302C">
        <w:rPr>
          <w:szCs w:val="22"/>
        </w:rPr>
        <w:t>may</w:t>
      </w:r>
      <w:r w:rsidRPr="00ED302C">
        <w:rPr>
          <w:spacing w:val="-3"/>
          <w:szCs w:val="22"/>
        </w:rPr>
        <w:t xml:space="preserve"> </w:t>
      </w:r>
      <w:r w:rsidRPr="00ED302C">
        <w:rPr>
          <w:szCs w:val="22"/>
        </w:rPr>
        <w:t>only</w:t>
      </w:r>
      <w:r w:rsidRPr="00ED302C">
        <w:rPr>
          <w:spacing w:val="-4"/>
          <w:szCs w:val="22"/>
        </w:rPr>
        <w:t xml:space="preserve"> </w:t>
      </w:r>
      <w:r w:rsidRPr="00ED302C">
        <w:rPr>
          <w:szCs w:val="22"/>
        </w:rPr>
        <w:t>be</w:t>
      </w:r>
      <w:r w:rsidRPr="00ED302C">
        <w:rPr>
          <w:spacing w:val="-3"/>
          <w:szCs w:val="22"/>
        </w:rPr>
        <w:t xml:space="preserve"> </w:t>
      </w:r>
      <w:r w:rsidRPr="00ED302C">
        <w:rPr>
          <w:spacing w:val="-1"/>
          <w:szCs w:val="22"/>
        </w:rPr>
        <w:t>conducted</w:t>
      </w:r>
      <w:r w:rsidRPr="00ED302C">
        <w:rPr>
          <w:spacing w:val="-3"/>
          <w:szCs w:val="22"/>
        </w:rPr>
        <w:t xml:space="preserve"> </w:t>
      </w:r>
      <w:r w:rsidRPr="00ED302C">
        <w:rPr>
          <w:szCs w:val="22"/>
        </w:rPr>
        <w:t>for</w:t>
      </w:r>
      <w:r w:rsidRPr="00ED302C">
        <w:rPr>
          <w:spacing w:val="-3"/>
          <w:szCs w:val="22"/>
        </w:rPr>
        <w:t xml:space="preserve"> </w:t>
      </w:r>
      <w:r w:rsidRPr="00ED302C">
        <w:rPr>
          <w:szCs w:val="22"/>
        </w:rPr>
        <w:t>the purposes</w:t>
      </w:r>
      <w:r w:rsidRPr="00ED302C">
        <w:rPr>
          <w:spacing w:val="-5"/>
          <w:szCs w:val="22"/>
        </w:rPr>
        <w:t xml:space="preserve"> </w:t>
      </w:r>
      <w:r w:rsidRPr="00ED302C">
        <w:rPr>
          <w:szCs w:val="22"/>
        </w:rPr>
        <w:t>described</w:t>
      </w:r>
      <w:r w:rsidRPr="00ED302C">
        <w:rPr>
          <w:spacing w:val="-3"/>
          <w:szCs w:val="22"/>
        </w:rPr>
        <w:t xml:space="preserve"> </w:t>
      </w:r>
      <w:r w:rsidRPr="00ED302C">
        <w:rPr>
          <w:spacing w:val="-1"/>
          <w:szCs w:val="22"/>
        </w:rPr>
        <w:t xml:space="preserve">therein. </w:t>
      </w:r>
      <w:r w:rsidRPr="00ED302C">
        <w:rPr>
          <w:spacing w:val="48"/>
          <w:szCs w:val="22"/>
        </w:rPr>
        <w:t xml:space="preserve"> </w:t>
      </w:r>
      <w:r w:rsidRPr="00ED302C">
        <w:rPr>
          <w:spacing w:val="-1"/>
          <w:szCs w:val="22"/>
        </w:rPr>
        <w:t>Specifically,</w:t>
      </w:r>
      <w:r w:rsidRPr="00ED302C">
        <w:rPr>
          <w:spacing w:val="-4"/>
          <w:szCs w:val="22"/>
        </w:rPr>
        <w:t xml:space="preserve"> </w:t>
      </w:r>
      <w:r w:rsidRPr="00ED302C">
        <w:rPr>
          <w:szCs w:val="22"/>
        </w:rPr>
        <w:t>the</w:t>
      </w:r>
      <w:r w:rsidRPr="00ED302C">
        <w:rPr>
          <w:spacing w:val="-4"/>
          <w:szCs w:val="22"/>
        </w:rPr>
        <w:t xml:space="preserve"> </w:t>
      </w:r>
      <w:r w:rsidRPr="00ED302C">
        <w:rPr>
          <w:spacing w:val="-1"/>
          <w:szCs w:val="22"/>
        </w:rPr>
        <w:t>waiver</w:t>
      </w:r>
      <w:r w:rsidRPr="00ED302C">
        <w:rPr>
          <w:spacing w:val="-3"/>
          <w:szCs w:val="22"/>
        </w:rPr>
        <w:t xml:space="preserve"> </w:t>
      </w:r>
      <w:r w:rsidRPr="00ED302C">
        <w:rPr>
          <w:spacing w:val="-1"/>
          <w:szCs w:val="22"/>
        </w:rPr>
        <w:t>is</w:t>
      </w:r>
      <w:r w:rsidRPr="00ED302C">
        <w:rPr>
          <w:spacing w:val="-4"/>
          <w:szCs w:val="22"/>
        </w:rPr>
        <w:t xml:space="preserve"> </w:t>
      </w:r>
      <w:r w:rsidRPr="00ED302C">
        <w:rPr>
          <w:spacing w:val="-1"/>
          <w:szCs w:val="22"/>
        </w:rPr>
        <w:t>based</w:t>
      </w:r>
      <w:r w:rsidRPr="00ED302C">
        <w:rPr>
          <w:spacing w:val="-3"/>
          <w:szCs w:val="22"/>
        </w:rPr>
        <w:t xml:space="preserve"> </w:t>
      </w:r>
      <w:r w:rsidRPr="00ED302C">
        <w:rPr>
          <w:szCs w:val="22"/>
        </w:rPr>
        <w:t>on</w:t>
      </w:r>
      <w:r w:rsidRPr="00ED302C">
        <w:rPr>
          <w:spacing w:val="57"/>
          <w:szCs w:val="22"/>
        </w:rPr>
        <w:t xml:space="preserve"> </w:t>
      </w:r>
      <w:r w:rsidRPr="00ED302C">
        <w:rPr>
          <w:spacing w:val="-1"/>
          <w:szCs w:val="22"/>
        </w:rPr>
        <w:t>representations</w:t>
      </w:r>
      <w:r w:rsidRPr="00ED302C">
        <w:rPr>
          <w:spacing w:val="-19"/>
          <w:szCs w:val="22"/>
        </w:rPr>
        <w:t xml:space="preserve"> </w:t>
      </w:r>
      <w:r w:rsidRPr="00ED302C">
        <w:rPr>
          <w:szCs w:val="22"/>
        </w:rPr>
        <w:t>that:</w:t>
      </w:r>
    </w:p>
    <w:p w:rsidR="00DD3254" w:rsidRPr="00ED302C" w:rsidP="00DD3254">
      <w:pPr>
        <w:pStyle w:val="BodyText"/>
        <w:numPr>
          <w:ilvl w:val="1"/>
          <w:numId w:val="7"/>
        </w:numPr>
        <w:tabs>
          <w:tab w:val="left" w:pos="1800"/>
        </w:tabs>
        <w:ind w:right="620" w:firstLine="0"/>
      </w:pPr>
      <w:r w:rsidRPr="00ED302C">
        <w:t>this</w:t>
      </w:r>
      <w:r w:rsidRPr="00ED302C">
        <w:rPr>
          <w:spacing w:val="-6"/>
        </w:rPr>
        <w:t xml:space="preserve"> </w:t>
      </w:r>
      <w:r w:rsidRPr="00ED302C">
        <w:rPr>
          <w:spacing w:val="-1"/>
        </w:rPr>
        <w:t>test</w:t>
      </w:r>
      <w:r w:rsidRPr="00ED302C">
        <w:rPr>
          <w:spacing w:val="-5"/>
        </w:rPr>
        <w:t xml:space="preserve"> </w:t>
      </w:r>
      <w:r w:rsidRPr="00ED302C">
        <w:t>is</w:t>
      </w:r>
      <w:r w:rsidRPr="00ED302C">
        <w:rPr>
          <w:spacing w:val="-6"/>
        </w:rPr>
        <w:t xml:space="preserve"> </w:t>
      </w:r>
      <w:r w:rsidRPr="00ED302C">
        <w:t>necessary</w:t>
      </w:r>
      <w:r w:rsidRPr="00ED302C">
        <w:rPr>
          <w:spacing w:val="-4"/>
        </w:rPr>
        <w:t xml:space="preserve"> </w:t>
      </w:r>
      <w:r w:rsidRPr="00ED302C">
        <w:t>to</w:t>
      </w:r>
      <w:r w:rsidRPr="00ED302C">
        <w:rPr>
          <w:spacing w:val="-5"/>
        </w:rPr>
        <w:t xml:space="preserve"> assess and validate</w:t>
      </w:r>
      <w:r w:rsidRPr="00ED302C">
        <w:rPr>
          <w:spacing w:val="-6"/>
        </w:rPr>
        <w:t xml:space="preserve"> </w:t>
      </w:r>
      <w:r w:rsidRPr="00ED302C">
        <w:rPr>
          <w:spacing w:val="-1"/>
        </w:rPr>
        <w:t>the readiness and effectiveness of the emergency warning system, plans and infrastructure, and ability of participants to disseminate emergency messages to the public;</w:t>
      </w:r>
    </w:p>
    <w:p w:rsidR="00DD3254" w:rsidRPr="00ED302C" w:rsidP="00DD3254">
      <w:pPr>
        <w:spacing w:before="2"/>
        <w:rPr>
          <w:szCs w:val="22"/>
        </w:rPr>
      </w:pPr>
    </w:p>
    <w:p w:rsidR="00DD3254" w:rsidRPr="00ED302C" w:rsidP="00DD3254">
      <w:pPr>
        <w:pStyle w:val="BodyText"/>
        <w:numPr>
          <w:ilvl w:val="1"/>
          <w:numId w:val="7"/>
        </w:numPr>
        <w:tabs>
          <w:tab w:val="left" w:pos="1800"/>
        </w:tabs>
        <w:ind w:right="620" w:firstLine="0"/>
      </w:pPr>
      <w:r w:rsidRPr="00ED302C">
        <w:t xml:space="preserve">PREMB will coordinate information about the test with relevant Participating CMS Providers and EAS Participants, </w:t>
      </w:r>
      <w:r w:rsidRPr="00ED302C">
        <w:rPr>
          <w:spacing w:val="-1"/>
        </w:rPr>
        <w:t>including</w:t>
      </w:r>
      <w:r w:rsidRPr="00ED302C">
        <w:rPr>
          <w:spacing w:val="-7"/>
        </w:rPr>
        <w:t xml:space="preserve"> </w:t>
      </w:r>
      <w:r w:rsidRPr="00ED302C">
        <w:t>first</w:t>
      </w:r>
      <w:r w:rsidRPr="00ED302C">
        <w:rPr>
          <w:spacing w:val="-5"/>
        </w:rPr>
        <w:t xml:space="preserve"> </w:t>
      </w:r>
      <w:r w:rsidRPr="00ED302C">
        <w:rPr>
          <w:spacing w:val="-1"/>
        </w:rPr>
        <w:t>responder</w:t>
      </w:r>
      <w:r w:rsidRPr="00ED302C">
        <w:rPr>
          <w:spacing w:val="-6"/>
        </w:rPr>
        <w:t xml:space="preserve"> </w:t>
      </w:r>
      <w:r w:rsidRPr="00ED302C">
        <w:t>organizations</w:t>
      </w:r>
      <w:r w:rsidRPr="00ED302C">
        <w:rPr>
          <w:spacing w:val="-5"/>
        </w:rPr>
        <w:t xml:space="preserve"> </w:t>
      </w:r>
      <w:r w:rsidRPr="00ED302C">
        <w:rPr>
          <w:spacing w:val="-1"/>
        </w:rPr>
        <w:t>such</w:t>
      </w:r>
      <w:r w:rsidRPr="00ED302C">
        <w:rPr>
          <w:spacing w:val="-6"/>
        </w:rPr>
        <w:t xml:space="preserve"> </w:t>
      </w:r>
      <w:r w:rsidRPr="00ED302C">
        <w:rPr>
          <w:spacing w:val="-1"/>
        </w:rPr>
        <w:t>as police</w:t>
      </w:r>
      <w:r w:rsidRPr="00ED302C">
        <w:rPr>
          <w:spacing w:val="-6"/>
        </w:rPr>
        <w:t xml:space="preserve"> </w:t>
      </w:r>
      <w:r w:rsidRPr="00ED302C">
        <w:t>and</w:t>
      </w:r>
      <w:r w:rsidRPr="00ED302C">
        <w:rPr>
          <w:spacing w:val="-5"/>
        </w:rPr>
        <w:t xml:space="preserve"> </w:t>
      </w:r>
      <w:r w:rsidRPr="00ED302C">
        <w:t>fire</w:t>
      </w:r>
      <w:r w:rsidRPr="00ED302C">
        <w:rPr>
          <w:spacing w:val="-4"/>
        </w:rPr>
        <w:t xml:space="preserve"> </w:t>
      </w:r>
      <w:r w:rsidRPr="00ED302C">
        <w:rPr>
          <w:spacing w:val="-1"/>
        </w:rPr>
        <w:t>agencies</w:t>
      </w:r>
      <w:r w:rsidRPr="00ED302C">
        <w:rPr>
          <w:spacing w:val="-6"/>
        </w:rPr>
        <w:t xml:space="preserve"> </w:t>
      </w:r>
      <w:r w:rsidRPr="00ED302C">
        <w:t>and 911 PSAPs,</w:t>
      </w:r>
      <w:r w:rsidRPr="00ED302C">
        <w:rPr>
          <w:spacing w:val="-5"/>
        </w:rPr>
        <w:t xml:space="preserve"> </w:t>
      </w:r>
      <w:r w:rsidRPr="00ED302C">
        <w:t>to</w:t>
      </w:r>
      <w:r w:rsidRPr="00ED302C">
        <w:rPr>
          <w:spacing w:val="-5"/>
        </w:rPr>
        <w:t xml:space="preserve"> </w:t>
      </w:r>
      <w:r w:rsidRPr="00ED302C">
        <w:t>ensure</w:t>
      </w:r>
      <w:r w:rsidRPr="00ED302C">
        <w:rPr>
          <w:spacing w:val="-5"/>
        </w:rPr>
        <w:t xml:space="preserve"> </w:t>
      </w:r>
      <w:r w:rsidRPr="00ED302C">
        <w:rPr>
          <w:spacing w:val="-1"/>
        </w:rPr>
        <w:t>that</w:t>
      </w:r>
      <w:r w:rsidRPr="00ED302C">
        <w:rPr>
          <w:spacing w:val="-4"/>
        </w:rPr>
        <w:t xml:space="preserve"> </w:t>
      </w:r>
      <w:r w:rsidRPr="00ED302C">
        <w:t>they</w:t>
      </w:r>
      <w:r w:rsidRPr="00ED302C">
        <w:rPr>
          <w:spacing w:val="-6"/>
        </w:rPr>
        <w:t xml:space="preserve"> </w:t>
      </w:r>
      <w:r w:rsidRPr="00ED302C">
        <w:t>are</w:t>
      </w:r>
      <w:r w:rsidRPr="00ED302C">
        <w:rPr>
          <w:spacing w:val="-5"/>
        </w:rPr>
        <w:t xml:space="preserve"> </w:t>
      </w:r>
      <w:r w:rsidRPr="00ED302C">
        <w:rPr>
          <w:spacing w:val="-1"/>
        </w:rPr>
        <w:t>aware of th</w:t>
      </w:r>
      <w:r w:rsidRPr="00ED302C">
        <w:t>e</w:t>
      </w:r>
      <w:r w:rsidRPr="00ED302C">
        <w:rPr>
          <w:spacing w:val="-4"/>
        </w:rPr>
        <w:t xml:space="preserve"> </w:t>
      </w:r>
      <w:r w:rsidRPr="00ED302C">
        <w:rPr>
          <w:spacing w:val="-1"/>
        </w:rPr>
        <w:t>test</w:t>
      </w:r>
      <w:r w:rsidRPr="00ED302C">
        <w:rPr>
          <w:spacing w:val="-4"/>
        </w:rPr>
        <w:t xml:space="preserve"> </w:t>
      </w:r>
      <w:r w:rsidRPr="00ED302C">
        <w:t>and</w:t>
      </w:r>
      <w:r w:rsidRPr="00ED302C">
        <w:rPr>
          <w:spacing w:val="-4"/>
        </w:rPr>
        <w:t xml:space="preserve"> </w:t>
      </w:r>
      <w:r w:rsidRPr="00ED302C">
        <w:t>can</w:t>
      </w:r>
      <w:r w:rsidRPr="00ED302C">
        <w:rPr>
          <w:spacing w:val="-4"/>
        </w:rPr>
        <w:t xml:space="preserve"> </w:t>
      </w:r>
      <w:r w:rsidRPr="00ED302C">
        <w:t>confirm</w:t>
      </w:r>
      <w:r w:rsidRPr="00ED302C">
        <w:rPr>
          <w:spacing w:val="-4"/>
        </w:rPr>
        <w:t xml:space="preserve"> </w:t>
      </w:r>
      <w:r w:rsidRPr="00ED302C">
        <w:t>to</w:t>
      </w:r>
      <w:r w:rsidRPr="00ED302C">
        <w:rPr>
          <w:spacing w:val="-4"/>
        </w:rPr>
        <w:t xml:space="preserve"> </w:t>
      </w:r>
      <w:r w:rsidRPr="00ED302C">
        <w:t>the</w:t>
      </w:r>
      <w:r w:rsidRPr="00ED302C">
        <w:rPr>
          <w:spacing w:val="-4"/>
        </w:rPr>
        <w:t xml:space="preserve"> </w:t>
      </w:r>
      <w:r w:rsidRPr="00ED302C">
        <w:rPr>
          <w:spacing w:val="-1"/>
        </w:rPr>
        <w:t>public</w:t>
      </w:r>
      <w:r w:rsidRPr="00ED302C">
        <w:rPr>
          <w:spacing w:val="-3"/>
        </w:rPr>
        <w:t xml:space="preserve"> </w:t>
      </w:r>
      <w:r w:rsidRPr="00ED302C">
        <w:t>that</w:t>
      </w:r>
      <w:r w:rsidRPr="00ED302C">
        <w:rPr>
          <w:spacing w:val="-4"/>
        </w:rPr>
        <w:t xml:space="preserve"> </w:t>
      </w:r>
      <w:r w:rsidRPr="00ED302C">
        <w:t>the</w:t>
      </w:r>
      <w:r w:rsidRPr="00ED302C">
        <w:rPr>
          <w:spacing w:val="-4"/>
        </w:rPr>
        <w:t xml:space="preserve"> EAS and </w:t>
      </w:r>
      <w:r w:rsidRPr="00ED302C">
        <w:rPr>
          <w:spacing w:val="-1"/>
        </w:rPr>
        <w:t>WEA</w:t>
      </w:r>
      <w:r w:rsidRPr="00ED302C">
        <w:rPr>
          <w:spacing w:val="-4"/>
        </w:rPr>
        <w:t xml:space="preserve"> </w:t>
      </w:r>
      <w:r w:rsidRPr="00ED302C">
        <w:t>messages are</w:t>
      </w:r>
      <w:r w:rsidRPr="00ED302C">
        <w:rPr>
          <w:spacing w:val="-4"/>
        </w:rPr>
        <w:t xml:space="preserve"> </w:t>
      </w:r>
      <w:r w:rsidRPr="00ED302C">
        <w:t>a</w:t>
      </w:r>
      <w:r w:rsidRPr="00ED302C">
        <w:rPr>
          <w:spacing w:val="-3"/>
        </w:rPr>
        <w:t xml:space="preserve"> </w:t>
      </w:r>
      <w:r w:rsidRPr="00ED302C">
        <w:rPr>
          <w:spacing w:val="-1"/>
        </w:rPr>
        <w:t>test; and</w:t>
      </w:r>
    </w:p>
    <w:p w:rsidR="00DD3254" w:rsidRPr="00ED302C" w:rsidP="00DD3254">
      <w:pPr>
        <w:spacing w:before="2"/>
        <w:rPr>
          <w:szCs w:val="22"/>
        </w:rPr>
      </w:pPr>
    </w:p>
    <w:p w:rsidR="00DD3254" w:rsidP="00DD3254">
      <w:pPr>
        <w:pStyle w:val="BodyText"/>
        <w:numPr>
          <w:ilvl w:val="1"/>
          <w:numId w:val="7"/>
        </w:numPr>
        <w:tabs>
          <w:tab w:val="left" w:pos="1800"/>
        </w:tabs>
        <w:ind w:left="1170" w:right="693" w:firstLine="30"/>
      </w:pPr>
      <w:r w:rsidRPr="00ED302C">
        <w:rPr>
          <w:spacing w:val="-1"/>
        </w:rPr>
        <w:t>pre-test</w:t>
      </w:r>
      <w:r w:rsidRPr="00ED302C">
        <w:rPr>
          <w:spacing w:val="-9"/>
        </w:rPr>
        <w:t xml:space="preserve"> </w:t>
      </w:r>
      <w:r w:rsidRPr="00ED302C">
        <w:rPr>
          <w:spacing w:val="-1"/>
        </w:rPr>
        <w:t>publicity</w:t>
      </w:r>
      <w:r w:rsidRPr="00ED302C">
        <w:rPr>
          <w:spacing w:val="-9"/>
        </w:rPr>
        <w:t xml:space="preserve"> </w:t>
      </w:r>
      <w:r w:rsidRPr="00ED302C">
        <w:t>efforts will include a comprehensive media campaign, and communication with appropriate public information officers to ensure widespread distribution of information to local broadcasters, newspapers, and cable providers.</w:t>
      </w:r>
    </w:p>
    <w:p w:rsidR="00DD3254" w:rsidRPr="007951E2" w:rsidP="00DD3254">
      <w:pPr>
        <w:pStyle w:val="BodyText"/>
        <w:tabs>
          <w:tab w:val="left" w:pos="1800"/>
        </w:tabs>
        <w:ind w:left="0" w:right="693"/>
      </w:pPr>
    </w:p>
    <w:p w:rsidR="00DD3254" w:rsidRPr="007951E2" w:rsidP="00DD3254">
      <w:pPr>
        <w:pStyle w:val="ParaNum"/>
        <w:rPr>
          <w:szCs w:val="22"/>
        </w:rPr>
      </w:pPr>
      <w:r>
        <w:rPr>
          <w:szCs w:val="22"/>
        </w:rPr>
        <w:t>W</w:t>
      </w:r>
      <w:r w:rsidRPr="00ED302C">
        <w:rPr>
          <w:szCs w:val="22"/>
        </w:rPr>
        <w:t xml:space="preserve">e note that the proposed test by PREMB would take place </w:t>
      </w:r>
      <w:r>
        <w:rPr>
          <w:szCs w:val="22"/>
        </w:rPr>
        <w:t xml:space="preserve">eight </w:t>
      </w:r>
      <w:r w:rsidR="00A00EAE">
        <w:rPr>
          <w:szCs w:val="22"/>
        </w:rPr>
        <w:t>d</w:t>
      </w:r>
      <w:bookmarkStart w:id="6" w:name="_GoBack"/>
      <w:bookmarkEnd w:id="6"/>
      <w:r w:rsidRPr="00ED302C">
        <w:rPr>
          <w:szCs w:val="22"/>
        </w:rPr>
        <w:t xml:space="preserve">ays before the </w:t>
      </w:r>
      <w:r w:rsidRPr="002879E7">
        <w:rPr>
          <w:szCs w:val="22"/>
        </w:rPr>
        <w:t>nationwide combined test of the WEA and EAS on September 20, 2018</w:t>
      </w:r>
      <w:r>
        <w:rPr>
          <w:szCs w:val="22"/>
        </w:rPr>
        <w:t xml:space="preserve"> and are concerned that two major EAS and WEA tests in such close proximity could be confusing to the public</w:t>
      </w:r>
      <w:r w:rsidRPr="002879E7">
        <w:rPr>
          <w:szCs w:val="22"/>
        </w:rPr>
        <w:t xml:space="preserve">.  Accordingly, we </w:t>
      </w:r>
      <w:r>
        <w:rPr>
          <w:szCs w:val="22"/>
        </w:rPr>
        <w:t xml:space="preserve">strongly encourage PREMB to </w:t>
      </w:r>
      <w:r w:rsidRPr="002879E7">
        <w:rPr>
          <w:szCs w:val="22"/>
        </w:rPr>
        <w:t>include inform</w:t>
      </w:r>
      <w:r>
        <w:rPr>
          <w:szCs w:val="22"/>
        </w:rPr>
        <w:t xml:space="preserve">ation </w:t>
      </w:r>
      <w:r w:rsidRPr="002879E7">
        <w:rPr>
          <w:szCs w:val="22"/>
        </w:rPr>
        <w:t xml:space="preserve">about the nationwide test </w:t>
      </w:r>
      <w:r>
        <w:rPr>
          <w:szCs w:val="22"/>
        </w:rPr>
        <w:t>in its public outreach</w:t>
      </w:r>
      <w:r w:rsidRPr="002879E7">
        <w:rPr>
          <w:szCs w:val="22"/>
        </w:rPr>
        <w:t>.</w:t>
      </w:r>
    </w:p>
    <w:p w:rsidR="00DD3254" w:rsidRPr="00ED302C" w:rsidP="00DD3254">
      <w:pPr>
        <w:pStyle w:val="ParaNum"/>
        <w:rPr>
          <w:szCs w:val="22"/>
        </w:rPr>
      </w:pPr>
      <w:r w:rsidRPr="00ED302C">
        <w:rPr>
          <w:szCs w:val="22"/>
        </w:rPr>
        <w:t>We</w:t>
      </w:r>
      <w:r w:rsidRPr="00ED302C">
        <w:rPr>
          <w:spacing w:val="-5"/>
          <w:szCs w:val="22"/>
        </w:rPr>
        <w:t xml:space="preserve"> </w:t>
      </w:r>
      <w:r w:rsidRPr="00ED302C">
        <w:rPr>
          <w:szCs w:val="22"/>
        </w:rPr>
        <w:t>also</w:t>
      </w:r>
      <w:r w:rsidRPr="00ED302C">
        <w:rPr>
          <w:spacing w:val="-5"/>
          <w:szCs w:val="22"/>
        </w:rPr>
        <w:t xml:space="preserve"> </w:t>
      </w:r>
      <w:r w:rsidRPr="00ED302C">
        <w:rPr>
          <w:szCs w:val="22"/>
        </w:rPr>
        <w:t>require</w:t>
      </w:r>
      <w:r w:rsidRPr="00ED302C">
        <w:rPr>
          <w:spacing w:val="-4"/>
          <w:szCs w:val="22"/>
        </w:rPr>
        <w:t xml:space="preserve"> </w:t>
      </w:r>
      <w:r w:rsidRPr="00ED302C">
        <w:rPr>
          <w:spacing w:val="-1"/>
          <w:szCs w:val="22"/>
        </w:rPr>
        <w:t>that</w:t>
      </w:r>
      <w:r w:rsidRPr="00ED302C">
        <w:rPr>
          <w:spacing w:val="-3"/>
          <w:szCs w:val="22"/>
        </w:rPr>
        <w:t xml:space="preserve"> </w:t>
      </w:r>
      <w:bookmarkStart w:id="7" w:name="_Hlk523327683"/>
      <w:r w:rsidRPr="00ED302C">
        <w:rPr>
          <w:szCs w:val="22"/>
        </w:rPr>
        <w:t>the</w:t>
      </w:r>
      <w:r w:rsidRPr="00ED302C">
        <w:rPr>
          <w:spacing w:val="-5"/>
          <w:szCs w:val="22"/>
        </w:rPr>
        <w:t xml:space="preserve"> </w:t>
      </w:r>
      <w:r w:rsidRPr="00ED302C">
        <w:rPr>
          <w:szCs w:val="22"/>
        </w:rPr>
        <w:t>test</w:t>
      </w:r>
      <w:r w:rsidRPr="00ED302C">
        <w:rPr>
          <w:spacing w:val="-5"/>
          <w:szCs w:val="22"/>
        </w:rPr>
        <w:t xml:space="preserve"> </w:t>
      </w:r>
      <w:r w:rsidRPr="00ED302C">
        <w:rPr>
          <w:spacing w:val="-1"/>
          <w:szCs w:val="22"/>
        </w:rPr>
        <w:t>and</w:t>
      </w:r>
      <w:r w:rsidRPr="00ED302C">
        <w:rPr>
          <w:spacing w:val="-3"/>
          <w:szCs w:val="22"/>
        </w:rPr>
        <w:t xml:space="preserve"> </w:t>
      </w:r>
      <w:r w:rsidRPr="00ED302C">
        <w:rPr>
          <w:szCs w:val="22"/>
        </w:rPr>
        <w:t>any</w:t>
      </w:r>
      <w:r w:rsidRPr="00ED302C">
        <w:rPr>
          <w:spacing w:val="-5"/>
          <w:szCs w:val="22"/>
        </w:rPr>
        <w:t xml:space="preserve"> </w:t>
      </w:r>
      <w:r w:rsidRPr="00ED302C">
        <w:rPr>
          <w:szCs w:val="22"/>
        </w:rPr>
        <w:t>post-test</w:t>
      </w:r>
      <w:r w:rsidRPr="00ED302C">
        <w:rPr>
          <w:spacing w:val="-4"/>
          <w:szCs w:val="22"/>
        </w:rPr>
        <w:t xml:space="preserve"> </w:t>
      </w:r>
      <w:r w:rsidRPr="00ED302C">
        <w:rPr>
          <w:spacing w:val="-1"/>
          <w:szCs w:val="22"/>
        </w:rPr>
        <w:t>analysis</w:t>
      </w:r>
      <w:r w:rsidRPr="00ED302C">
        <w:rPr>
          <w:spacing w:val="-4"/>
          <w:szCs w:val="22"/>
        </w:rPr>
        <w:t xml:space="preserve"> </w:t>
      </w:r>
      <w:r w:rsidRPr="00ED302C">
        <w:rPr>
          <w:spacing w:val="-1"/>
          <w:szCs w:val="22"/>
        </w:rPr>
        <w:t>and</w:t>
      </w:r>
      <w:r w:rsidRPr="00ED302C">
        <w:rPr>
          <w:spacing w:val="-3"/>
          <w:szCs w:val="22"/>
        </w:rPr>
        <w:t xml:space="preserve"> </w:t>
      </w:r>
      <w:r w:rsidRPr="00ED302C">
        <w:rPr>
          <w:szCs w:val="22"/>
        </w:rPr>
        <w:t>reports</w:t>
      </w:r>
      <w:r w:rsidRPr="00ED302C">
        <w:rPr>
          <w:spacing w:val="-4"/>
          <w:szCs w:val="22"/>
        </w:rPr>
        <w:t xml:space="preserve"> </w:t>
      </w:r>
      <w:bookmarkEnd w:id="7"/>
      <w:r w:rsidRPr="00ED302C">
        <w:rPr>
          <w:szCs w:val="22"/>
        </w:rPr>
        <w:t>that</w:t>
      </w:r>
      <w:r w:rsidRPr="00ED302C">
        <w:rPr>
          <w:spacing w:val="-5"/>
          <w:szCs w:val="22"/>
        </w:rPr>
        <w:t xml:space="preserve"> PREMB</w:t>
      </w:r>
      <w:r w:rsidRPr="00ED302C">
        <w:rPr>
          <w:spacing w:val="-3"/>
          <w:szCs w:val="22"/>
        </w:rPr>
        <w:t xml:space="preserve"> </w:t>
      </w:r>
      <w:r w:rsidRPr="00ED302C">
        <w:rPr>
          <w:szCs w:val="22"/>
        </w:rPr>
        <w:t>may</w:t>
      </w:r>
      <w:r w:rsidRPr="00ED302C">
        <w:rPr>
          <w:spacing w:val="29"/>
          <w:w w:val="99"/>
          <w:szCs w:val="22"/>
        </w:rPr>
        <w:t xml:space="preserve"> </w:t>
      </w:r>
      <w:r w:rsidRPr="00ED302C">
        <w:rPr>
          <w:szCs w:val="22"/>
        </w:rPr>
        <w:t>conduct</w:t>
      </w:r>
      <w:r w:rsidRPr="00ED302C">
        <w:rPr>
          <w:spacing w:val="-6"/>
          <w:szCs w:val="22"/>
        </w:rPr>
        <w:t xml:space="preserve"> </w:t>
      </w:r>
      <w:r w:rsidRPr="00ED302C">
        <w:rPr>
          <w:szCs w:val="22"/>
        </w:rPr>
        <w:t>or</w:t>
      </w:r>
      <w:r w:rsidRPr="00ED302C">
        <w:rPr>
          <w:spacing w:val="-5"/>
          <w:szCs w:val="22"/>
        </w:rPr>
        <w:t xml:space="preserve"> </w:t>
      </w:r>
      <w:r w:rsidRPr="00ED302C">
        <w:rPr>
          <w:szCs w:val="22"/>
        </w:rPr>
        <w:t>cause</w:t>
      </w:r>
      <w:r w:rsidRPr="00ED302C">
        <w:rPr>
          <w:spacing w:val="-6"/>
          <w:szCs w:val="22"/>
        </w:rPr>
        <w:t xml:space="preserve"> </w:t>
      </w:r>
      <w:r w:rsidRPr="00ED302C">
        <w:rPr>
          <w:szCs w:val="22"/>
        </w:rPr>
        <w:t>to</w:t>
      </w:r>
      <w:r w:rsidRPr="00ED302C">
        <w:rPr>
          <w:spacing w:val="-5"/>
          <w:szCs w:val="22"/>
        </w:rPr>
        <w:t xml:space="preserve"> </w:t>
      </w:r>
      <w:r w:rsidRPr="00ED302C">
        <w:rPr>
          <w:szCs w:val="22"/>
        </w:rPr>
        <w:t>be</w:t>
      </w:r>
      <w:r w:rsidRPr="00ED302C">
        <w:rPr>
          <w:spacing w:val="-5"/>
          <w:szCs w:val="22"/>
        </w:rPr>
        <w:t xml:space="preserve"> </w:t>
      </w:r>
      <w:r w:rsidRPr="00ED302C">
        <w:rPr>
          <w:szCs w:val="22"/>
        </w:rPr>
        <w:t>produced,</w:t>
      </w:r>
      <w:r w:rsidRPr="00ED302C">
        <w:rPr>
          <w:spacing w:val="-5"/>
          <w:szCs w:val="22"/>
        </w:rPr>
        <w:t xml:space="preserve"> </w:t>
      </w:r>
      <w:r w:rsidRPr="00ED302C">
        <w:rPr>
          <w:spacing w:val="-1"/>
          <w:szCs w:val="22"/>
        </w:rPr>
        <w:t>are</w:t>
      </w:r>
      <w:r w:rsidRPr="00ED302C">
        <w:rPr>
          <w:spacing w:val="-5"/>
          <w:szCs w:val="22"/>
        </w:rPr>
        <w:t xml:space="preserve"> </w:t>
      </w:r>
      <w:r w:rsidRPr="00ED302C">
        <w:rPr>
          <w:szCs w:val="22"/>
        </w:rPr>
        <w:t>done</w:t>
      </w:r>
      <w:r w:rsidRPr="00ED302C">
        <w:rPr>
          <w:spacing w:val="-5"/>
          <w:szCs w:val="22"/>
        </w:rPr>
        <w:t xml:space="preserve"> </w:t>
      </w:r>
      <w:r w:rsidRPr="00ED302C">
        <w:rPr>
          <w:szCs w:val="22"/>
        </w:rPr>
        <w:t>in</w:t>
      </w:r>
      <w:r w:rsidRPr="00ED302C">
        <w:rPr>
          <w:spacing w:val="-5"/>
          <w:szCs w:val="22"/>
        </w:rPr>
        <w:t xml:space="preserve"> </w:t>
      </w:r>
      <w:r w:rsidRPr="00ED302C">
        <w:rPr>
          <w:szCs w:val="22"/>
        </w:rPr>
        <w:t>a</w:t>
      </w:r>
      <w:r w:rsidRPr="00ED302C">
        <w:rPr>
          <w:spacing w:val="-5"/>
          <w:szCs w:val="22"/>
        </w:rPr>
        <w:t xml:space="preserve"> </w:t>
      </w:r>
      <w:r w:rsidRPr="00ED302C">
        <w:rPr>
          <w:spacing w:val="-1"/>
          <w:szCs w:val="22"/>
        </w:rPr>
        <w:t>manner</w:t>
      </w:r>
      <w:r w:rsidRPr="00ED302C">
        <w:rPr>
          <w:spacing w:val="-5"/>
          <w:szCs w:val="22"/>
        </w:rPr>
        <w:t xml:space="preserve"> </w:t>
      </w:r>
      <w:r w:rsidRPr="00ED302C">
        <w:rPr>
          <w:szCs w:val="22"/>
        </w:rPr>
        <w:t>consistent</w:t>
      </w:r>
      <w:r w:rsidRPr="00ED302C">
        <w:rPr>
          <w:spacing w:val="-6"/>
          <w:szCs w:val="22"/>
        </w:rPr>
        <w:t xml:space="preserve"> </w:t>
      </w:r>
      <w:r w:rsidRPr="00ED302C">
        <w:rPr>
          <w:spacing w:val="-1"/>
          <w:szCs w:val="22"/>
        </w:rPr>
        <w:t>with</w:t>
      </w:r>
      <w:r w:rsidRPr="00ED302C">
        <w:rPr>
          <w:spacing w:val="-5"/>
          <w:szCs w:val="22"/>
        </w:rPr>
        <w:t xml:space="preserve"> </w:t>
      </w:r>
      <w:r w:rsidRPr="00ED302C">
        <w:rPr>
          <w:spacing w:val="-1"/>
          <w:szCs w:val="22"/>
        </w:rPr>
        <w:t>customers’</w:t>
      </w:r>
      <w:r w:rsidRPr="00ED302C">
        <w:rPr>
          <w:spacing w:val="-5"/>
          <w:szCs w:val="22"/>
        </w:rPr>
        <w:t xml:space="preserve"> </w:t>
      </w:r>
      <w:r w:rsidRPr="00ED302C">
        <w:rPr>
          <w:spacing w:val="-1"/>
          <w:szCs w:val="22"/>
        </w:rPr>
        <w:t>expectations</w:t>
      </w:r>
      <w:r w:rsidRPr="00ED302C">
        <w:rPr>
          <w:spacing w:val="-6"/>
          <w:szCs w:val="22"/>
        </w:rPr>
        <w:t xml:space="preserve"> </w:t>
      </w:r>
      <w:r w:rsidRPr="00ED302C">
        <w:rPr>
          <w:szCs w:val="22"/>
        </w:rPr>
        <w:t>of</w:t>
      </w:r>
      <w:r w:rsidRPr="00ED302C">
        <w:rPr>
          <w:spacing w:val="-5"/>
          <w:szCs w:val="22"/>
        </w:rPr>
        <w:t xml:space="preserve"> </w:t>
      </w:r>
      <w:r w:rsidRPr="00ED302C">
        <w:rPr>
          <w:szCs w:val="22"/>
        </w:rPr>
        <w:t xml:space="preserve">privacy, </w:t>
      </w:r>
      <w:r w:rsidRPr="00ED302C">
        <w:rPr>
          <w:spacing w:val="-1"/>
          <w:szCs w:val="22"/>
        </w:rPr>
        <w:t>confidentiality</w:t>
      </w:r>
      <w:r w:rsidRPr="00ED302C">
        <w:rPr>
          <w:spacing w:val="-6"/>
          <w:szCs w:val="22"/>
        </w:rPr>
        <w:t xml:space="preserve"> </w:t>
      </w:r>
      <w:r w:rsidRPr="00ED302C">
        <w:rPr>
          <w:szCs w:val="22"/>
        </w:rPr>
        <w:t>of</w:t>
      </w:r>
      <w:r w:rsidRPr="00ED302C">
        <w:rPr>
          <w:spacing w:val="-5"/>
          <w:szCs w:val="22"/>
        </w:rPr>
        <w:t xml:space="preserve"> </w:t>
      </w:r>
      <w:r w:rsidRPr="00ED302C">
        <w:rPr>
          <w:spacing w:val="-1"/>
          <w:szCs w:val="22"/>
        </w:rPr>
        <w:t>Participating</w:t>
      </w:r>
      <w:r w:rsidRPr="00ED302C">
        <w:rPr>
          <w:spacing w:val="-5"/>
          <w:szCs w:val="22"/>
        </w:rPr>
        <w:t xml:space="preserve"> </w:t>
      </w:r>
      <w:r w:rsidRPr="00ED302C">
        <w:rPr>
          <w:szCs w:val="22"/>
        </w:rPr>
        <w:t>CMS</w:t>
      </w:r>
      <w:r w:rsidRPr="00ED302C">
        <w:rPr>
          <w:spacing w:val="-6"/>
          <w:szCs w:val="22"/>
        </w:rPr>
        <w:t xml:space="preserve"> </w:t>
      </w:r>
      <w:r w:rsidRPr="00ED302C">
        <w:rPr>
          <w:spacing w:val="-1"/>
          <w:szCs w:val="22"/>
        </w:rPr>
        <w:t>Providers’</w:t>
      </w:r>
      <w:r w:rsidRPr="00ED302C">
        <w:rPr>
          <w:spacing w:val="-5"/>
          <w:szCs w:val="22"/>
        </w:rPr>
        <w:t xml:space="preserve"> </w:t>
      </w:r>
      <w:r w:rsidRPr="00ED302C">
        <w:rPr>
          <w:spacing w:val="-1"/>
          <w:szCs w:val="22"/>
        </w:rPr>
        <w:t>network</w:t>
      </w:r>
      <w:r w:rsidRPr="00ED302C">
        <w:rPr>
          <w:spacing w:val="-5"/>
          <w:szCs w:val="22"/>
        </w:rPr>
        <w:t xml:space="preserve"> </w:t>
      </w:r>
      <w:r w:rsidRPr="00ED302C">
        <w:rPr>
          <w:szCs w:val="22"/>
        </w:rPr>
        <w:t>information,</w:t>
      </w:r>
      <w:r w:rsidRPr="00ED302C">
        <w:rPr>
          <w:spacing w:val="-6"/>
          <w:szCs w:val="22"/>
        </w:rPr>
        <w:t xml:space="preserve"> </w:t>
      </w:r>
      <w:r w:rsidRPr="00ED302C">
        <w:rPr>
          <w:spacing w:val="-1"/>
          <w:szCs w:val="22"/>
        </w:rPr>
        <w:t>and</w:t>
      </w:r>
      <w:r w:rsidRPr="00ED302C">
        <w:rPr>
          <w:spacing w:val="-5"/>
          <w:szCs w:val="22"/>
        </w:rPr>
        <w:t xml:space="preserve"> </w:t>
      </w:r>
      <w:r w:rsidRPr="00ED302C">
        <w:rPr>
          <w:szCs w:val="22"/>
        </w:rPr>
        <w:t>the</w:t>
      </w:r>
      <w:r w:rsidRPr="00ED302C">
        <w:rPr>
          <w:spacing w:val="-6"/>
          <w:szCs w:val="22"/>
        </w:rPr>
        <w:t xml:space="preserve"> </w:t>
      </w:r>
      <w:r w:rsidRPr="00ED302C">
        <w:rPr>
          <w:szCs w:val="22"/>
        </w:rPr>
        <w:t>overall</w:t>
      </w:r>
      <w:r w:rsidRPr="00ED302C">
        <w:rPr>
          <w:spacing w:val="-5"/>
          <w:szCs w:val="22"/>
        </w:rPr>
        <w:t xml:space="preserve"> </w:t>
      </w:r>
      <w:r w:rsidRPr="00ED302C">
        <w:rPr>
          <w:spacing w:val="-1"/>
          <w:szCs w:val="22"/>
        </w:rPr>
        <w:t>security</w:t>
      </w:r>
      <w:r w:rsidRPr="00ED302C">
        <w:rPr>
          <w:spacing w:val="-6"/>
          <w:szCs w:val="22"/>
        </w:rPr>
        <w:t xml:space="preserve"> </w:t>
      </w:r>
      <w:r w:rsidRPr="00ED302C">
        <w:rPr>
          <w:szCs w:val="22"/>
        </w:rPr>
        <w:t>of</w:t>
      </w:r>
      <w:r w:rsidRPr="00ED302C">
        <w:rPr>
          <w:spacing w:val="-5"/>
          <w:szCs w:val="22"/>
        </w:rPr>
        <w:t xml:space="preserve"> </w:t>
      </w:r>
      <w:r w:rsidRPr="00ED302C">
        <w:rPr>
          <w:szCs w:val="22"/>
        </w:rPr>
        <w:t>the</w:t>
      </w:r>
      <w:r w:rsidRPr="00ED302C">
        <w:rPr>
          <w:spacing w:val="-6"/>
          <w:szCs w:val="22"/>
        </w:rPr>
        <w:t xml:space="preserve"> EAS and </w:t>
      </w:r>
      <w:r w:rsidRPr="00ED302C">
        <w:rPr>
          <w:spacing w:val="-1"/>
          <w:szCs w:val="22"/>
        </w:rPr>
        <w:t>WEA systems</w:t>
      </w:r>
      <w:r w:rsidRPr="00ED302C">
        <w:rPr>
          <w:spacing w:val="-5"/>
          <w:szCs w:val="22"/>
        </w:rPr>
        <w:t xml:space="preserve"> </w:t>
      </w:r>
      <w:r w:rsidRPr="00ED302C">
        <w:rPr>
          <w:szCs w:val="22"/>
        </w:rPr>
        <w:t>and</w:t>
      </w:r>
      <w:r w:rsidRPr="00ED302C">
        <w:rPr>
          <w:spacing w:val="-6"/>
          <w:szCs w:val="22"/>
        </w:rPr>
        <w:t xml:space="preserve"> </w:t>
      </w:r>
      <w:r w:rsidRPr="00ED302C">
        <w:rPr>
          <w:spacing w:val="-1"/>
          <w:szCs w:val="22"/>
        </w:rPr>
        <w:t>infrastructure.</w:t>
      </w:r>
      <w:r>
        <w:rPr>
          <w:rStyle w:val="FootnoteReference"/>
          <w:spacing w:val="-1"/>
          <w:sz w:val="22"/>
          <w:szCs w:val="22"/>
        </w:rPr>
        <w:footnoteReference w:id="38"/>
      </w:r>
      <w:r w:rsidRPr="00ED302C">
        <w:rPr>
          <w:spacing w:val="-1"/>
          <w:position w:val="7"/>
          <w:szCs w:val="22"/>
        </w:rPr>
        <w:t xml:space="preserve">  </w:t>
      </w:r>
      <w:r w:rsidRPr="00ED302C">
        <w:rPr>
          <w:szCs w:val="22"/>
        </w:rPr>
        <w:t>We</w:t>
      </w:r>
      <w:r w:rsidRPr="00ED302C">
        <w:rPr>
          <w:spacing w:val="-5"/>
          <w:szCs w:val="22"/>
        </w:rPr>
        <w:t xml:space="preserve"> </w:t>
      </w:r>
      <w:r w:rsidRPr="00ED302C">
        <w:rPr>
          <w:spacing w:val="-1"/>
          <w:szCs w:val="22"/>
        </w:rPr>
        <w:t>encourage</w:t>
      </w:r>
      <w:r w:rsidRPr="00ED302C">
        <w:rPr>
          <w:spacing w:val="-4"/>
          <w:szCs w:val="22"/>
        </w:rPr>
        <w:t xml:space="preserve"> PREMB</w:t>
      </w:r>
      <w:r w:rsidRPr="00ED302C">
        <w:rPr>
          <w:spacing w:val="-5"/>
          <w:szCs w:val="22"/>
        </w:rPr>
        <w:t xml:space="preserve"> </w:t>
      </w:r>
      <w:r w:rsidRPr="00ED302C">
        <w:rPr>
          <w:szCs w:val="22"/>
        </w:rPr>
        <w:t>to</w:t>
      </w:r>
      <w:r w:rsidRPr="00ED302C">
        <w:rPr>
          <w:spacing w:val="-6"/>
          <w:szCs w:val="22"/>
        </w:rPr>
        <w:t xml:space="preserve"> </w:t>
      </w:r>
      <w:r w:rsidRPr="00ED302C">
        <w:rPr>
          <w:szCs w:val="22"/>
        </w:rPr>
        <w:t>report</w:t>
      </w:r>
      <w:r w:rsidRPr="00ED302C">
        <w:rPr>
          <w:spacing w:val="-4"/>
          <w:szCs w:val="22"/>
        </w:rPr>
        <w:t xml:space="preserve"> its </w:t>
      </w:r>
      <w:r w:rsidRPr="00ED302C">
        <w:rPr>
          <w:szCs w:val="22"/>
        </w:rPr>
        <w:t>test</w:t>
      </w:r>
      <w:r w:rsidRPr="00ED302C">
        <w:rPr>
          <w:spacing w:val="-6"/>
          <w:szCs w:val="22"/>
        </w:rPr>
        <w:t xml:space="preserve"> </w:t>
      </w:r>
      <w:r w:rsidRPr="00ED302C">
        <w:rPr>
          <w:spacing w:val="-1"/>
          <w:szCs w:val="22"/>
        </w:rPr>
        <w:t>results</w:t>
      </w:r>
      <w:r w:rsidRPr="00ED302C">
        <w:rPr>
          <w:spacing w:val="-5"/>
          <w:szCs w:val="22"/>
        </w:rPr>
        <w:t xml:space="preserve"> </w:t>
      </w:r>
      <w:r w:rsidRPr="00ED302C">
        <w:rPr>
          <w:szCs w:val="22"/>
        </w:rPr>
        <w:t>in</w:t>
      </w:r>
      <w:r w:rsidRPr="00ED302C">
        <w:rPr>
          <w:spacing w:val="-6"/>
          <w:szCs w:val="22"/>
        </w:rPr>
        <w:t xml:space="preserve"> </w:t>
      </w:r>
      <w:r w:rsidRPr="00ED302C">
        <w:rPr>
          <w:spacing w:val="-1"/>
          <w:szCs w:val="22"/>
        </w:rPr>
        <w:t>electronic</w:t>
      </w:r>
      <w:r w:rsidRPr="00ED302C">
        <w:rPr>
          <w:spacing w:val="-5"/>
          <w:szCs w:val="22"/>
        </w:rPr>
        <w:t xml:space="preserve"> </w:t>
      </w:r>
      <w:r w:rsidRPr="00ED302C">
        <w:rPr>
          <w:szCs w:val="22"/>
        </w:rPr>
        <w:t>format</w:t>
      </w:r>
      <w:r w:rsidRPr="00ED302C">
        <w:rPr>
          <w:spacing w:val="-4"/>
          <w:szCs w:val="22"/>
        </w:rPr>
        <w:t xml:space="preserve"> </w:t>
      </w:r>
      <w:r w:rsidRPr="00ED302C">
        <w:rPr>
          <w:szCs w:val="22"/>
        </w:rPr>
        <w:t>to</w:t>
      </w:r>
      <w:r w:rsidRPr="00ED302C">
        <w:rPr>
          <w:spacing w:val="-6"/>
          <w:szCs w:val="22"/>
        </w:rPr>
        <w:t xml:space="preserve"> </w:t>
      </w:r>
      <w:r w:rsidRPr="00ED302C">
        <w:rPr>
          <w:spacing w:val="-1"/>
          <w:szCs w:val="22"/>
        </w:rPr>
        <w:t xml:space="preserve">the </w:t>
      </w:r>
      <w:r w:rsidRPr="00ED302C">
        <w:rPr>
          <w:szCs w:val="22"/>
        </w:rPr>
        <w:t xml:space="preserve">Bureau. </w:t>
      </w:r>
      <w:r w:rsidRPr="00ED302C">
        <w:rPr>
          <w:spacing w:val="48"/>
          <w:szCs w:val="22"/>
        </w:rPr>
        <w:t xml:space="preserve"> </w:t>
      </w:r>
      <w:r w:rsidRPr="00ED302C">
        <w:rPr>
          <w:spacing w:val="-1"/>
          <w:szCs w:val="22"/>
        </w:rPr>
        <w:t>Finally,</w:t>
      </w:r>
      <w:r w:rsidRPr="00ED302C">
        <w:rPr>
          <w:spacing w:val="-4"/>
          <w:szCs w:val="22"/>
        </w:rPr>
        <w:t xml:space="preserve"> </w:t>
      </w:r>
      <w:r w:rsidRPr="00ED302C">
        <w:rPr>
          <w:spacing w:val="-1"/>
          <w:szCs w:val="22"/>
        </w:rPr>
        <w:t>we</w:t>
      </w:r>
      <w:r w:rsidRPr="00ED302C">
        <w:rPr>
          <w:spacing w:val="-4"/>
          <w:szCs w:val="22"/>
        </w:rPr>
        <w:t xml:space="preserve"> </w:t>
      </w:r>
      <w:r w:rsidRPr="00ED302C">
        <w:rPr>
          <w:szCs w:val="22"/>
        </w:rPr>
        <w:t>encourage</w:t>
      </w:r>
      <w:r w:rsidRPr="00ED302C">
        <w:rPr>
          <w:spacing w:val="-4"/>
          <w:szCs w:val="22"/>
        </w:rPr>
        <w:t xml:space="preserve"> </w:t>
      </w:r>
      <w:r w:rsidRPr="00ED302C">
        <w:rPr>
          <w:spacing w:val="-1"/>
          <w:szCs w:val="22"/>
        </w:rPr>
        <w:t>members</w:t>
      </w:r>
      <w:r w:rsidRPr="00ED302C">
        <w:rPr>
          <w:spacing w:val="-4"/>
          <w:szCs w:val="22"/>
        </w:rPr>
        <w:t xml:space="preserve"> </w:t>
      </w:r>
      <w:r w:rsidRPr="00ED302C">
        <w:rPr>
          <w:szCs w:val="22"/>
        </w:rPr>
        <w:t>of</w:t>
      </w:r>
      <w:r w:rsidRPr="00ED302C">
        <w:rPr>
          <w:spacing w:val="-4"/>
          <w:szCs w:val="22"/>
        </w:rPr>
        <w:t xml:space="preserve"> </w:t>
      </w:r>
      <w:r w:rsidRPr="00ED302C">
        <w:rPr>
          <w:szCs w:val="22"/>
        </w:rPr>
        <w:t>the</w:t>
      </w:r>
      <w:r w:rsidRPr="00ED302C">
        <w:rPr>
          <w:spacing w:val="-4"/>
          <w:szCs w:val="22"/>
        </w:rPr>
        <w:t xml:space="preserve"> </w:t>
      </w:r>
      <w:r w:rsidRPr="00ED302C">
        <w:rPr>
          <w:spacing w:val="-1"/>
          <w:szCs w:val="22"/>
        </w:rPr>
        <w:t>public</w:t>
      </w:r>
      <w:r w:rsidRPr="00ED302C">
        <w:rPr>
          <w:spacing w:val="-3"/>
          <w:szCs w:val="22"/>
        </w:rPr>
        <w:t xml:space="preserve"> who</w:t>
      </w:r>
      <w:r w:rsidRPr="00ED302C">
        <w:rPr>
          <w:spacing w:val="-5"/>
          <w:szCs w:val="22"/>
        </w:rPr>
        <w:t xml:space="preserve"> </w:t>
      </w:r>
      <w:r w:rsidRPr="00ED302C">
        <w:rPr>
          <w:spacing w:val="-1"/>
          <w:szCs w:val="22"/>
        </w:rPr>
        <w:t>wish</w:t>
      </w:r>
      <w:r w:rsidRPr="00ED302C">
        <w:rPr>
          <w:spacing w:val="-3"/>
          <w:szCs w:val="22"/>
        </w:rPr>
        <w:t xml:space="preserve"> </w:t>
      </w:r>
      <w:r w:rsidRPr="00ED302C">
        <w:rPr>
          <w:szCs w:val="22"/>
        </w:rPr>
        <w:t>to</w:t>
      </w:r>
      <w:r w:rsidRPr="00ED302C">
        <w:rPr>
          <w:spacing w:val="-4"/>
          <w:szCs w:val="22"/>
        </w:rPr>
        <w:t xml:space="preserve"> </w:t>
      </w:r>
      <w:r w:rsidRPr="00ED302C">
        <w:rPr>
          <w:szCs w:val="22"/>
        </w:rPr>
        <w:t>report</w:t>
      </w:r>
      <w:r w:rsidRPr="00ED302C">
        <w:rPr>
          <w:spacing w:val="-4"/>
          <w:szCs w:val="22"/>
        </w:rPr>
        <w:t xml:space="preserve"> </w:t>
      </w:r>
      <w:r w:rsidRPr="00ED302C">
        <w:rPr>
          <w:spacing w:val="-1"/>
          <w:szCs w:val="22"/>
        </w:rPr>
        <w:t>their</w:t>
      </w:r>
      <w:r w:rsidRPr="00ED302C">
        <w:rPr>
          <w:spacing w:val="-3"/>
          <w:szCs w:val="22"/>
        </w:rPr>
        <w:t xml:space="preserve"> </w:t>
      </w:r>
      <w:r w:rsidRPr="00ED302C">
        <w:rPr>
          <w:szCs w:val="22"/>
        </w:rPr>
        <w:t>results</w:t>
      </w:r>
      <w:r w:rsidRPr="00ED302C">
        <w:rPr>
          <w:spacing w:val="-3"/>
          <w:szCs w:val="22"/>
        </w:rPr>
        <w:t xml:space="preserve"> </w:t>
      </w:r>
      <w:r w:rsidRPr="00ED302C">
        <w:rPr>
          <w:szCs w:val="22"/>
        </w:rPr>
        <w:t>to</w:t>
      </w:r>
      <w:r w:rsidRPr="00ED302C">
        <w:rPr>
          <w:spacing w:val="-5"/>
          <w:szCs w:val="22"/>
        </w:rPr>
        <w:t xml:space="preserve"> </w:t>
      </w:r>
      <w:r w:rsidRPr="00ED302C">
        <w:rPr>
          <w:szCs w:val="22"/>
        </w:rPr>
        <w:t>do</w:t>
      </w:r>
      <w:r w:rsidRPr="00ED302C">
        <w:rPr>
          <w:spacing w:val="-3"/>
          <w:szCs w:val="22"/>
        </w:rPr>
        <w:t xml:space="preserve"> </w:t>
      </w:r>
      <w:r w:rsidRPr="00ED302C">
        <w:rPr>
          <w:spacing w:val="-1"/>
          <w:szCs w:val="22"/>
        </w:rPr>
        <w:t>so</w:t>
      </w:r>
      <w:r w:rsidRPr="00ED302C">
        <w:rPr>
          <w:spacing w:val="-3"/>
          <w:szCs w:val="22"/>
        </w:rPr>
        <w:t xml:space="preserve"> </w:t>
      </w:r>
      <w:r w:rsidRPr="00ED302C">
        <w:rPr>
          <w:szCs w:val="22"/>
        </w:rPr>
        <w:t>by</w:t>
      </w:r>
      <w:r w:rsidRPr="00ED302C">
        <w:rPr>
          <w:spacing w:val="-4"/>
          <w:szCs w:val="22"/>
        </w:rPr>
        <w:t xml:space="preserve"> </w:t>
      </w:r>
      <w:r w:rsidRPr="00ED302C">
        <w:rPr>
          <w:spacing w:val="-1"/>
          <w:szCs w:val="22"/>
        </w:rPr>
        <w:t>filing</w:t>
      </w:r>
      <w:r w:rsidRPr="00ED302C">
        <w:rPr>
          <w:spacing w:val="55"/>
          <w:szCs w:val="22"/>
        </w:rPr>
        <w:t xml:space="preserve"> </w:t>
      </w:r>
      <w:r w:rsidRPr="00ED302C">
        <w:rPr>
          <w:szCs w:val="22"/>
        </w:rPr>
        <w:t>them</w:t>
      </w:r>
      <w:r w:rsidRPr="00ED302C">
        <w:rPr>
          <w:spacing w:val="-8"/>
          <w:szCs w:val="22"/>
        </w:rPr>
        <w:t xml:space="preserve"> </w:t>
      </w:r>
      <w:r w:rsidRPr="00ED302C">
        <w:rPr>
          <w:spacing w:val="-1"/>
          <w:szCs w:val="22"/>
        </w:rPr>
        <w:t>with</w:t>
      </w:r>
      <w:r w:rsidRPr="00ED302C">
        <w:rPr>
          <w:spacing w:val="-7"/>
          <w:szCs w:val="22"/>
        </w:rPr>
        <w:t xml:space="preserve"> </w:t>
      </w:r>
      <w:r w:rsidRPr="00ED302C">
        <w:rPr>
          <w:szCs w:val="22"/>
        </w:rPr>
        <w:t>the</w:t>
      </w:r>
      <w:r w:rsidRPr="00ED302C">
        <w:rPr>
          <w:spacing w:val="-8"/>
          <w:szCs w:val="22"/>
        </w:rPr>
        <w:t xml:space="preserve"> </w:t>
      </w:r>
      <w:r w:rsidRPr="00ED302C">
        <w:rPr>
          <w:spacing w:val="-1"/>
          <w:szCs w:val="22"/>
        </w:rPr>
        <w:t>FCC’s</w:t>
      </w:r>
      <w:r w:rsidRPr="00ED302C">
        <w:rPr>
          <w:spacing w:val="-7"/>
          <w:szCs w:val="22"/>
        </w:rPr>
        <w:t xml:space="preserve"> </w:t>
      </w:r>
      <w:r w:rsidRPr="00ED302C">
        <w:rPr>
          <w:spacing w:val="-1"/>
          <w:szCs w:val="22"/>
        </w:rPr>
        <w:t>Public</w:t>
      </w:r>
      <w:r w:rsidRPr="00ED302C">
        <w:rPr>
          <w:spacing w:val="-7"/>
          <w:szCs w:val="22"/>
        </w:rPr>
        <w:t xml:space="preserve"> </w:t>
      </w:r>
      <w:r w:rsidRPr="00ED302C">
        <w:rPr>
          <w:spacing w:val="-1"/>
          <w:szCs w:val="22"/>
        </w:rPr>
        <w:t>Safety</w:t>
      </w:r>
      <w:r w:rsidRPr="00ED302C">
        <w:rPr>
          <w:spacing w:val="-7"/>
          <w:szCs w:val="22"/>
        </w:rPr>
        <w:t xml:space="preserve"> </w:t>
      </w:r>
      <w:r w:rsidRPr="00ED302C">
        <w:rPr>
          <w:spacing w:val="-1"/>
          <w:szCs w:val="22"/>
        </w:rPr>
        <w:t>Support</w:t>
      </w:r>
      <w:r w:rsidRPr="00ED302C">
        <w:rPr>
          <w:spacing w:val="-7"/>
          <w:szCs w:val="22"/>
        </w:rPr>
        <w:t xml:space="preserve"> </w:t>
      </w:r>
      <w:r w:rsidRPr="00ED302C">
        <w:rPr>
          <w:spacing w:val="-1"/>
          <w:szCs w:val="22"/>
        </w:rPr>
        <w:t>Center</w:t>
      </w:r>
      <w:r w:rsidRPr="00ED302C">
        <w:rPr>
          <w:spacing w:val="-7"/>
          <w:szCs w:val="22"/>
        </w:rPr>
        <w:t xml:space="preserve"> </w:t>
      </w:r>
      <w:r w:rsidRPr="00ED302C">
        <w:rPr>
          <w:spacing w:val="-1"/>
          <w:szCs w:val="22"/>
        </w:rPr>
        <w:t>at</w:t>
      </w:r>
      <w:r w:rsidRPr="00ED302C">
        <w:rPr>
          <w:spacing w:val="-7"/>
          <w:szCs w:val="22"/>
        </w:rPr>
        <w:t xml:space="preserve"> </w:t>
      </w:r>
      <w:r>
        <w:fldChar w:fldCharType="begin"/>
      </w:r>
      <w:r>
        <w:instrText xml:space="preserve"> HYPERLINK "https://www.fcc.gov/general/public-safety-support-center" </w:instrText>
      </w:r>
      <w:r>
        <w:fldChar w:fldCharType="separate"/>
      </w:r>
      <w:r w:rsidRPr="00ED302C">
        <w:rPr>
          <w:color w:val="0000FF"/>
          <w:spacing w:val="-1"/>
          <w:szCs w:val="22"/>
          <w:u w:val="single" w:color="0000FF"/>
        </w:rPr>
        <w:t>https://www.fcc.gov/general/public-safety-</w:t>
      </w:r>
      <w:r>
        <w:fldChar w:fldCharType="end"/>
      </w:r>
      <w:r>
        <w:fldChar w:fldCharType="begin"/>
      </w:r>
      <w:r>
        <w:instrText xml:space="preserve"> HYPERLINK "https://www.fcc.gov/general/public-safety-support-center" </w:instrText>
      </w:r>
      <w:r>
        <w:fldChar w:fldCharType="separate"/>
      </w:r>
      <w:r w:rsidRPr="00ED302C">
        <w:rPr>
          <w:color w:val="0000FF"/>
          <w:spacing w:val="-1"/>
          <w:szCs w:val="22"/>
          <w:u w:val="single" w:color="0000FF"/>
        </w:rPr>
        <w:t>support-center</w:t>
      </w:r>
      <w:r>
        <w:fldChar w:fldCharType="end"/>
      </w:r>
      <w:r w:rsidRPr="00ED302C">
        <w:rPr>
          <w:color w:val="0000FF"/>
          <w:spacing w:val="-1"/>
          <w:szCs w:val="22"/>
          <w:u w:val="single" w:color="0000FF"/>
        </w:rPr>
        <w:t>.</w:t>
      </w:r>
    </w:p>
    <w:p w:rsidR="00DD3254" w:rsidRPr="00ED302C" w:rsidP="00DD3254">
      <w:pPr>
        <w:pStyle w:val="Heading1"/>
        <w:rPr>
          <w:rFonts w:ascii="Times New Roman" w:hAnsi="Times New Roman"/>
          <w:bCs/>
          <w:szCs w:val="22"/>
        </w:rPr>
      </w:pPr>
      <w:bookmarkEnd w:id="5"/>
      <w:r w:rsidRPr="00ED302C">
        <w:rPr>
          <w:rFonts w:ascii="Times New Roman" w:hAnsi="Times New Roman"/>
          <w:szCs w:val="22"/>
        </w:rPr>
        <w:t>ORDERING</w:t>
      </w:r>
      <w:r w:rsidRPr="00ED302C">
        <w:rPr>
          <w:rFonts w:ascii="Times New Roman" w:hAnsi="Times New Roman"/>
          <w:spacing w:val="-1"/>
          <w:szCs w:val="22"/>
        </w:rPr>
        <w:t xml:space="preserve"> CLAUSE</w:t>
      </w:r>
    </w:p>
    <w:p w:rsidR="00DD3254" w:rsidRPr="00ED302C" w:rsidP="00DD3254">
      <w:pPr>
        <w:pStyle w:val="ParaNum"/>
        <w:rPr>
          <w:szCs w:val="22"/>
        </w:rPr>
      </w:pPr>
      <w:r w:rsidRPr="00ED302C">
        <w:rPr>
          <w:spacing w:val="-1"/>
          <w:szCs w:val="22"/>
        </w:rPr>
        <w:t>Accordingly,</w:t>
      </w:r>
      <w:r w:rsidRPr="00ED302C">
        <w:rPr>
          <w:spacing w:val="-5"/>
          <w:szCs w:val="22"/>
        </w:rPr>
        <w:t xml:space="preserve"> </w:t>
      </w:r>
      <w:r w:rsidRPr="00ED302C">
        <w:rPr>
          <w:b/>
          <w:bCs/>
          <w:spacing w:val="-1"/>
          <w:szCs w:val="22"/>
        </w:rPr>
        <w:t>IT</w:t>
      </w:r>
      <w:r w:rsidRPr="00ED302C">
        <w:rPr>
          <w:b/>
          <w:bCs/>
          <w:spacing w:val="-4"/>
          <w:szCs w:val="22"/>
        </w:rPr>
        <w:t xml:space="preserve"> </w:t>
      </w:r>
      <w:r w:rsidRPr="00ED302C">
        <w:rPr>
          <w:b/>
          <w:bCs/>
          <w:szCs w:val="22"/>
        </w:rPr>
        <w:t>IS</w:t>
      </w:r>
      <w:r w:rsidRPr="00ED302C">
        <w:rPr>
          <w:b/>
          <w:bCs/>
          <w:spacing w:val="-5"/>
          <w:szCs w:val="22"/>
        </w:rPr>
        <w:t xml:space="preserve"> </w:t>
      </w:r>
      <w:r w:rsidRPr="00ED302C">
        <w:rPr>
          <w:b/>
          <w:bCs/>
          <w:szCs w:val="22"/>
        </w:rPr>
        <w:t>ORDERED</w:t>
      </w:r>
      <w:r w:rsidRPr="00ED302C">
        <w:rPr>
          <w:b/>
          <w:bCs/>
          <w:spacing w:val="-6"/>
          <w:szCs w:val="22"/>
        </w:rPr>
        <w:t xml:space="preserve"> </w:t>
      </w:r>
      <w:r w:rsidRPr="00ED302C">
        <w:rPr>
          <w:szCs w:val="22"/>
        </w:rPr>
        <w:t>that,</w:t>
      </w:r>
      <w:r w:rsidRPr="00ED302C">
        <w:rPr>
          <w:spacing w:val="-5"/>
          <w:szCs w:val="22"/>
        </w:rPr>
        <w:t xml:space="preserve"> </w:t>
      </w:r>
      <w:r w:rsidRPr="00ED302C">
        <w:rPr>
          <w:szCs w:val="22"/>
        </w:rPr>
        <w:t>pursuant</w:t>
      </w:r>
      <w:r w:rsidRPr="00ED302C">
        <w:rPr>
          <w:spacing w:val="-4"/>
          <w:szCs w:val="22"/>
        </w:rPr>
        <w:t xml:space="preserve"> </w:t>
      </w:r>
      <w:r w:rsidRPr="00ED302C">
        <w:rPr>
          <w:spacing w:val="-1"/>
          <w:szCs w:val="22"/>
        </w:rPr>
        <w:t>to</w:t>
      </w:r>
      <w:r w:rsidRPr="00ED302C">
        <w:rPr>
          <w:spacing w:val="-5"/>
          <w:szCs w:val="22"/>
        </w:rPr>
        <w:t xml:space="preserve"> </w:t>
      </w:r>
      <w:r w:rsidRPr="00ED302C">
        <w:rPr>
          <w:spacing w:val="-1"/>
          <w:szCs w:val="22"/>
        </w:rPr>
        <w:t>Section</w:t>
      </w:r>
      <w:r w:rsidRPr="00ED302C">
        <w:rPr>
          <w:spacing w:val="-5"/>
          <w:szCs w:val="22"/>
        </w:rPr>
        <w:t xml:space="preserve"> </w:t>
      </w:r>
      <w:r w:rsidRPr="00ED302C">
        <w:rPr>
          <w:szCs w:val="22"/>
        </w:rPr>
        <w:t>4(i)</w:t>
      </w:r>
      <w:r w:rsidRPr="00ED302C">
        <w:rPr>
          <w:spacing w:val="-4"/>
          <w:szCs w:val="22"/>
        </w:rPr>
        <w:t xml:space="preserve"> </w:t>
      </w:r>
      <w:r w:rsidRPr="00ED302C">
        <w:rPr>
          <w:szCs w:val="22"/>
        </w:rPr>
        <w:t>of</w:t>
      </w:r>
      <w:r w:rsidRPr="00ED302C">
        <w:rPr>
          <w:spacing w:val="-4"/>
          <w:szCs w:val="22"/>
        </w:rPr>
        <w:t xml:space="preserve"> </w:t>
      </w:r>
      <w:r w:rsidRPr="00ED302C">
        <w:rPr>
          <w:szCs w:val="22"/>
        </w:rPr>
        <w:t>the</w:t>
      </w:r>
      <w:r w:rsidRPr="00ED302C">
        <w:rPr>
          <w:spacing w:val="-6"/>
          <w:szCs w:val="22"/>
        </w:rPr>
        <w:t xml:space="preserve"> </w:t>
      </w:r>
      <w:r w:rsidRPr="00ED302C">
        <w:rPr>
          <w:szCs w:val="22"/>
        </w:rPr>
        <w:t>Communications</w:t>
      </w:r>
      <w:r w:rsidRPr="00ED302C">
        <w:rPr>
          <w:spacing w:val="-5"/>
          <w:szCs w:val="22"/>
        </w:rPr>
        <w:t xml:space="preserve"> </w:t>
      </w:r>
      <w:r w:rsidRPr="00ED302C">
        <w:rPr>
          <w:spacing w:val="-1"/>
          <w:szCs w:val="22"/>
        </w:rPr>
        <w:t>Act</w:t>
      </w:r>
      <w:r w:rsidRPr="00ED302C">
        <w:rPr>
          <w:spacing w:val="33"/>
          <w:w w:val="99"/>
          <w:szCs w:val="22"/>
        </w:rPr>
        <w:t xml:space="preserve"> </w:t>
      </w:r>
      <w:r w:rsidRPr="00ED302C">
        <w:rPr>
          <w:szCs w:val="22"/>
        </w:rPr>
        <w:t>of</w:t>
      </w:r>
      <w:r w:rsidRPr="00ED302C">
        <w:rPr>
          <w:spacing w:val="-3"/>
          <w:szCs w:val="22"/>
        </w:rPr>
        <w:t xml:space="preserve"> </w:t>
      </w:r>
      <w:r w:rsidRPr="00ED302C">
        <w:rPr>
          <w:szCs w:val="22"/>
        </w:rPr>
        <w:t>1934,</w:t>
      </w:r>
      <w:r w:rsidRPr="00ED302C">
        <w:rPr>
          <w:spacing w:val="-2"/>
          <w:szCs w:val="22"/>
        </w:rPr>
        <w:t xml:space="preserve"> </w:t>
      </w:r>
      <w:r w:rsidRPr="00ED302C">
        <w:rPr>
          <w:szCs w:val="22"/>
        </w:rPr>
        <w:t>as</w:t>
      </w:r>
      <w:r w:rsidRPr="00ED302C">
        <w:rPr>
          <w:spacing w:val="-3"/>
          <w:szCs w:val="22"/>
        </w:rPr>
        <w:t xml:space="preserve"> </w:t>
      </w:r>
      <w:r w:rsidRPr="00ED302C">
        <w:rPr>
          <w:spacing w:val="-1"/>
          <w:szCs w:val="22"/>
        </w:rPr>
        <w:t>amended,</w:t>
      </w:r>
      <w:r w:rsidRPr="00ED302C">
        <w:rPr>
          <w:spacing w:val="-3"/>
          <w:szCs w:val="22"/>
        </w:rPr>
        <w:t xml:space="preserve"> </w:t>
      </w:r>
      <w:r w:rsidRPr="00ED302C">
        <w:rPr>
          <w:szCs w:val="22"/>
        </w:rPr>
        <w:t>47</w:t>
      </w:r>
      <w:r w:rsidRPr="00ED302C">
        <w:rPr>
          <w:spacing w:val="-2"/>
          <w:szCs w:val="22"/>
        </w:rPr>
        <w:t xml:space="preserve"> </w:t>
      </w:r>
      <w:r w:rsidRPr="00ED302C">
        <w:rPr>
          <w:szCs w:val="22"/>
        </w:rPr>
        <w:t>U.S.C.</w:t>
      </w:r>
      <w:r w:rsidRPr="00ED302C">
        <w:rPr>
          <w:spacing w:val="-3"/>
          <w:szCs w:val="22"/>
        </w:rPr>
        <w:t xml:space="preserve"> </w:t>
      </w:r>
      <w:r w:rsidRPr="00ED302C">
        <w:rPr>
          <w:szCs w:val="22"/>
        </w:rPr>
        <w:t>§</w:t>
      </w:r>
      <w:r w:rsidRPr="00ED302C">
        <w:rPr>
          <w:spacing w:val="-3"/>
          <w:szCs w:val="22"/>
        </w:rPr>
        <w:t xml:space="preserve"> </w:t>
      </w:r>
      <w:r w:rsidRPr="00ED302C">
        <w:rPr>
          <w:spacing w:val="-1"/>
          <w:szCs w:val="22"/>
        </w:rPr>
        <w:t>154(i),</w:t>
      </w:r>
      <w:r w:rsidRPr="00ED302C">
        <w:rPr>
          <w:spacing w:val="-2"/>
          <w:szCs w:val="22"/>
        </w:rPr>
        <w:t xml:space="preserve"> </w:t>
      </w:r>
      <w:r w:rsidRPr="00ED302C">
        <w:rPr>
          <w:szCs w:val="22"/>
        </w:rPr>
        <w:t>and</w:t>
      </w:r>
      <w:r w:rsidRPr="00ED302C">
        <w:rPr>
          <w:spacing w:val="-3"/>
          <w:szCs w:val="22"/>
        </w:rPr>
        <w:t xml:space="preserve"> </w:t>
      </w:r>
      <w:r w:rsidRPr="00ED302C">
        <w:rPr>
          <w:spacing w:val="-1"/>
          <w:szCs w:val="22"/>
        </w:rPr>
        <w:t>Section</w:t>
      </w:r>
      <w:r w:rsidRPr="00ED302C">
        <w:rPr>
          <w:spacing w:val="-3"/>
          <w:szCs w:val="22"/>
        </w:rPr>
        <w:t xml:space="preserve"> </w:t>
      </w:r>
      <w:r w:rsidRPr="00ED302C">
        <w:rPr>
          <w:szCs w:val="22"/>
        </w:rPr>
        <w:t>1.3</w:t>
      </w:r>
      <w:r w:rsidRPr="00ED302C">
        <w:rPr>
          <w:spacing w:val="-2"/>
          <w:szCs w:val="22"/>
        </w:rPr>
        <w:t xml:space="preserve"> </w:t>
      </w:r>
      <w:r w:rsidRPr="00ED302C">
        <w:rPr>
          <w:szCs w:val="22"/>
        </w:rPr>
        <w:t>of</w:t>
      </w:r>
      <w:r w:rsidRPr="00ED302C">
        <w:rPr>
          <w:spacing w:val="-2"/>
          <w:szCs w:val="22"/>
        </w:rPr>
        <w:t xml:space="preserve"> </w:t>
      </w:r>
      <w:r w:rsidRPr="00ED302C">
        <w:rPr>
          <w:szCs w:val="22"/>
        </w:rPr>
        <w:t>the</w:t>
      </w:r>
      <w:r w:rsidRPr="00ED302C">
        <w:rPr>
          <w:spacing w:val="-3"/>
          <w:szCs w:val="22"/>
        </w:rPr>
        <w:t xml:space="preserve"> </w:t>
      </w:r>
      <w:r w:rsidRPr="00ED302C">
        <w:rPr>
          <w:szCs w:val="22"/>
        </w:rPr>
        <w:t>Commission’s</w:t>
      </w:r>
      <w:r w:rsidRPr="00ED302C">
        <w:rPr>
          <w:spacing w:val="-3"/>
          <w:szCs w:val="22"/>
        </w:rPr>
        <w:t xml:space="preserve"> </w:t>
      </w:r>
      <w:r w:rsidRPr="00ED302C">
        <w:rPr>
          <w:szCs w:val="22"/>
        </w:rPr>
        <w:t>rules,</w:t>
      </w:r>
      <w:r w:rsidRPr="00ED302C">
        <w:rPr>
          <w:spacing w:val="-2"/>
          <w:szCs w:val="22"/>
        </w:rPr>
        <w:t xml:space="preserve"> </w:t>
      </w:r>
      <w:r w:rsidRPr="00ED302C">
        <w:rPr>
          <w:szCs w:val="22"/>
        </w:rPr>
        <w:t>47</w:t>
      </w:r>
      <w:r w:rsidRPr="00ED302C">
        <w:rPr>
          <w:spacing w:val="-2"/>
          <w:szCs w:val="22"/>
        </w:rPr>
        <w:t xml:space="preserve"> </w:t>
      </w:r>
      <w:r w:rsidRPr="00ED302C">
        <w:rPr>
          <w:szCs w:val="22"/>
        </w:rPr>
        <w:t>CFR</w:t>
      </w:r>
      <w:r w:rsidRPr="00ED302C">
        <w:rPr>
          <w:spacing w:val="-4"/>
          <w:szCs w:val="22"/>
        </w:rPr>
        <w:t xml:space="preserve"> </w:t>
      </w:r>
      <w:r w:rsidRPr="00ED302C">
        <w:rPr>
          <w:szCs w:val="22"/>
        </w:rPr>
        <w:t>§</w:t>
      </w:r>
      <w:r w:rsidRPr="00ED302C">
        <w:rPr>
          <w:spacing w:val="-2"/>
          <w:szCs w:val="22"/>
        </w:rPr>
        <w:t xml:space="preserve"> </w:t>
      </w:r>
      <w:r w:rsidRPr="00ED302C">
        <w:rPr>
          <w:szCs w:val="22"/>
        </w:rPr>
        <w:t>1.3,</w:t>
      </w:r>
      <w:r w:rsidRPr="00ED302C">
        <w:rPr>
          <w:spacing w:val="29"/>
          <w:szCs w:val="22"/>
        </w:rPr>
        <w:t xml:space="preserve"> </w:t>
      </w:r>
      <w:r w:rsidRPr="00ED302C">
        <w:rPr>
          <w:spacing w:val="-1"/>
          <w:szCs w:val="22"/>
        </w:rPr>
        <w:t>Sections</w:t>
      </w:r>
      <w:r w:rsidRPr="00ED302C">
        <w:rPr>
          <w:spacing w:val="-3"/>
          <w:szCs w:val="22"/>
        </w:rPr>
        <w:t xml:space="preserve"> </w:t>
      </w:r>
      <w:r w:rsidRPr="00ED302C">
        <w:rPr>
          <w:szCs w:val="22"/>
        </w:rPr>
        <w:t>10.400,</w:t>
      </w:r>
      <w:r w:rsidRPr="00ED302C">
        <w:rPr>
          <w:spacing w:val="-2"/>
          <w:szCs w:val="22"/>
        </w:rPr>
        <w:t xml:space="preserve"> </w:t>
      </w:r>
      <w:r w:rsidRPr="00ED302C">
        <w:rPr>
          <w:szCs w:val="22"/>
        </w:rPr>
        <w:t>10.520(d),</w:t>
      </w:r>
      <w:r w:rsidRPr="00ED302C">
        <w:rPr>
          <w:spacing w:val="-3"/>
          <w:szCs w:val="22"/>
        </w:rPr>
        <w:t xml:space="preserve"> </w:t>
      </w:r>
      <w:r w:rsidRPr="00ED302C">
        <w:rPr>
          <w:szCs w:val="22"/>
        </w:rPr>
        <w:t>10.530(b),</w:t>
      </w:r>
      <w:r w:rsidRPr="00ED302C">
        <w:rPr>
          <w:spacing w:val="-2"/>
          <w:szCs w:val="22"/>
        </w:rPr>
        <w:t xml:space="preserve"> </w:t>
      </w:r>
      <w:r w:rsidRPr="00ED302C">
        <w:rPr>
          <w:szCs w:val="22"/>
        </w:rPr>
        <w:t>11.45,</w:t>
      </w:r>
      <w:r w:rsidRPr="00ED302C">
        <w:rPr>
          <w:rStyle w:val="FootnoteReference"/>
          <w:sz w:val="22"/>
          <w:szCs w:val="22"/>
        </w:rPr>
        <w:t xml:space="preserve"> </w:t>
      </w:r>
      <w:r w:rsidRPr="00ED302C">
        <w:rPr>
          <w:szCs w:val="22"/>
        </w:rPr>
        <w:t>and 11.61</w:t>
      </w:r>
      <w:r w:rsidRPr="00ED302C">
        <w:rPr>
          <w:spacing w:val="-3"/>
          <w:szCs w:val="22"/>
        </w:rPr>
        <w:t xml:space="preserve"> </w:t>
      </w:r>
      <w:r w:rsidRPr="00ED302C">
        <w:rPr>
          <w:szCs w:val="22"/>
        </w:rPr>
        <w:t>of</w:t>
      </w:r>
      <w:r w:rsidRPr="00ED302C">
        <w:rPr>
          <w:spacing w:val="-2"/>
          <w:szCs w:val="22"/>
        </w:rPr>
        <w:t xml:space="preserve"> </w:t>
      </w:r>
      <w:r w:rsidRPr="00ED302C">
        <w:rPr>
          <w:szCs w:val="22"/>
        </w:rPr>
        <w:t>the</w:t>
      </w:r>
      <w:r w:rsidRPr="00ED302C">
        <w:rPr>
          <w:spacing w:val="-4"/>
          <w:szCs w:val="22"/>
        </w:rPr>
        <w:t xml:space="preserve"> </w:t>
      </w:r>
      <w:r w:rsidRPr="00ED302C">
        <w:rPr>
          <w:szCs w:val="22"/>
        </w:rPr>
        <w:t>Commission’s</w:t>
      </w:r>
      <w:r w:rsidRPr="00ED302C">
        <w:rPr>
          <w:spacing w:val="-2"/>
          <w:szCs w:val="22"/>
        </w:rPr>
        <w:t xml:space="preserve"> </w:t>
      </w:r>
      <w:r w:rsidRPr="00ED302C">
        <w:rPr>
          <w:szCs w:val="22"/>
        </w:rPr>
        <w:t>rules,</w:t>
      </w:r>
      <w:r w:rsidRPr="00ED302C">
        <w:rPr>
          <w:spacing w:val="-2"/>
          <w:szCs w:val="22"/>
        </w:rPr>
        <w:t xml:space="preserve"> </w:t>
      </w:r>
      <w:r w:rsidRPr="00ED302C">
        <w:rPr>
          <w:szCs w:val="22"/>
        </w:rPr>
        <w:t>47</w:t>
      </w:r>
      <w:r w:rsidRPr="00ED302C">
        <w:rPr>
          <w:spacing w:val="-3"/>
          <w:szCs w:val="22"/>
        </w:rPr>
        <w:t xml:space="preserve"> </w:t>
      </w:r>
      <w:r w:rsidRPr="00ED302C">
        <w:rPr>
          <w:szCs w:val="22"/>
        </w:rPr>
        <w:t>CFR</w:t>
      </w:r>
      <w:r w:rsidRPr="00ED302C">
        <w:rPr>
          <w:spacing w:val="-3"/>
          <w:szCs w:val="22"/>
        </w:rPr>
        <w:t xml:space="preserve"> </w:t>
      </w:r>
      <w:r w:rsidRPr="00ED302C">
        <w:rPr>
          <w:szCs w:val="22"/>
        </w:rPr>
        <w:t>§§10.400, 10.520(d),</w:t>
      </w:r>
      <w:r w:rsidRPr="00ED302C">
        <w:rPr>
          <w:spacing w:val="-3"/>
          <w:szCs w:val="22"/>
        </w:rPr>
        <w:t xml:space="preserve"> </w:t>
      </w:r>
      <w:r w:rsidRPr="00ED302C">
        <w:rPr>
          <w:szCs w:val="22"/>
        </w:rPr>
        <w:t>10.530(b),</w:t>
      </w:r>
      <w:r w:rsidRPr="00ED302C">
        <w:rPr>
          <w:spacing w:val="-2"/>
          <w:szCs w:val="22"/>
        </w:rPr>
        <w:t xml:space="preserve"> </w:t>
      </w:r>
      <w:r w:rsidRPr="00ED302C">
        <w:rPr>
          <w:szCs w:val="22"/>
        </w:rPr>
        <w:t>11.45,</w:t>
      </w:r>
      <w:r w:rsidRPr="00ED302C">
        <w:rPr>
          <w:rStyle w:val="FootnoteReference"/>
          <w:sz w:val="22"/>
          <w:szCs w:val="22"/>
        </w:rPr>
        <w:t xml:space="preserve"> </w:t>
      </w:r>
      <w:r w:rsidRPr="00ED302C">
        <w:rPr>
          <w:szCs w:val="22"/>
        </w:rPr>
        <w:t>and 11.61 of the Commission’s rules,</w:t>
      </w:r>
      <w:r w:rsidRPr="00ED302C">
        <w:rPr>
          <w:spacing w:val="-3"/>
          <w:szCs w:val="22"/>
        </w:rPr>
        <w:t xml:space="preserve"> </w:t>
      </w:r>
      <w:r w:rsidRPr="00ED302C">
        <w:rPr>
          <w:b/>
          <w:bCs/>
          <w:spacing w:val="-1"/>
          <w:szCs w:val="22"/>
        </w:rPr>
        <w:t>ARE</w:t>
      </w:r>
      <w:r w:rsidRPr="00ED302C">
        <w:rPr>
          <w:b/>
          <w:bCs/>
          <w:spacing w:val="-3"/>
          <w:szCs w:val="22"/>
        </w:rPr>
        <w:t xml:space="preserve"> </w:t>
      </w:r>
      <w:r w:rsidRPr="00ED302C">
        <w:rPr>
          <w:b/>
          <w:bCs/>
          <w:spacing w:val="-1"/>
          <w:szCs w:val="22"/>
        </w:rPr>
        <w:t>WAIVED,</w:t>
      </w:r>
      <w:r w:rsidRPr="00ED302C">
        <w:rPr>
          <w:b/>
          <w:bCs/>
          <w:spacing w:val="-3"/>
          <w:szCs w:val="22"/>
        </w:rPr>
        <w:t xml:space="preserve"> </w:t>
      </w:r>
      <w:r w:rsidRPr="00ED302C">
        <w:rPr>
          <w:szCs w:val="22"/>
        </w:rPr>
        <w:t>to</w:t>
      </w:r>
      <w:r w:rsidRPr="00ED302C">
        <w:rPr>
          <w:spacing w:val="-4"/>
          <w:szCs w:val="22"/>
        </w:rPr>
        <w:t xml:space="preserve"> </w:t>
      </w:r>
      <w:r w:rsidRPr="00ED302C">
        <w:rPr>
          <w:spacing w:val="-1"/>
          <w:szCs w:val="22"/>
        </w:rPr>
        <w:t>allow</w:t>
      </w:r>
      <w:r w:rsidRPr="00ED302C">
        <w:rPr>
          <w:spacing w:val="-4"/>
          <w:szCs w:val="22"/>
        </w:rPr>
        <w:t xml:space="preserve"> </w:t>
      </w:r>
      <w:r w:rsidRPr="00ED302C">
        <w:rPr>
          <w:szCs w:val="22"/>
        </w:rPr>
        <w:t>a</w:t>
      </w:r>
      <w:r w:rsidRPr="00ED302C">
        <w:rPr>
          <w:spacing w:val="-3"/>
          <w:szCs w:val="22"/>
        </w:rPr>
        <w:t xml:space="preserve"> </w:t>
      </w:r>
      <w:r w:rsidRPr="00ED302C">
        <w:rPr>
          <w:spacing w:val="-1"/>
          <w:szCs w:val="22"/>
        </w:rPr>
        <w:t>one-time</w:t>
      </w:r>
      <w:r w:rsidRPr="00ED302C">
        <w:rPr>
          <w:spacing w:val="-3"/>
          <w:szCs w:val="22"/>
        </w:rPr>
        <w:t xml:space="preserve"> </w:t>
      </w:r>
      <w:r w:rsidRPr="00ED302C">
        <w:rPr>
          <w:szCs w:val="22"/>
        </w:rPr>
        <w:t>test</w:t>
      </w:r>
      <w:r w:rsidRPr="00ED302C">
        <w:rPr>
          <w:spacing w:val="-4"/>
          <w:szCs w:val="22"/>
        </w:rPr>
        <w:t xml:space="preserve"> </w:t>
      </w:r>
      <w:r w:rsidRPr="00ED302C">
        <w:rPr>
          <w:szCs w:val="22"/>
        </w:rPr>
        <w:t>of</w:t>
      </w:r>
      <w:r w:rsidRPr="00ED302C">
        <w:rPr>
          <w:spacing w:val="-6"/>
          <w:szCs w:val="22"/>
        </w:rPr>
        <w:t xml:space="preserve"> </w:t>
      </w:r>
      <w:r w:rsidRPr="00ED302C">
        <w:rPr>
          <w:szCs w:val="22"/>
        </w:rPr>
        <w:t>the</w:t>
      </w:r>
      <w:r w:rsidRPr="00ED302C">
        <w:rPr>
          <w:spacing w:val="-6"/>
          <w:szCs w:val="22"/>
        </w:rPr>
        <w:t xml:space="preserve"> EAS</w:t>
      </w:r>
      <w:r w:rsidRPr="00ED302C">
        <w:rPr>
          <w:spacing w:val="-1"/>
          <w:szCs w:val="22"/>
        </w:rPr>
        <w:t xml:space="preserve"> and WEA </w:t>
      </w:r>
      <w:r w:rsidRPr="00ED302C">
        <w:rPr>
          <w:szCs w:val="22"/>
        </w:rPr>
        <w:t>in</w:t>
      </w:r>
      <w:r w:rsidRPr="00ED302C">
        <w:rPr>
          <w:spacing w:val="-4"/>
          <w:szCs w:val="22"/>
        </w:rPr>
        <w:t xml:space="preserve"> Puerto Rico</w:t>
      </w:r>
      <w:r w:rsidRPr="00ED302C">
        <w:rPr>
          <w:color w:val="010101"/>
          <w:szCs w:val="22"/>
        </w:rPr>
        <w:t>; which</w:t>
      </w:r>
      <w:r w:rsidRPr="00ED302C">
        <w:rPr>
          <w:spacing w:val="59"/>
          <w:w w:val="99"/>
          <w:szCs w:val="22"/>
        </w:rPr>
        <w:t xml:space="preserve"> </w:t>
      </w:r>
      <w:r w:rsidRPr="00ED302C">
        <w:rPr>
          <w:color w:val="010101"/>
          <w:szCs w:val="22"/>
        </w:rPr>
        <w:t>combined test must be</w:t>
      </w:r>
      <w:r w:rsidRPr="00ED302C">
        <w:rPr>
          <w:szCs w:val="22"/>
        </w:rPr>
        <w:t xml:space="preserve"> conducted</w:t>
      </w:r>
      <w:r w:rsidRPr="00ED302C">
        <w:rPr>
          <w:spacing w:val="-6"/>
          <w:szCs w:val="22"/>
        </w:rPr>
        <w:t xml:space="preserve"> </w:t>
      </w:r>
      <w:r w:rsidRPr="00ED302C">
        <w:rPr>
          <w:spacing w:val="-1"/>
          <w:szCs w:val="22"/>
        </w:rPr>
        <w:t>subject</w:t>
      </w:r>
      <w:r w:rsidRPr="00ED302C">
        <w:rPr>
          <w:spacing w:val="-6"/>
          <w:szCs w:val="22"/>
        </w:rPr>
        <w:t xml:space="preserve"> </w:t>
      </w:r>
      <w:r w:rsidRPr="00ED302C">
        <w:rPr>
          <w:szCs w:val="22"/>
        </w:rPr>
        <w:t>to</w:t>
      </w:r>
      <w:r w:rsidRPr="00ED302C">
        <w:rPr>
          <w:spacing w:val="-6"/>
          <w:szCs w:val="22"/>
        </w:rPr>
        <w:t xml:space="preserve"> </w:t>
      </w:r>
      <w:r w:rsidRPr="00ED302C">
        <w:rPr>
          <w:szCs w:val="22"/>
        </w:rPr>
        <w:t>the</w:t>
      </w:r>
      <w:r w:rsidRPr="00ED302C">
        <w:rPr>
          <w:spacing w:val="-6"/>
          <w:szCs w:val="22"/>
        </w:rPr>
        <w:t xml:space="preserve"> </w:t>
      </w:r>
      <w:r w:rsidRPr="00ED302C">
        <w:rPr>
          <w:spacing w:val="-1"/>
          <w:szCs w:val="22"/>
        </w:rPr>
        <w:t>conditions</w:t>
      </w:r>
      <w:r w:rsidRPr="00ED302C">
        <w:rPr>
          <w:spacing w:val="-5"/>
          <w:szCs w:val="22"/>
        </w:rPr>
        <w:t xml:space="preserve"> </w:t>
      </w:r>
      <w:r w:rsidRPr="00ED302C">
        <w:rPr>
          <w:szCs w:val="22"/>
        </w:rPr>
        <w:t>described</w:t>
      </w:r>
      <w:r w:rsidRPr="00ED302C">
        <w:rPr>
          <w:spacing w:val="-6"/>
          <w:szCs w:val="22"/>
        </w:rPr>
        <w:t xml:space="preserve"> </w:t>
      </w:r>
      <w:r w:rsidRPr="00ED302C">
        <w:rPr>
          <w:spacing w:val="-1"/>
          <w:szCs w:val="22"/>
        </w:rPr>
        <w:t>herein,</w:t>
      </w:r>
      <w:r w:rsidRPr="00ED302C">
        <w:rPr>
          <w:spacing w:val="-6"/>
          <w:szCs w:val="22"/>
        </w:rPr>
        <w:t xml:space="preserve"> </w:t>
      </w:r>
      <w:bookmarkStart w:id="8" w:name="_Hlk508626707"/>
      <w:r w:rsidRPr="00ED302C">
        <w:rPr>
          <w:szCs w:val="22"/>
        </w:rPr>
        <w:t>on</w:t>
      </w:r>
      <w:r w:rsidRPr="00ED302C">
        <w:rPr>
          <w:spacing w:val="-2"/>
          <w:szCs w:val="22"/>
        </w:rPr>
        <w:t xml:space="preserve"> September 12</w:t>
      </w:r>
      <w:r w:rsidRPr="00ED302C">
        <w:rPr>
          <w:szCs w:val="22"/>
        </w:rPr>
        <w:t>,</w:t>
      </w:r>
      <w:r w:rsidRPr="00ED302C">
        <w:rPr>
          <w:spacing w:val="-2"/>
          <w:szCs w:val="22"/>
        </w:rPr>
        <w:t xml:space="preserve"> </w:t>
      </w:r>
      <w:r w:rsidRPr="00ED302C">
        <w:rPr>
          <w:szCs w:val="22"/>
        </w:rPr>
        <w:t>2018</w:t>
      </w:r>
      <w:bookmarkEnd w:id="8"/>
      <w:r w:rsidRPr="00ED302C">
        <w:rPr>
          <w:szCs w:val="22"/>
        </w:rPr>
        <w:t>, with a backup date of September 13, 2018.  This</w:t>
      </w:r>
      <w:r w:rsidRPr="00ED302C">
        <w:rPr>
          <w:spacing w:val="-3"/>
          <w:szCs w:val="22"/>
        </w:rPr>
        <w:t xml:space="preserve"> </w:t>
      </w:r>
      <w:r w:rsidRPr="00ED302C">
        <w:rPr>
          <w:spacing w:val="-1"/>
          <w:szCs w:val="22"/>
        </w:rPr>
        <w:t>action</w:t>
      </w:r>
      <w:r w:rsidRPr="00ED302C">
        <w:rPr>
          <w:spacing w:val="-3"/>
          <w:szCs w:val="22"/>
        </w:rPr>
        <w:t xml:space="preserve"> </w:t>
      </w:r>
      <w:r w:rsidRPr="00ED302C">
        <w:rPr>
          <w:szCs w:val="22"/>
        </w:rPr>
        <w:t>is</w:t>
      </w:r>
      <w:r w:rsidRPr="00ED302C">
        <w:rPr>
          <w:spacing w:val="39"/>
          <w:w w:val="99"/>
          <w:szCs w:val="22"/>
        </w:rPr>
        <w:t xml:space="preserve"> </w:t>
      </w:r>
      <w:r w:rsidRPr="00ED302C">
        <w:rPr>
          <w:szCs w:val="22"/>
        </w:rPr>
        <w:t>taken</w:t>
      </w:r>
      <w:r w:rsidRPr="00ED302C">
        <w:rPr>
          <w:spacing w:val="-6"/>
          <w:szCs w:val="22"/>
        </w:rPr>
        <w:t xml:space="preserve"> </w:t>
      </w:r>
      <w:r w:rsidRPr="00ED302C">
        <w:rPr>
          <w:spacing w:val="-1"/>
          <w:szCs w:val="22"/>
        </w:rPr>
        <w:t>under</w:t>
      </w:r>
      <w:r w:rsidRPr="00ED302C">
        <w:rPr>
          <w:spacing w:val="-4"/>
          <w:szCs w:val="22"/>
        </w:rPr>
        <w:t xml:space="preserve"> </w:t>
      </w:r>
      <w:r w:rsidRPr="00ED302C">
        <w:rPr>
          <w:szCs w:val="22"/>
        </w:rPr>
        <w:t>delegated</w:t>
      </w:r>
      <w:r w:rsidRPr="00ED302C">
        <w:rPr>
          <w:spacing w:val="-4"/>
          <w:szCs w:val="22"/>
        </w:rPr>
        <w:t xml:space="preserve"> </w:t>
      </w:r>
      <w:r w:rsidRPr="00ED302C">
        <w:rPr>
          <w:szCs w:val="22"/>
        </w:rPr>
        <w:t>authority</w:t>
      </w:r>
      <w:r w:rsidRPr="00ED302C">
        <w:rPr>
          <w:spacing w:val="-5"/>
          <w:szCs w:val="22"/>
        </w:rPr>
        <w:t xml:space="preserve"> </w:t>
      </w:r>
      <w:r w:rsidRPr="00ED302C">
        <w:rPr>
          <w:szCs w:val="22"/>
        </w:rPr>
        <w:t>pursuant</w:t>
      </w:r>
      <w:r w:rsidRPr="00ED302C">
        <w:rPr>
          <w:spacing w:val="-4"/>
          <w:szCs w:val="22"/>
        </w:rPr>
        <w:t xml:space="preserve"> </w:t>
      </w:r>
      <w:r w:rsidRPr="00ED302C">
        <w:rPr>
          <w:spacing w:val="-1"/>
          <w:szCs w:val="22"/>
        </w:rPr>
        <w:t>to</w:t>
      </w:r>
      <w:r w:rsidRPr="00ED302C">
        <w:rPr>
          <w:spacing w:val="-4"/>
          <w:szCs w:val="22"/>
        </w:rPr>
        <w:t xml:space="preserve"> </w:t>
      </w:r>
      <w:r w:rsidRPr="00ED302C">
        <w:rPr>
          <w:spacing w:val="-1"/>
          <w:szCs w:val="22"/>
        </w:rPr>
        <w:t>Sections</w:t>
      </w:r>
      <w:r w:rsidRPr="00ED302C">
        <w:rPr>
          <w:spacing w:val="-5"/>
          <w:szCs w:val="22"/>
        </w:rPr>
        <w:t xml:space="preserve"> </w:t>
      </w:r>
      <w:r w:rsidRPr="00ED302C">
        <w:rPr>
          <w:szCs w:val="22"/>
        </w:rPr>
        <w:t>0.191</w:t>
      </w:r>
      <w:r w:rsidRPr="00ED302C">
        <w:rPr>
          <w:spacing w:val="-5"/>
          <w:szCs w:val="22"/>
        </w:rPr>
        <w:t xml:space="preserve"> </w:t>
      </w:r>
      <w:r w:rsidRPr="00ED302C">
        <w:rPr>
          <w:szCs w:val="22"/>
        </w:rPr>
        <w:t>and</w:t>
      </w:r>
      <w:r w:rsidRPr="00ED302C">
        <w:rPr>
          <w:spacing w:val="-5"/>
          <w:szCs w:val="22"/>
        </w:rPr>
        <w:t xml:space="preserve"> </w:t>
      </w:r>
      <w:r w:rsidRPr="00ED302C">
        <w:rPr>
          <w:szCs w:val="22"/>
        </w:rPr>
        <w:t>0.392</w:t>
      </w:r>
      <w:r w:rsidRPr="00ED302C">
        <w:rPr>
          <w:spacing w:val="-4"/>
          <w:szCs w:val="22"/>
        </w:rPr>
        <w:t xml:space="preserve"> </w:t>
      </w:r>
      <w:r w:rsidRPr="00ED302C">
        <w:rPr>
          <w:szCs w:val="22"/>
        </w:rPr>
        <w:t>of</w:t>
      </w:r>
      <w:r w:rsidRPr="00ED302C">
        <w:rPr>
          <w:spacing w:val="-4"/>
          <w:szCs w:val="22"/>
        </w:rPr>
        <w:t xml:space="preserve"> </w:t>
      </w:r>
      <w:r w:rsidRPr="00ED302C">
        <w:rPr>
          <w:szCs w:val="22"/>
        </w:rPr>
        <w:t>the</w:t>
      </w:r>
      <w:r w:rsidRPr="00ED302C">
        <w:rPr>
          <w:spacing w:val="-5"/>
          <w:szCs w:val="22"/>
        </w:rPr>
        <w:t xml:space="preserve"> </w:t>
      </w:r>
      <w:r w:rsidRPr="00ED302C">
        <w:rPr>
          <w:spacing w:val="-1"/>
          <w:szCs w:val="22"/>
        </w:rPr>
        <w:t>Commission’s</w:t>
      </w:r>
      <w:r w:rsidRPr="00ED302C">
        <w:rPr>
          <w:spacing w:val="-5"/>
          <w:szCs w:val="22"/>
        </w:rPr>
        <w:t xml:space="preserve"> </w:t>
      </w:r>
      <w:r w:rsidRPr="00ED302C">
        <w:rPr>
          <w:szCs w:val="22"/>
        </w:rPr>
        <w:t>rules,</w:t>
      </w:r>
      <w:r w:rsidRPr="00ED302C">
        <w:rPr>
          <w:spacing w:val="-4"/>
          <w:szCs w:val="22"/>
        </w:rPr>
        <w:t xml:space="preserve"> </w:t>
      </w:r>
      <w:r w:rsidRPr="00ED302C">
        <w:rPr>
          <w:szCs w:val="22"/>
        </w:rPr>
        <w:t>47</w:t>
      </w:r>
      <w:r w:rsidRPr="00ED302C">
        <w:rPr>
          <w:spacing w:val="-5"/>
          <w:szCs w:val="22"/>
        </w:rPr>
        <w:t xml:space="preserve"> </w:t>
      </w:r>
      <w:r w:rsidRPr="00ED302C">
        <w:rPr>
          <w:szCs w:val="22"/>
        </w:rPr>
        <w:t>CFR §§</w:t>
      </w:r>
      <w:r w:rsidRPr="00ED302C">
        <w:rPr>
          <w:spacing w:val="-2"/>
          <w:szCs w:val="22"/>
        </w:rPr>
        <w:t xml:space="preserve"> </w:t>
      </w:r>
      <w:r w:rsidRPr="00ED302C">
        <w:rPr>
          <w:szCs w:val="22"/>
        </w:rPr>
        <w:t>0.191</w:t>
      </w:r>
      <w:r w:rsidRPr="00ED302C">
        <w:rPr>
          <w:spacing w:val="-1"/>
          <w:szCs w:val="22"/>
        </w:rPr>
        <w:t xml:space="preserve"> </w:t>
      </w:r>
      <w:r w:rsidRPr="00ED302C">
        <w:rPr>
          <w:szCs w:val="22"/>
        </w:rPr>
        <w:t>and</w:t>
      </w:r>
      <w:r w:rsidRPr="00ED302C">
        <w:rPr>
          <w:spacing w:val="-2"/>
          <w:szCs w:val="22"/>
        </w:rPr>
        <w:t xml:space="preserve"> </w:t>
      </w:r>
      <w:r w:rsidRPr="00ED302C">
        <w:rPr>
          <w:szCs w:val="22"/>
        </w:rPr>
        <w:t>0.392.</w:t>
      </w:r>
    </w:p>
    <w:p w:rsidR="00DD3254" w:rsidRPr="00ED302C" w:rsidP="00DD3254">
      <w:pPr>
        <w:pStyle w:val="BodyText"/>
        <w:spacing w:before="154"/>
        <w:ind w:left="0"/>
        <w:rPr>
          <w:snapToGrid w:val="0"/>
          <w:kern w:val="28"/>
        </w:rPr>
      </w:pPr>
    </w:p>
    <w:p w:rsidR="00DD3254" w:rsidRPr="00ED302C" w:rsidP="00DD3254">
      <w:pPr>
        <w:pStyle w:val="BodyText"/>
        <w:spacing w:before="154"/>
        <w:ind w:left="3577" w:firstLine="720"/>
      </w:pPr>
      <w:r w:rsidRPr="00ED302C">
        <w:rPr>
          <w:spacing w:val="-1"/>
        </w:rPr>
        <w:t>FEDERAL</w:t>
      </w:r>
      <w:r w:rsidRPr="00ED302C">
        <w:t xml:space="preserve"> </w:t>
      </w:r>
      <w:r w:rsidRPr="00ED302C">
        <w:rPr>
          <w:spacing w:val="-1"/>
        </w:rPr>
        <w:t>COMMUNICATIONS</w:t>
      </w:r>
      <w:r w:rsidRPr="00ED302C">
        <w:t xml:space="preserve"> </w:t>
      </w:r>
      <w:r w:rsidRPr="00ED302C">
        <w:rPr>
          <w:spacing w:val="-1"/>
        </w:rPr>
        <w:t>COMMISSION</w:t>
      </w:r>
    </w:p>
    <w:p w:rsidR="00DD3254" w:rsidRPr="00ED302C" w:rsidP="00DD3254">
      <w:pPr>
        <w:rPr>
          <w:szCs w:val="22"/>
        </w:rPr>
      </w:pPr>
    </w:p>
    <w:p w:rsidR="00DD3254" w:rsidRPr="00ED302C" w:rsidP="00DD3254">
      <w:pPr>
        <w:rPr>
          <w:szCs w:val="22"/>
        </w:rPr>
      </w:pPr>
    </w:p>
    <w:p w:rsidR="00DD3254" w:rsidRPr="00ED302C" w:rsidP="00DD3254">
      <w:pPr>
        <w:rPr>
          <w:szCs w:val="22"/>
        </w:rPr>
      </w:pPr>
    </w:p>
    <w:p w:rsidR="00DD3254" w:rsidRPr="00ED302C" w:rsidP="00DD3254">
      <w:pPr>
        <w:spacing w:before="2"/>
        <w:rPr>
          <w:szCs w:val="22"/>
        </w:rPr>
      </w:pPr>
    </w:p>
    <w:p w:rsidR="00DD3254" w:rsidRPr="00ED302C" w:rsidP="00DD3254">
      <w:pPr>
        <w:pStyle w:val="BodyText"/>
        <w:ind w:left="4297" w:right="3533"/>
        <w:jc w:val="center"/>
      </w:pPr>
      <w:bookmarkStart w:id="9" w:name="sp_999_4"/>
      <w:bookmarkStart w:id="10" w:name="SDU_4"/>
      <w:bookmarkEnd w:id="9"/>
      <w:bookmarkEnd w:id="10"/>
      <w:r w:rsidRPr="00ED302C">
        <w:t>Lisa</w:t>
      </w:r>
      <w:r w:rsidRPr="00ED302C">
        <w:rPr>
          <w:spacing w:val="-3"/>
        </w:rPr>
        <w:t xml:space="preserve"> </w:t>
      </w:r>
      <w:r w:rsidRPr="00ED302C">
        <w:rPr>
          <w:spacing w:val="-1"/>
        </w:rPr>
        <w:t>M.</w:t>
      </w:r>
      <w:r w:rsidRPr="00ED302C">
        <w:rPr>
          <w:spacing w:val="-2"/>
        </w:rPr>
        <w:t xml:space="preserve"> </w:t>
      </w:r>
      <w:r w:rsidRPr="00ED302C">
        <w:rPr>
          <w:spacing w:val="-1"/>
        </w:rPr>
        <w:t>Fowlkes</w:t>
      </w:r>
    </w:p>
    <w:p w:rsidR="00DD3254" w:rsidRPr="00ED302C" w:rsidP="00DD3254">
      <w:pPr>
        <w:pStyle w:val="BodyText"/>
        <w:ind w:left="4297" w:right="271" w:firstLine="23"/>
      </w:pPr>
      <w:r w:rsidRPr="00ED302C">
        <w:t>Chief,</w:t>
      </w:r>
      <w:r w:rsidRPr="00ED302C">
        <w:rPr>
          <w:spacing w:val="-7"/>
        </w:rPr>
        <w:t xml:space="preserve"> </w:t>
      </w:r>
      <w:r w:rsidRPr="00ED302C">
        <w:rPr>
          <w:spacing w:val="-1"/>
        </w:rPr>
        <w:t>Public</w:t>
      </w:r>
      <w:r w:rsidRPr="00ED302C">
        <w:rPr>
          <w:spacing w:val="-7"/>
        </w:rPr>
        <w:t xml:space="preserve"> </w:t>
      </w:r>
      <w:r w:rsidRPr="00ED302C">
        <w:rPr>
          <w:spacing w:val="-1"/>
        </w:rPr>
        <w:t>Safety</w:t>
      </w:r>
      <w:r w:rsidRPr="00ED302C">
        <w:rPr>
          <w:spacing w:val="-7"/>
        </w:rPr>
        <w:t xml:space="preserve"> </w:t>
      </w:r>
      <w:r w:rsidRPr="00ED302C">
        <w:t>and</w:t>
      </w:r>
      <w:r w:rsidRPr="00ED302C">
        <w:rPr>
          <w:spacing w:val="-8"/>
        </w:rPr>
        <w:t xml:space="preserve"> </w:t>
      </w:r>
      <w:r w:rsidRPr="00ED302C">
        <w:rPr>
          <w:spacing w:val="-1"/>
        </w:rPr>
        <w:t>Homeland</w:t>
      </w:r>
      <w:r w:rsidRPr="00ED302C">
        <w:rPr>
          <w:spacing w:val="-8"/>
        </w:rPr>
        <w:t xml:space="preserve"> </w:t>
      </w:r>
      <w:r w:rsidRPr="00ED302C">
        <w:rPr>
          <w:spacing w:val="-1"/>
        </w:rPr>
        <w:t>Security</w:t>
      </w:r>
      <w:r w:rsidRPr="00ED302C">
        <w:rPr>
          <w:spacing w:val="-8"/>
        </w:rPr>
        <w:t xml:space="preserve"> </w:t>
      </w:r>
      <w:r w:rsidRPr="00ED302C">
        <w:t>Bureau</w:t>
      </w:r>
    </w:p>
    <w:p w:rsidR="00DD3254" w:rsidRPr="00ED302C" w:rsidP="00DD3254">
      <w:pPr>
        <w:ind w:left="4320"/>
        <w:rPr>
          <w:spacing w:val="-1"/>
          <w:szCs w:val="22"/>
        </w:rPr>
      </w:pPr>
      <w:r w:rsidRPr="00ED302C">
        <w:rPr>
          <w:spacing w:val="-1"/>
          <w:szCs w:val="22"/>
        </w:rPr>
        <w:t>Federal</w:t>
      </w:r>
      <w:r w:rsidRPr="00ED302C">
        <w:rPr>
          <w:spacing w:val="-15"/>
          <w:szCs w:val="22"/>
        </w:rPr>
        <w:t xml:space="preserve"> </w:t>
      </w:r>
      <w:r w:rsidRPr="00ED302C">
        <w:rPr>
          <w:spacing w:val="-1"/>
          <w:szCs w:val="22"/>
        </w:rPr>
        <w:t>Communications</w:t>
      </w:r>
      <w:r w:rsidRPr="00ED302C">
        <w:rPr>
          <w:spacing w:val="-15"/>
          <w:szCs w:val="22"/>
        </w:rPr>
        <w:t xml:space="preserve"> </w:t>
      </w:r>
      <w:r w:rsidRPr="00ED302C">
        <w:rPr>
          <w:spacing w:val="-1"/>
          <w:szCs w:val="22"/>
        </w:rPr>
        <w:t>Commission</w:t>
      </w:r>
    </w:p>
    <w:p w:rsidR="00412FC5" w:rsidRPr="00DD3254" w:rsidP="00DD3254"/>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5</w:t>
    </w:r>
    <w:r>
      <w:rPr>
        <w:noProof/>
      </w:rP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70791">
      <w:r>
        <w:separator/>
      </w:r>
    </w:p>
  </w:footnote>
  <w:footnote w:type="continuationSeparator" w:id="1">
    <w:p w:rsidR="00770791" w:rsidP="00C721AC">
      <w:pPr>
        <w:spacing w:before="120"/>
        <w:rPr>
          <w:sz w:val="20"/>
        </w:rPr>
      </w:pPr>
      <w:r>
        <w:rPr>
          <w:sz w:val="20"/>
        </w:rPr>
        <w:t xml:space="preserve">(Continued from previous page)  </w:t>
      </w:r>
      <w:r>
        <w:rPr>
          <w:sz w:val="20"/>
        </w:rPr>
        <w:separator/>
      </w:r>
    </w:p>
  </w:footnote>
  <w:footnote w:type="continuationNotice" w:id="2">
    <w:p w:rsidR="00770791" w:rsidP="00C721AC">
      <w:pPr>
        <w:jc w:val="right"/>
        <w:rPr>
          <w:sz w:val="20"/>
        </w:rPr>
      </w:pPr>
      <w:r>
        <w:rPr>
          <w:sz w:val="20"/>
        </w:rPr>
        <w:t>(continued….)</w:t>
      </w:r>
    </w:p>
  </w:footnote>
  <w:footnote w:id="3">
    <w:p w:rsidR="00DD3254" w:rsidRPr="007E1904" w:rsidP="00DD3254">
      <w:pPr>
        <w:pStyle w:val="FootnoteText"/>
      </w:pPr>
      <w:r w:rsidRPr="007E1904">
        <w:rPr>
          <w:rStyle w:val="FootnoteReference"/>
        </w:rPr>
        <w:footnoteRef/>
      </w:r>
      <w:r w:rsidRPr="007E1904">
        <w:t xml:space="preserve"> </w:t>
      </w:r>
      <w:r w:rsidRPr="007E1904">
        <w:rPr>
          <w:color w:val="000000"/>
        </w:rPr>
        <w:t>The Commission’s rules define EAS Participants as broadcast stations; cable systems; wireline video systems; wireless cable systems; direct broadcast satellite service providers; and digital audio radio service providers.  47 CFR § 11.11(a).</w:t>
      </w:r>
    </w:p>
  </w:footnote>
  <w:footnote w:id="4">
    <w:p w:rsidR="00DD3254" w:rsidRPr="007E1904" w:rsidP="00DD3254">
      <w:pPr>
        <w:pStyle w:val="FootnoteText"/>
      </w:pPr>
      <w:r w:rsidRPr="007E1904">
        <w:rPr>
          <w:rStyle w:val="FootnoteReference"/>
        </w:rPr>
        <w:footnoteRef/>
      </w:r>
      <w:r w:rsidRPr="007E1904">
        <w:t xml:space="preserve"> Participating CMS Providers are commercial mobile service providers that have elected voluntarily to transmit WEA alert messages.  47 CFR § 10.10(d), </w:t>
      </w:r>
      <w:r>
        <w:fldChar w:fldCharType="begin"/>
      </w:r>
      <w:r>
        <w:instrText xml:space="preserve"> HYPERLINK "https://1.next.westlaw.com/Link/Document/FullText?findType=L&amp;pubNum=1000547&amp;cite=47CFRS10.10&amp;originatingDoc=Ibfa320bd29dd11e8a2e69b122173a65f&amp;refType=RB&amp;originationContext=document&amp;transitionType=DocumentItem&amp;contextData=(sc.Search)" \l "co_pp_ae0d0000c5150" </w:instrText>
      </w:r>
      <w:r>
        <w:fldChar w:fldCharType="separate"/>
      </w:r>
      <w:r w:rsidRPr="007E1904">
        <w:t>(f)</w:t>
      </w:r>
      <w:r>
        <w:fldChar w:fldCharType="end"/>
      </w:r>
      <w:r w:rsidRPr="007E1904">
        <w:t>.</w:t>
      </w:r>
    </w:p>
  </w:footnote>
  <w:footnote w:id="5">
    <w:p w:rsidR="00DD3254" w:rsidRPr="007E1904" w:rsidP="00DD3254">
      <w:pPr>
        <w:pStyle w:val="FootnoteText"/>
      </w:pPr>
      <w:r w:rsidRPr="007E1904">
        <w:rPr>
          <w:rStyle w:val="FootnoteReference"/>
        </w:rPr>
        <w:footnoteRef/>
      </w:r>
      <w:r w:rsidRPr="007E1904">
        <w:t xml:space="preserve"> </w:t>
      </w:r>
      <w:r w:rsidRPr="007E1904">
        <w:rPr>
          <w:i/>
        </w:rPr>
        <w:t>See</w:t>
      </w:r>
      <w:r w:rsidRPr="007E1904">
        <w:t xml:space="preserve"> Letter</w:t>
      </w:r>
      <w:r w:rsidRPr="007E1904">
        <w:rPr>
          <w:color w:val="000000"/>
        </w:rPr>
        <w:t xml:space="preserve"> from </w:t>
      </w:r>
      <w:r w:rsidRPr="004A6085">
        <w:rPr>
          <w:color w:val="000000"/>
        </w:rPr>
        <w:t>Carlos Acevedo</w:t>
      </w:r>
      <w:r w:rsidRPr="007E1904">
        <w:t xml:space="preserve">, </w:t>
      </w:r>
      <w:r>
        <w:t>Commissioner</w:t>
      </w:r>
      <w:r w:rsidRPr="007E1904">
        <w:t xml:space="preserve">, </w:t>
      </w:r>
      <w:r w:rsidRPr="00034502">
        <w:t>Puerto Rico Emergency Management Bureau</w:t>
      </w:r>
      <w:r w:rsidRPr="007E1904">
        <w:rPr>
          <w:color w:val="000000"/>
        </w:rPr>
        <w:t>, to Marlene Dortch, Secretary, Federal Communications Commission (</w:t>
      </w:r>
      <w:r w:rsidRPr="008040E9">
        <w:rPr>
          <w:color w:val="000000"/>
        </w:rPr>
        <w:t>filed August 30, 2018)</w:t>
      </w:r>
      <w:r w:rsidRPr="007E1904">
        <w:rPr>
          <w:color w:val="000000"/>
        </w:rPr>
        <w:t xml:space="preserve"> (on file in PS</w:t>
      </w:r>
      <w:r>
        <w:rPr>
          <w:color w:val="000000"/>
        </w:rPr>
        <w:t xml:space="preserve"> Docket No.</w:t>
      </w:r>
      <w:r w:rsidRPr="007E1904">
        <w:rPr>
          <w:color w:val="000000"/>
        </w:rPr>
        <w:t xml:space="preserve"> 15-91) (</w:t>
      </w:r>
      <w:r>
        <w:rPr>
          <w:color w:val="000000"/>
        </w:rPr>
        <w:t>PREMB</w:t>
      </w:r>
      <w:r w:rsidRPr="007E1904">
        <w:rPr>
          <w:color w:val="000000"/>
        </w:rPr>
        <w:t xml:space="preserve"> Letter).</w:t>
      </w:r>
    </w:p>
  </w:footnote>
  <w:footnote w:id="6">
    <w:p w:rsidR="00DD3254" w:rsidRPr="007E1904" w:rsidP="00DD3254">
      <w:pPr>
        <w:pStyle w:val="FootnoteText"/>
      </w:pPr>
      <w:r w:rsidRPr="007E1904">
        <w:rPr>
          <w:rStyle w:val="FootnoteReference"/>
        </w:rPr>
        <w:footnoteRef/>
      </w:r>
      <w:r w:rsidRPr="007E1904">
        <w:t xml:space="preserve"> 47 CFR § 11</w:t>
      </w:r>
      <w:r>
        <w:t>.1</w:t>
      </w:r>
      <w:r w:rsidRPr="007E1904">
        <w:t xml:space="preserve"> </w:t>
      </w:r>
      <w:r w:rsidRPr="007E1904">
        <w:rPr>
          <w:i/>
        </w:rPr>
        <w:t>et seq.  See also Review of the Emergency Alert System</w:t>
      </w:r>
      <w:r w:rsidRPr="007E1904">
        <w:t>, EB Docket No. 04-296, Sixth Report and Order, 30 FCC Rcd 6520 (2015).</w:t>
      </w:r>
    </w:p>
  </w:footnote>
  <w:footnote w:id="7">
    <w:p w:rsidR="00DD3254" w:rsidRPr="007E1904" w:rsidP="00DD3254">
      <w:pPr>
        <w:pStyle w:val="FootnoteText"/>
      </w:pPr>
      <w:r w:rsidRPr="007E1904">
        <w:rPr>
          <w:rStyle w:val="FootnoteReference"/>
        </w:rPr>
        <w:footnoteRef/>
      </w:r>
      <w:r w:rsidRPr="007E1904">
        <w:t xml:space="preserve"> 47 CFR § 11.1.  </w:t>
      </w:r>
      <w:r w:rsidRPr="007E1904">
        <w:rPr>
          <w:i/>
        </w:rPr>
        <w:t>See</w:t>
      </w:r>
      <w:r w:rsidRPr="007E1904">
        <w:t xml:space="preserve"> </w:t>
      </w:r>
      <w:r w:rsidRPr="007E1904">
        <w:rPr>
          <w:i/>
        </w:rPr>
        <w:t>Review of the Emergency Alert System</w:t>
      </w:r>
      <w:r w:rsidRPr="007E1904">
        <w:t>, EB Docket No. 04-296, First Report and Order and Further Notice of Proposed Rulemaking, 20 FCC Rcd 18625, 18628, para. 8 (2005) (</w:t>
      </w:r>
      <w:r w:rsidRPr="007E1904">
        <w:rPr>
          <w:i/>
        </w:rPr>
        <w:t>First Report and Order</w:t>
      </w:r>
      <w:r w:rsidRPr="007E1904">
        <w:t xml:space="preserve">).  The FCC, the Federal Emergency Management Agency (FEMA), and the National Weather Service (NWS) implement the EAS at the federal level.  </w:t>
      </w:r>
      <w:r w:rsidRPr="007E1904">
        <w:rPr>
          <w:i/>
        </w:rPr>
        <w:t>See</w:t>
      </w:r>
      <w:r w:rsidRPr="007E1904">
        <w:t xml:space="preserve"> Presidential Communications with the General Public During Periods of National Emergency, The White House (September 15, 1995).</w:t>
      </w:r>
    </w:p>
  </w:footnote>
  <w:footnote w:id="8">
    <w:p w:rsidR="00DD3254" w:rsidRPr="007E1904" w:rsidP="00DD3254">
      <w:pPr>
        <w:pStyle w:val="FootnoteText"/>
      </w:pPr>
      <w:r w:rsidRPr="007E1904">
        <w:rPr>
          <w:rStyle w:val="FootnoteReference"/>
        </w:rPr>
        <w:footnoteRef/>
      </w:r>
      <w:r w:rsidRPr="007E1904">
        <w:t xml:space="preserve"> 47 CFR § 11.55(a); </w:t>
      </w:r>
      <w:r w:rsidRPr="007E1904">
        <w:rPr>
          <w:i/>
        </w:rPr>
        <w:t>First Report and Order</w:t>
      </w:r>
      <w:r w:rsidRPr="007E1904">
        <w:t xml:space="preserve">, 20 FCC Rcd at 18628, para. 8.  While EAS Participants are required to broadcast Presidential Alerts, they participate in broadcasting state and local EAS alerts on a voluntary basis.  </w:t>
      </w:r>
      <w:r w:rsidRPr="007E1904">
        <w:rPr>
          <w:i/>
        </w:rPr>
        <w:t>Id.</w:t>
      </w:r>
    </w:p>
  </w:footnote>
  <w:footnote w:id="9">
    <w:p w:rsidR="00DD3254" w:rsidRPr="007E1904" w:rsidP="00DD3254">
      <w:pPr>
        <w:pStyle w:val="FootnoteText"/>
      </w:pPr>
      <w:r w:rsidRPr="007E1904">
        <w:rPr>
          <w:rStyle w:val="FootnoteReference"/>
        </w:rPr>
        <w:footnoteRef/>
      </w:r>
      <w:r w:rsidRPr="007E1904">
        <w:t xml:space="preserve"> </w:t>
      </w:r>
      <w:r w:rsidRPr="007E1904">
        <w:rPr>
          <w:i/>
        </w:rPr>
        <w:t>See</w:t>
      </w:r>
      <w:r w:rsidRPr="007E1904">
        <w:t xml:space="preserve"> Communications Security, Reliability and Interoperability Council IV, Working Group Three, Emergency Alert System, State EAS Plans Subcommittee, Final Report at 14 (March 2014), </w:t>
      </w:r>
      <w:r>
        <w:fldChar w:fldCharType="begin"/>
      </w:r>
      <w:r>
        <w:instrText xml:space="preserve"> HYPERLINK "https://transition.fcc.gov/pshs/advisory/csric4/CSRIC_IV_WG3_EAS_Plans_Final_Report_032514.pdf" </w:instrText>
      </w:r>
      <w:r>
        <w:fldChar w:fldCharType="separate"/>
      </w:r>
      <w:r w:rsidRPr="0015491E" w:rsidR="006753B3">
        <w:rPr>
          <w:rStyle w:val="Hyperlink"/>
        </w:rPr>
        <w:t>https://transition.fcc.gov/pshs/advisory/csric4/CSRIC_IV_WG3_EAS_Plans_Final_Report_032514.pdf</w:t>
      </w:r>
      <w:r>
        <w:fldChar w:fldCharType="end"/>
      </w:r>
      <w:r w:rsidR="006753B3">
        <w:t xml:space="preserve"> </w:t>
      </w:r>
      <w:r w:rsidRPr="007E1904">
        <w:t>(CSRIC EAS State Plan Report).</w:t>
      </w:r>
    </w:p>
  </w:footnote>
  <w:footnote w:id="10">
    <w:p w:rsidR="00DD3254" w:rsidRPr="007E1904" w:rsidP="00DD3254">
      <w:pPr>
        <w:pStyle w:val="FootnoteText"/>
      </w:pPr>
      <w:r w:rsidRPr="007E1904">
        <w:rPr>
          <w:rStyle w:val="FootnoteReference"/>
        </w:rPr>
        <w:footnoteRef/>
      </w:r>
      <w:r w:rsidRPr="007E1904">
        <w:t xml:space="preserve"> 47 CFR §11.61.</w:t>
      </w:r>
    </w:p>
  </w:footnote>
  <w:footnote w:id="11">
    <w:p w:rsidR="00DD3254" w:rsidRPr="007E1904" w:rsidP="00DD3254">
      <w:pPr>
        <w:pStyle w:val="FootnoteText"/>
      </w:pPr>
      <w:r w:rsidRPr="007E1904">
        <w:rPr>
          <w:rStyle w:val="FootnoteReference"/>
        </w:rPr>
        <w:footnoteRef/>
      </w:r>
      <w:r w:rsidRPr="007E1904">
        <w:t xml:space="preserve"> 47 CFR §§ 11.45, 11.46.</w:t>
      </w:r>
    </w:p>
  </w:footnote>
  <w:footnote w:id="12">
    <w:p w:rsidR="00DD3254" w:rsidRPr="007E1904" w:rsidP="00DD3254">
      <w:pPr>
        <w:pStyle w:val="FootnoteText"/>
      </w:pPr>
      <w:r w:rsidRPr="007E1904">
        <w:rPr>
          <w:rStyle w:val="FootnoteReference"/>
        </w:rPr>
        <w:footnoteRef/>
      </w:r>
      <w:r w:rsidRPr="007E1904">
        <w:t xml:space="preserve"> </w:t>
      </w:r>
      <w:r w:rsidRPr="007E1904">
        <w:rPr>
          <w:i/>
        </w:rPr>
        <w:t>Commercial Mobile Alert System</w:t>
      </w:r>
      <w:r w:rsidRPr="007E1904">
        <w:t>, PS Docket No. 07-287, Third Report and Order, 23 FCC Rcd 12561, 12575, para. 32 (2008) (stating the requirements for wireless providers volunteering to participate in WEA).</w:t>
      </w:r>
    </w:p>
  </w:footnote>
  <w:footnote w:id="13">
    <w:p w:rsidR="00DD3254" w:rsidRPr="007E1904" w:rsidP="00DD3254">
      <w:pPr>
        <w:pStyle w:val="FootnoteText"/>
      </w:pPr>
      <w:r w:rsidRPr="007E1904">
        <w:rPr>
          <w:rStyle w:val="FootnoteReference"/>
        </w:rPr>
        <w:footnoteRef/>
      </w:r>
      <w:r w:rsidRPr="007E1904">
        <w:t xml:space="preserve"> 47 CFR § 10.520(d).  The Attention Signal is a loud, attention-grabbing, two-tone audio signal that uses frequencies and sounds identical to the attention signal used by the EAS.  </w:t>
      </w:r>
      <w:r w:rsidRPr="007E1904">
        <w:rPr>
          <w:i/>
        </w:rPr>
        <w:t>Compare</w:t>
      </w:r>
      <w:r w:rsidRPr="007E1904">
        <w:t xml:space="preserve"> 47 CFR § 10.520 </w:t>
      </w:r>
      <w:r w:rsidRPr="007E1904">
        <w:rPr>
          <w:i/>
        </w:rPr>
        <w:t>with</w:t>
      </w:r>
      <w:r w:rsidRPr="007E1904">
        <w:t xml:space="preserve"> 47 CFR § 11.31(a)(2).</w:t>
      </w:r>
    </w:p>
  </w:footnote>
  <w:footnote w:id="14">
    <w:p w:rsidR="00DD3254" w:rsidRPr="007E1904" w:rsidP="00DD3254">
      <w:pPr>
        <w:pStyle w:val="FootnoteText"/>
      </w:pPr>
      <w:r w:rsidRPr="007E1904">
        <w:rPr>
          <w:rStyle w:val="FootnoteReference"/>
        </w:rPr>
        <w:footnoteRef/>
      </w:r>
      <w:r w:rsidRPr="007E1904">
        <w:t xml:space="preserve"> 47 CFR</w:t>
      </w:r>
      <w:r w:rsidRPr="007E1904">
        <w:rPr>
          <w:i/>
        </w:rPr>
        <w:t xml:space="preserve"> </w:t>
      </w:r>
      <w:r w:rsidRPr="007E1904">
        <w:t xml:space="preserve">§ 10.350.  Specifically, the Commission’s rules require Participating CMS Providers to participate in monthly tests initiated by FEMA and in periodic tests of WEA’s C-Interface.  </w:t>
      </w:r>
      <w:r w:rsidRPr="007E1904">
        <w:rPr>
          <w:i/>
        </w:rPr>
        <w:t>Id.</w:t>
      </w:r>
    </w:p>
  </w:footnote>
  <w:footnote w:id="15">
    <w:p w:rsidR="00DD3254" w:rsidRPr="007E1904" w:rsidP="00DD3254">
      <w:pPr>
        <w:pStyle w:val="FootnoteText"/>
      </w:pPr>
      <w:r w:rsidRPr="007E1904">
        <w:rPr>
          <w:rStyle w:val="FootnoteReference"/>
        </w:rPr>
        <w:footnoteRef/>
      </w:r>
      <w:r w:rsidRPr="007E1904">
        <w:t xml:space="preserve"> </w:t>
      </w:r>
      <w:r w:rsidRPr="007E1904">
        <w:rPr>
          <w:i/>
        </w:rPr>
        <w:t>Wireless Emergency Alerts; Amendments to Part 11 of the Commission’s Rules Regarding the Emergency Alert System</w:t>
      </w:r>
      <w:r w:rsidRPr="007E1904">
        <w:t xml:space="preserve">, </w:t>
      </w:r>
      <w:r w:rsidRPr="007E1904">
        <w:rPr>
          <w:iCs/>
        </w:rPr>
        <w:t>31 FCC Rcd 11112</w:t>
      </w:r>
      <w:r w:rsidRPr="007E1904">
        <w:t>, 11154-11157, paras. 65-68 (2016)</w:t>
      </w:r>
      <w:r>
        <w:t xml:space="preserve"> (</w:t>
      </w:r>
      <w:r w:rsidRPr="00383471">
        <w:rPr>
          <w:i/>
        </w:rPr>
        <w:t>WEA R&amp;O</w:t>
      </w:r>
      <w:r>
        <w:t>)</w:t>
      </w:r>
      <w:r w:rsidRPr="007E1904">
        <w:t>.</w:t>
      </w:r>
    </w:p>
  </w:footnote>
  <w:footnote w:id="16">
    <w:p w:rsidR="00DD3254" w:rsidRPr="007E1904" w:rsidP="00DD3254">
      <w:pPr>
        <w:pStyle w:val="FootnoteText"/>
      </w:pPr>
      <w:r w:rsidRPr="007E1904">
        <w:rPr>
          <w:rStyle w:val="FootnoteReference"/>
        </w:rPr>
        <w:footnoteRef/>
      </w:r>
      <w:r w:rsidRPr="007E1904">
        <w:t xml:space="preserve"> </w:t>
      </w:r>
      <w:r w:rsidRPr="007E1904">
        <w:rPr>
          <w:i/>
        </w:rPr>
        <w:t xml:space="preserve">Id. </w:t>
      </w:r>
      <w:r w:rsidRPr="007E1904">
        <w:t>at 11161, 11165, paras</w:t>
      </w:r>
      <w:r>
        <w:t>.</w:t>
      </w:r>
      <w:r w:rsidRPr="007E1904">
        <w:t xml:space="preserve"> 79, 85 (stating that the deadline for state and local testing is 30 months after the rule’s publication in the Federal Register</w:t>
      </w:r>
      <w:r w:rsidRPr="00397F08">
        <w:rPr>
          <w:i/>
        </w:rPr>
        <w:t xml:space="preserve">); </w:t>
      </w:r>
      <w:r w:rsidRPr="00397F08">
        <w:rPr>
          <w:i/>
          <w:iCs/>
        </w:rPr>
        <w:t xml:space="preserve">Federal Communications Commission, </w:t>
      </w:r>
      <w:r w:rsidRPr="00397F08">
        <w:rPr>
          <w:i/>
        </w:rPr>
        <w:t>Wireless Emergency Alerts, Amendments to Rules Regarding the Emergency Alert System</w:t>
      </w:r>
      <w:r w:rsidRPr="007E1904">
        <w:rPr>
          <w:i/>
        </w:rPr>
        <w:t>,</w:t>
      </w:r>
      <w:r w:rsidRPr="007E1904">
        <w:rPr>
          <w:iCs/>
        </w:rPr>
        <w:t xml:space="preserve"> 81 Fed. Reg. 75710 </w:t>
      </w:r>
      <w:r w:rsidRPr="007E1904">
        <w:t>(Nov. 1, 2016) (establishing the date of Federal Register publication).</w:t>
      </w:r>
    </w:p>
  </w:footnote>
  <w:footnote w:id="17">
    <w:p w:rsidR="00DD3254" w:rsidRPr="007E1904" w:rsidP="00DD3254">
      <w:pPr>
        <w:pStyle w:val="FootnoteText"/>
      </w:pPr>
      <w:r w:rsidRPr="007E1904">
        <w:rPr>
          <w:rStyle w:val="FootnoteReference"/>
        </w:rPr>
        <w:footnoteRef/>
      </w:r>
      <w:r w:rsidRPr="007E1904">
        <w:t xml:space="preserve"> </w:t>
      </w:r>
      <w:r>
        <w:t>PREMB</w:t>
      </w:r>
      <w:r w:rsidRPr="007E1904">
        <w:t xml:space="preserve"> Letter at 1.</w:t>
      </w:r>
    </w:p>
  </w:footnote>
  <w:footnote w:id="18">
    <w:p w:rsidR="00DD3254" w:rsidP="00DD3254">
      <w:pPr>
        <w:pStyle w:val="FootnoteText"/>
      </w:pPr>
      <w:r>
        <w:rPr>
          <w:rStyle w:val="FootnoteReference"/>
        </w:rPr>
        <w:footnoteRef/>
      </w:r>
      <w:r>
        <w:t xml:space="preserve"> </w:t>
      </w:r>
      <w:r w:rsidRPr="002F322B">
        <w:rPr>
          <w:i/>
        </w:rPr>
        <w:t>Id.</w:t>
      </w:r>
      <w:r>
        <w:t xml:space="preserve"> at 2.</w:t>
      </w:r>
    </w:p>
  </w:footnote>
  <w:footnote w:id="19">
    <w:p w:rsidR="00DD3254" w:rsidP="00DD3254">
      <w:pPr>
        <w:pStyle w:val="FootnoteText"/>
      </w:pPr>
      <w:r>
        <w:rPr>
          <w:rStyle w:val="FootnoteReference"/>
        </w:rPr>
        <w:footnoteRef/>
      </w:r>
      <w:r>
        <w:t xml:space="preserve"> </w:t>
      </w:r>
      <w:r w:rsidRPr="008040E9">
        <w:rPr>
          <w:i/>
        </w:rPr>
        <w:t>Id.</w:t>
      </w:r>
      <w:r>
        <w:t xml:space="preserve"> at 1.</w:t>
      </w:r>
    </w:p>
  </w:footnote>
  <w:footnote w:id="20">
    <w:p w:rsidR="00DD3254" w:rsidP="00DD3254">
      <w:pPr>
        <w:pStyle w:val="FootnoteText"/>
      </w:pPr>
      <w:r>
        <w:rPr>
          <w:rStyle w:val="FootnoteReference"/>
        </w:rPr>
        <w:footnoteRef/>
      </w:r>
      <w:r>
        <w:t xml:space="preserve"> </w:t>
      </w:r>
      <w:r w:rsidRPr="002F322B">
        <w:rPr>
          <w:i/>
        </w:rPr>
        <w:t>Id.</w:t>
      </w:r>
    </w:p>
  </w:footnote>
  <w:footnote w:id="21">
    <w:p w:rsidR="00DD3254" w:rsidP="00DD3254">
      <w:pPr>
        <w:pStyle w:val="FootnoteText"/>
      </w:pPr>
      <w:r>
        <w:rPr>
          <w:rStyle w:val="FootnoteReference"/>
        </w:rPr>
        <w:footnoteRef/>
      </w:r>
      <w:r>
        <w:t xml:space="preserve"> </w:t>
      </w:r>
      <w:r w:rsidRPr="002F322B">
        <w:rPr>
          <w:i/>
        </w:rPr>
        <w:t>Id.</w:t>
      </w:r>
      <w:r>
        <w:t xml:space="preserve"> at 1-2.</w:t>
      </w:r>
    </w:p>
  </w:footnote>
  <w:footnote w:id="22">
    <w:p w:rsidR="00DD3254" w:rsidP="00DD3254">
      <w:pPr>
        <w:pStyle w:val="FootnoteText"/>
      </w:pPr>
      <w:r>
        <w:rPr>
          <w:rStyle w:val="FootnoteReference"/>
        </w:rPr>
        <w:footnoteRef/>
      </w:r>
      <w:r>
        <w:t xml:space="preserve"> </w:t>
      </w:r>
      <w:r w:rsidRPr="005563B1">
        <w:rPr>
          <w:i/>
        </w:rPr>
        <w:t>Id.</w:t>
      </w:r>
      <w:r>
        <w:t xml:space="preserve"> at 1.</w:t>
      </w:r>
    </w:p>
  </w:footnote>
  <w:footnote w:id="23">
    <w:p w:rsidR="00DD3254" w:rsidP="00DD3254">
      <w:pPr>
        <w:pStyle w:val="FootnoteText"/>
      </w:pPr>
      <w:r>
        <w:rPr>
          <w:rStyle w:val="FootnoteReference"/>
        </w:rPr>
        <w:footnoteRef/>
      </w:r>
      <w:r>
        <w:t xml:space="preserve"> </w:t>
      </w:r>
      <w:r w:rsidRPr="005563B1">
        <w:rPr>
          <w:i/>
        </w:rPr>
        <w:t>Id.</w:t>
      </w:r>
    </w:p>
  </w:footnote>
  <w:footnote w:id="24">
    <w:p w:rsidR="00DD3254" w:rsidP="00DD3254">
      <w:pPr>
        <w:pStyle w:val="FootnoteText"/>
      </w:pPr>
      <w:r>
        <w:rPr>
          <w:rStyle w:val="FootnoteReference"/>
        </w:rPr>
        <w:footnoteRef/>
      </w:r>
      <w:r>
        <w:t xml:space="preserve"> Letter from Mario R. Barrera Orozco, Chief Operating Officer, Puerto Rico Telephone Company, to </w:t>
      </w:r>
      <w:r w:rsidRPr="007E1904">
        <w:rPr>
          <w:color w:val="000000"/>
        </w:rPr>
        <w:t>Marlene Dortch, Secretary, Federal Communications Commission (</w:t>
      </w:r>
      <w:r w:rsidRPr="008040E9">
        <w:rPr>
          <w:color w:val="000000"/>
        </w:rPr>
        <w:t xml:space="preserve">filed </w:t>
      </w:r>
      <w:r>
        <w:rPr>
          <w:color w:val="000000"/>
        </w:rPr>
        <w:t xml:space="preserve">September </w:t>
      </w:r>
      <w:r w:rsidRPr="008755A2">
        <w:rPr>
          <w:color w:val="000000"/>
        </w:rPr>
        <w:t>6,</w:t>
      </w:r>
      <w:r w:rsidRPr="008040E9">
        <w:rPr>
          <w:color w:val="000000"/>
        </w:rPr>
        <w:t xml:space="preserve"> 2018)</w:t>
      </w:r>
      <w:r w:rsidRPr="007E1904">
        <w:rPr>
          <w:color w:val="000000"/>
        </w:rPr>
        <w:t xml:space="preserve"> (on file in PS</w:t>
      </w:r>
      <w:r>
        <w:rPr>
          <w:color w:val="000000"/>
        </w:rPr>
        <w:t xml:space="preserve"> Docket No.</w:t>
      </w:r>
      <w:r w:rsidRPr="007E1904">
        <w:rPr>
          <w:color w:val="000000"/>
        </w:rPr>
        <w:t xml:space="preserve"> 15-91) (</w:t>
      </w:r>
      <w:r>
        <w:rPr>
          <w:color w:val="000000"/>
        </w:rPr>
        <w:t xml:space="preserve">Claro </w:t>
      </w:r>
      <w:r w:rsidRPr="007E1904">
        <w:rPr>
          <w:color w:val="000000"/>
        </w:rPr>
        <w:t>Letter).</w:t>
      </w:r>
    </w:p>
  </w:footnote>
  <w:footnote w:id="25">
    <w:p w:rsidR="00DD3254" w:rsidP="00DD3254">
      <w:pPr>
        <w:pStyle w:val="FootnoteText"/>
      </w:pPr>
      <w:r>
        <w:rPr>
          <w:rStyle w:val="FootnoteReference"/>
        </w:rPr>
        <w:footnoteRef/>
      </w:r>
      <w:r>
        <w:t xml:space="preserve"> </w:t>
      </w:r>
      <w:r w:rsidRPr="00A33925">
        <w:rPr>
          <w:i/>
        </w:rPr>
        <w:t>Id.</w:t>
      </w:r>
    </w:p>
  </w:footnote>
  <w:footnote w:id="26">
    <w:p w:rsidR="00DD3254" w:rsidP="00DD3254">
      <w:pPr>
        <w:pStyle w:val="FootnoteText"/>
      </w:pPr>
      <w:r>
        <w:rPr>
          <w:rStyle w:val="FootnoteReference"/>
        </w:rPr>
        <w:footnoteRef/>
      </w:r>
      <w:r>
        <w:t xml:space="preserve"> </w:t>
      </w:r>
      <w:r w:rsidRPr="00A33925">
        <w:rPr>
          <w:i/>
        </w:rPr>
        <w:t>Id.</w:t>
      </w:r>
    </w:p>
  </w:footnote>
  <w:footnote w:id="27">
    <w:p w:rsidR="001752BB">
      <w:pPr>
        <w:pStyle w:val="FootnoteText"/>
      </w:pPr>
      <w:r>
        <w:rPr>
          <w:rStyle w:val="FootnoteReference"/>
        </w:rPr>
        <w:footnoteRef/>
      </w:r>
      <w:r>
        <w:t xml:space="preserve"> </w:t>
      </w:r>
      <w:r w:rsidRPr="001752BB">
        <w:rPr>
          <w:i/>
        </w:rPr>
        <w:t>Id.</w:t>
      </w:r>
    </w:p>
  </w:footnote>
  <w:footnote w:id="28">
    <w:p w:rsidR="00DD3254" w:rsidP="00DD3254">
      <w:pPr>
        <w:pStyle w:val="FootnoteText"/>
      </w:pPr>
      <w:r>
        <w:rPr>
          <w:rStyle w:val="FootnoteReference"/>
        </w:rPr>
        <w:footnoteRef/>
      </w:r>
      <w:r>
        <w:t xml:space="preserve"> </w:t>
      </w:r>
      <w:r w:rsidR="001752BB">
        <w:t>PREMB Letter</w:t>
      </w:r>
      <w:r>
        <w:t xml:space="preserve"> at 2.</w:t>
      </w:r>
    </w:p>
  </w:footnote>
  <w:footnote w:id="29">
    <w:p w:rsidR="00DD3254" w:rsidP="00DD3254">
      <w:pPr>
        <w:pStyle w:val="FootnoteText"/>
      </w:pPr>
      <w:r>
        <w:rPr>
          <w:rStyle w:val="FootnoteReference"/>
        </w:rPr>
        <w:footnoteRef/>
      </w:r>
      <w:r>
        <w:t xml:space="preserve"> </w:t>
      </w:r>
      <w:r w:rsidRPr="005563B1">
        <w:rPr>
          <w:i/>
        </w:rPr>
        <w:t>Id.</w:t>
      </w:r>
      <w:r>
        <w:t xml:space="preserve"> at 1.</w:t>
      </w:r>
    </w:p>
  </w:footnote>
  <w:footnote w:id="30">
    <w:p w:rsidR="00DD3254" w:rsidP="00DD3254">
      <w:pPr>
        <w:pStyle w:val="FootnoteText"/>
      </w:pPr>
      <w:r>
        <w:rPr>
          <w:rStyle w:val="FootnoteReference"/>
        </w:rPr>
        <w:footnoteRef/>
      </w:r>
      <w:r>
        <w:t xml:space="preserve"> </w:t>
      </w:r>
      <w:r w:rsidRPr="005563B1">
        <w:rPr>
          <w:i/>
        </w:rPr>
        <w:t>Id.</w:t>
      </w:r>
    </w:p>
  </w:footnote>
  <w:footnote w:id="31">
    <w:p w:rsidR="00DD3254" w:rsidP="00DD3254">
      <w:pPr>
        <w:pStyle w:val="FootnoteText"/>
      </w:pPr>
      <w:r>
        <w:rPr>
          <w:rStyle w:val="FootnoteReference"/>
        </w:rPr>
        <w:footnoteRef/>
      </w:r>
      <w:r>
        <w:t xml:space="preserve"> </w:t>
      </w:r>
      <w:r w:rsidRPr="005563B1">
        <w:rPr>
          <w:i/>
        </w:rPr>
        <w:t>Id.</w:t>
      </w:r>
      <w:r>
        <w:t xml:space="preserve"> at 2.</w:t>
      </w:r>
    </w:p>
  </w:footnote>
  <w:footnote w:id="32">
    <w:p w:rsidR="00DD3254" w:rsidP="00DD3254">
      <w:pPr>
        <w:pStyle w:val="FootnoteText"/>
      </w:pPr>
      <w:r>
        <w:rPr>
          <w:rStyle w:val="FootnoteReference"/>
        </w:rPr>
        <w:footnoteRef/>
      </w:r>
      <w:r>
        <w:t xml:space="preserve"> </w:t>
      </w:r>
      <w:r w:rsidRPr="005563B1">
        <w:rPr>
          <w:i/>
        </w:rPr>
        <w:t>Id.</w:t>
      </w:r>
    </w:p>
  </w:footnote>
  <w:footnote w:id="33">
    <w:p w:rsidR="00DD3254" w:rsidP="00DD3254">
      <w:pPr>
        <w:pStyle w:val="FootnoteText"/>
      </w:pPr>
      <w:r>
        <w:rPr>
          <w:rStyle w:val="FootnoteReference"/>
        </w:rPr>
        <w:footnoteRef/>
      </w:r>
      <w:r>
        <w:t xml:space="preserve"> </w:t>
      </w:r>
      <w:r w:rsidRPr="005563B1">
        <w:rPr>
          <w:i/>
        </w:rPr>
        <w:t>Id.</w:t>
      </w:r>
    </w:p>
  </w:footnote>
  <w:footnote w:id="34">
    <w:p w:rsidR="00DD3254" w:rsidRPr="007E1904" w:rsidP="00DD3254">
      <w:pPr>
        <w:pStyle w:val="FootnoteText"/>
      </w:pPr>
      <w:r w:rsidRPr="007E1904">
        <w:rPr>
          <w:rStyle w:val="FootnoteReference"/>
        </w:rPr>
        <w:footnoteRef/>
      </w:r>
      <w:r w:rsidRPr="007E1904">
        <w:t xml:space="preserve"> 47 CFR</w:t>
      </w:r>
      <w:r w:rsidRPr="007E1904">
        <w:rPr>
          <w:spacing w:val="-1"/>
        </w:rPr>
        <w:t xml:space="preserve"> </w:t>
      </w:r>
      <w:r w:rsidRPr="007E1904">
        <w:t>§ 1.3.</w:t>
      </w:r>
    </w:p>
  </w:footnote>
  <w:footnote w:id="35">
    <w:p w:rsidR="00DD3254" w:rsidRPr="007E1904" w:rsidP="00DD3254">
      <w:pPr>
        <w:pStyle w:val="FootnoteText"/>
      </w:pPr>
      <w:r w:rsidRPr="007E1904">
        <w:rPr>
          <w:rStyle w:val="FootnoteReference"/>
        </w:rPr>
        <w:footnoteRef/>
      </w:r>
      <w:r w:rsidRPr="007E1904">
        <w:t xml:space="preserve"> </w:t>
      </w:r>
      <w:r w:rsidRPr="007E1904">
        <w:rPr>
          <w:i/>
        </w:rPr>
        <w:t>See</w:t>
      </w:r>
      <w:r w:rsidRPr="007E1904">
        <w:rPr>
          <w:i/>
          <w:spacing w:val="-3"/>
        </w:rPr>
        <w:t xml:space="preserve"> </w:t>
      </w:r>
      <w:r w:rsidRPr="007E1904">
        <w:rPr>
          <w:i/>
        </w:rPr>
        <w:t>Northeast</w:t>
      </w:r>
      <w:r w:rsidRPr="007E1904">
        <w:rPr>
          <w:i/>
          <w:spacing w:val="-4"/>
        </w:rPr>
        <w:t xml:space="preserve"> </w:t>
      </w:r>
      <w:r w:rsidRPr="007E1904">
        <w:rPr>
          <w:i/>
        </w:rPr>
        <w:t>Cellular</w:t>
      </w:r>
      <w:r w:rsidRPr="007E1904">
        <w:rPr>
          <w:i/>
          <w:spacing w:val="-2"/>
        </w:rPr>
        <w:t xml:space="preserve"> </w:t>
      </w:r>
      <w:r w:rsidRPr="007E1904">
        <w:rPr>
          <w:i/>
          <w:spacing w:val="-1"/>
        </w:rPr>
        <w:t>Telephone</w:t>
      </w:r>
      <w:r w:rsidRPr="007E1904">
        <w:rPr>
          <w:i/>
          <w:spacing w:val="-3"/>
        </w:rPr>
        <w:t xml:space="preserve"> </w:t>
      </w:r>
      <w:r w:rsidRPr="007E1904">
        <w:rPr>
          <w:i/>
        </w:rPr>
        <w:t>Co.</w:t>
      </w:r>
      <w:r w:rsidRPr="007E1904">
        <w:rPr>
          <w:i/>
          <w:spacing w:val="-3"/>
        </w:rPr>
        <w:t xml:space="preserve"> </w:t>
      </w:r>
      <w:r w:rsidRPr="007E1904">
        <w:rPr>
          <w:i/>
        </w:rPr>
        <w:t>v.</w:t>
      </w:r>
      <w:r w:rsidRPr="007E1904">
        <w:rPr>
          <w:i/>
          <w:spacing w:val="-4"/>
        </w:rPr>
        <w:t xml:space="preserve"> </w:t>
      </w:r>
      <w:r w:rsidRPr="007E1904">
        <w:rPr>
          <w:i/>
          <w:spacing w:val="-1"/>
        </w:rPr>
        <w:t>FCC</w:t>
      </w:r>
      <w:r w:rsidRPr="007E1904">
        <w:rPr>
          <w:spacing w:val="-1"/>
        </w:rPr>
        <w:t>,</w:t>
      </w:r>
      <w:r w:rsidRPr="007E1904">
        <w:rPr>
          <w:spacing w:val="-3"/>
        </w:rPr>
        <w:t xml:space="preserve"> </w:t>
      </w:r>
      <w:r w:rsidRPr="007E1904">
        <w:t>897</w:t>
      </w:r>
      <w:r w:rsidRPr="007E1904">
        <w:rPr>
          <w:spacing w:val="-3"/>
        </w:rPr>
        <w:t xml:space="preserve"> </w:t>
      </w:r>
      <w:r w:rsidRPr="007E1904">
        <w:rPr>
          <w:spacing w:val="-1"/>
        </w:rPr>
        <w:t>F.2d</w:t>
      </w:r>
      <w:r w:rsidRPr="007E1904">
        <w:rPr>
          <w:spacing w:val="-3"/>
        </w:rPr>
        <w:t xml:space="preserve"> </w:t>
      </w:r>
      <w:r w:rsidRPr="007E1904">
        <w:t>1164,</w:t>
      </w:r>
      <w:r w:rsidRPr="007E1904">
        <w:rPr>
          <w:spacing w:val="-2"/>
        </w:rPr>
        <w:t xml:space="preserve"> </w:t>
      </w:r>
      <w:r w:rsidRPr="007E1904">
        <w:t>1166</w:t>
      </w:r>
      <w:r w:rsidRPr="007E1904">
        <w:rPr>
          <w:spacing w:val="-3"/>
        </w:rPr>
        <w:t xml:space="preserve"> </w:t>
      </w:r>
      <w:r w:rsidRPr="007E1904">
        <w:t>(D.C.</w:t>
      </w:r>
      <w:r w:rsidRPr="007E1904">
        <w:rPr>
          <w:spacing w:val="-4"/>
        </w:rPr>
        <w:t xml:space="preserve"> </w:t>
      </w:r>
      <w:r w:rsidRPr="007E1904">
        <w:t>Cir.</w:t>
      </w:r>
      <w:r w:rsidRPr="007E1904">
        <w:rPr>
          <w:spacing w:val="-3"/>
        </w:rPr>
        <w:t xml:space="preserve"> </w:t>
      </w:r>
      <w:r w:rsidRPr="007E1904">
        <w:t>1990)</w:t>
      </w:r>
      <w:r w:rsidRPr="007E1904">
        <w:rPr>
          <w:spacing w:val="-3"/>
        </w:rPr>
        <w:t xml:space="preserve"> </w:t>
      </w:r>
      <w:r w:rsidRPr="007E1904">
        <w:t>(</w:t>
      </w:r>
      <w:r w:rsidRPr="007E1904">
        <w:rPr>
          <w:i/>
        </w:rPr>
        <w:t>citing</w:t>
      </w:r>
      <w:r w:rsidRPr="007E1904">
        <w:rPr>
          <w:i/>
          <w:spacing w:val="-4"/>
        </w:rPr>
        <w:t xml:space="preserve"> </w:t>
      </w:r>
      <w:r w:rsidRPr="007E1904">
        <w:rPr>
          <w:i/>
          <w:spacing w:val="-1"/>
        </w:rPr>
        <w:t>WAIT</w:t>
      </w:r>
      <w:r w:rsidRPr="007E1904">
        <w:rPr>
          <w:i/>
          <w:spacing w:val="-3"/>
        </w:rPr>
        <w:t xml:space="preserve"> </w:t>
      </w:r>
      <w:r w:rsidRPr="007E1904">
        <w:rPr>
          <w:i/>
          <w:spacing w:val="-1"/>
        </w:rPr>
        <w:t>Radio</w:t>
      </w:r>
      <w:r w:rsidRPr="007E1904">
        <w:rPr>
          <w:i/>
          <w:spacing w:val="-2"/>
        </w:rPr>
        <w:t xml:space="preserve"> </w:t>
      </w:r>
      <w:r w:rsidRPr="007E1904">
        <w:rPr>
          <w:i/>
        </w:rPr>
        <w:t>v.</w:t>
      </w:r>
      <w:r w:rsidRPr="007E1904">
        <w:rPr>
          <w:i/>
          <w:spacing w:val="-4"/>
        </w:rPr>
        <w:t xml:space="preserve"> </w:t>
      </w:r>
      <w:r w:rsidRPr="007E1904">
        <w:rPr>
          <w:i/>
          <w:spacing w:val="-1"/>
        </w:rPr>
        <w:t>FCC</w:t>
      </w:r>
      <w:r w:rsidRPr="007E1904">
        <w:rPr>
          <w:spacing w:val="-1"/>
        </w:rPr>
        <w:t>,</w:t>
      </w:r>
      <w:r w:rsidRPr="007E1904">
        <w:rPr>
          <w:spacing w:val="31"/>
        </w:rPr>
        <w:t xml:space="preserve"> </w:t>
      </w:r>
      <w:r w:rsidRPr="007E1904">
        <w:t>418</w:t>
      </w:r>
      <w:r w:rsidRPr="007E1904">
        <w:rPr>
          <w:spacing w:val="-1"/>
        </w:rPr>
        <w:t xml:space="preserve"> F.2d </w:t>
      </w:r>
      <w:r w:rsidRPr="007E1904">
        <w:t>1153,</w:t>
      </w:r>
      <w:r w:rsidRPr="007E1904">
        <w:rPr>
          <w:spacing w:val="-1"/>
        </w:rPr>
        <w:t xml:space="preserve"> </w:t>
      </w:r>
      <w:r w:rsidRPr="007E1904">
        <w:t>1159</w:t>
      </w:r>
      <w:r w:rsidRPr="007E1904">
        <w:rPr>
          <w:spacing w:val="-1"/>
        </w:rPr>
        <w:t xml:space="preserve"> </w:t>
      </w:r>
      <w:r w:rsidRPr="007E1904">
        <w:t>(D.C.</w:t>
      </w:r>
      <w:r w:rsidRPr="007E1904">
        <w:rPr>
          <w:spacing w:val="-2"/>
        </w:rPr>
        <w:t xml:space="preserve"> </w:t>
      </w:r>
      <w:r w:rsidRPr="007E1904">
        <w:t>Cir.</w:t>
      </w:r>
      <w:r w:rsidRPr="007E1904">
        <w:rPr>
          <w:spacing w:val="-1"/>
        </w:rPr>
        <w:t xml:space="preserve"> </w:t>
      </w:r>
      <w:r w:rsidRPr="007E1904">
        <w:t>1969),</w:t>
      </w:r>
      <w:r w:rsidRPr="007E1904">
        <w:rPr>
          <w:spacing w:val="-1"/>
        </w:rPr>
        <w:t xml:space="preserve"> </w:t>
      </w:r>
      <w:r w:rsidRPr="007E1904">
        <w:rPr>
          <w:i/>
        </w:rPr>
        <w:t>aff’d</w:t>
      </w:r>
      <w:r w:rsidRPr="007E1904">
        <w:t>,</w:t>
      </w:r>
      <w:r w:rsidRPr="007E1904">
        <w:rPr>
          <w:spacing w:val="-1"/>
        </w:rPr>
        <w:t xml:space="preserve"> </w:t>
      </w:r>
      <w:r w:rsidRPr="007E1904">
        <w:t>459</w:t>
      </w:r>
      <w:r w:rsidRPr="007E1904">
        <w:rPr>
          <w:spacing w:val="-1"/>
        </w:rPr>
        <w:t xml:space="preserve"> F.2d </w:t>
      </w:r>
      <w:r w:rsidRPr="007E1904">
        <w:t>1203</w:t>
      </w:r>
      <w:r w:rsidRPr="007E1904">
        <w:rPr>
          <w:spacing w:val="-1"/>
        </w:rPr>
        <w:t xml:space="preserve"> </w:t>
      </w:r>
      <w:r w:rsidRPr="007E1904">
        <w:t>(1973),</w:t>
      </w:r>
      <w:r w:rsidRPr="007E1904">
        <w:rPr>
          <w:spacing w:val="-1"/>
        </w:rPr>
        <w:t xml:space="preserve"> </w:t>
      </w:r>
      <w:r w:rsidRPr="007E1904">
        <w:rPr>
          <w:i/>
        </w:rPr>
        <w:t>cert.</w:t>
      </w:r>
      <w:r w:rsidRPr="007E1904">
        <w:rPr>
          <w:i/>
          <w:spacing w:val="-2"/>
        </w:rPr>
        <w:t xml:space="preserve"> </w:t>
      </w:r>
      <w:r w:rsidRPr="007E1904">
        <w:rPr>
          <w:i/>
          <w:spacing w:val="-1"/>
        </w:rPr>
        <w:t>denied</w:t>
      </w:r>
      <w:r w:rsidRPr="007E1904">
        <w:rPr>
          <w:spacing w:val="-1"/>
        </w:rPr>
        <w:t>,</w:t>
      </w:r>
      <w:r w:rsidRPr="007E1904">
        <w:t xml:space="preserve"> 409</w:t>
      </w:r>
      <w:r w:rsidRPr="007E1904">
        <w:rPr>
          <w:spacing w:val="-1"/>
        </w:rPr>
        <w:t xml:space="preserve"> U.S. </w:t>
      </w:r>
      <w:r w:rsidRPr="007E1904">
        <w:t>1027</w:t>
      </w:r>
      <w:r w:rsidRPr="007E1904">
        <w:rPr>
          <w:spacing w:val="-1"/>
        </w:rPr>
        <w:t xml:space="preserve"> </w:t>
      </w:r>
      <w:r w:rsidRPr="007E1904">
        <w:t>(1972)).</w:t>
      </w:r>
    </w:p>
  </w:footnote>
  <w:footnote w:id="36">
    <w:p w:rsidR="00DD3254" w:rsidRPr="007E1904" w:rsidP="00DD3254">
      <w:pPr>
        <w:pStyle w:val="FootnoteText"/>
        <w:spacing w:after="80"/>
      </w:pPr>
      <w:r w:rsidRPr="007E1904">
        <w:rPr>
          <w:rStyle w:val="FootnoteReference"/>
        </w:rPr>
        <w:footnoteRef/>
      </w:r>
      <w:r w:rsidRPr="007E1904">
        <w:t xml:space="preserve"> These waivers do not extend to any other circumstances involving the broadcast or transmission of the WEA Attention Signal, the EAS codes, and/or the EAS Attention Signal.</w:t>
      </w:r>
    </w:p>
  </w:footnote>
  <w:footnote w:id="37">
    <w:p w:rsidR="00DD3254" w:rsidRPr="007E1904" w:rsidP="00DD3254">
      <w:pPr>
        <w:pStyle w:val="FootnoteText"/>
      </w:pPr>
      <w:r w:rsidRPr="007E1904">
        <w:rPr>
          <w:rStyle w:val="FootnoteReference"/>
        </w:rPr>
        <w:footnoteRef/>
      </w:r>
      <w:r w:rsidRPr="007E1904">
        <w:t xml:space="preserve"> </w:t>
      </w:r>
      <w:r w:rsidRPr="007E1904">
        <w:rPr>
          <w:spacing w:val="-1"/>
        </w:rPr>
        <w:t>For</w:t>
      </w:r>
      <w:r w:rsidRPr="007E1904">
        <w:rPr>
          <w:spacing w:val="-4"/>
        </w:rPr>
        <w:t xml:space="preserve"> </w:t>
      </w:r>
      <w:r w:rsidRPr="007E1904">
        <w:rPr>
          <w:spacing w:val="-1"/>
        </w:rPr>
        <w:t>example,</w:t>
      </w:r>
      <w:r w:rsidRPr="007E1904">
        <w:rPr>
          <w:spacing w:val="-4"/>
        </w:rPr>
        <w:t xml:space="preserve"> </w:t>
      </w:r>
      <w:r w:rsidRPr="007E1904">
        <w:rPr>
          <w:spacing w:val="-1"/>
        </w:rPr>
        <w:t>transmitting</w:t>
      </w:r>
      <w:r w:rsidRPr="007E1904">
        <w:rPr>
          <w:spacing w:val="-5"/>
        </w:rPr>
        <w:t xml:space="preserve"> </w:t>
      </w:r>
      <w:r w:rsidRPr="007E1904">
        <w:t>a</w:t>
      </w:r>
      <w:r w:rsidRPr="007E1904">
        <w:rPr>
          <w:spacing w:val="-4"/>
        </w:rPr>
        <w:t xml:space="preserve"> </w:t>
      </w:r>
      <w:r w:rsidRPr="007E1904">
        <w:t>WEA</w:t>
      </w:r>
      <w:r w:rsidRPr="007E1904">
        <w:rPr>
          <w:spacing w:val="-5"/>
        </w:rPr>
        <w:t xml:space="preserve"> </w:t>
      </w:r>
      <w:r w:rsidRPr="007E1904">
        <w:t>test</w:t>
      </w:r>
      <w:r w:rsidRPr="007E1904">
        <w:rPr>
          <w:spacing w:val="-5"/>
        </w:rPr>
        <w:t xml:space="preserve"> </w:t>
      </w:r>
      <w:r w:rsidRPr="007E1904">
        <w:rPr>
          <w:spacing w:val="-1"/>
        </w:rPr>
        <w:t>message</w:t>
      </w:r>
      <w:r w:rsidRPr="007E1904">
        <w:rPr>
          <w:spacing w:val="-4"/>
        </w:rPr>
        <w:t xml:space="preserve"> </w:t>
      </w:r>
      <w:r w:rsidRPr="007E1904">
        <w:rPr>
          <w:spacing w:val="-1"/>
        </w:rPr>
        <w:t>without</w:t>
      </w:r>
      <w:r w:rsidRPr="007E1904">
        <w:rPr>
          <w:spacing w:val="-4"/>
        </w:rPr>
        <w:t xml:space="preserve"> </w:t>
      </w:r>
      <w:r w:rsidRPr="007E1904">
        <w:t>first</w:t>
      </w:r>
      <w:r w:rsidRPr="007E1904">
        <w:rPr>
          <w:spacing w:val="-4"/>
        </w:rPr>
        <w:t xml:space="preserve"> </w:t>
      </w:r>
      <w:r w:rsidRPr="007E1904">
        <w:t>informing</w:t>
      </w:r>
      <w:r w:rsidRPr="007E1904">
        <w:rPr>
          <w:spacing w:val="-5"/>
        </w:rPr>
        <w:t xml:space="preserve"> </w:t>
      </w:r>
      <w:r w:rsidRPr="007E1904">
        <w:rPr>
          <w:spacing w:val="-1"/>
        </w:rPr>
        <w:t>emergency</w:t>
      </w:r>
      <w:r w:rsidRPr="007E1904">
        <w:rPr>
          <w:spacing w:val="-5"/>
        </w:rPr>
        <w:t xml:space="preserve"> </w:t>
      </w:r>
      <w:r w:rsidRPr="007E1904">
        <w:t>responders</w:t>
      </w:r>
      <w:r>
        <w:t>,</w:t>
      </w:r>
      <w:r w:rsidRPr="007E1904">
        <w:rPr>
          <w:spacing w:val="-4"/>
        </w:rPr>
        <w:t xml:space="preserve"> such as</w:t>
      </w:r>
      <w:r w:rsidRPr="007E1904">
        <w:rPr>
          <w:spacing w:val="-5"/>
        </w:rPr>
        <w:t xml:space="preserve"> </w:t>
      </w:r>
      <w:r w:rsidRPr="007E1904">
        <w:t>9-1-1</w:t>
      </w:r>
      <w:r w:rsidRPr="007E1904">
        <w:rPr>
          <w:spacing w:val="-4"/>
        </w:rPr>
        <w:t xml:space="preserve"> </w:t>
      </w:r>
      <w:r w:rsidRPr="007E1904">
        <w:rPr>
          <w:spacing w:val="-1"/>
        </w:rPr>
        <w:t>call</w:t>
      </w:r>
      <w:r w:rsidRPr="007E1904">
        <w:rPr>
          <w:spacing w:val="75"/>
          <w:w w:val="99"/>
        </w:rPr>
        <w:t xml:space="preserve"> </w:t>
      </w:r>
      <w:r w:rsidRPr="007E1904">
        <w:rPr>
          <w:spacing w:val="-1"/>
        </w:rPr>
        <w:t>centers</w:t>
      </w:r>
      <w:r>
        <w:rPr>
          <w:spacing w:val="-1"/>
        </w:rPr>
        <w:t>,</w:t>
      </w:r>
      <w:r w:rsidRPr="007E1904">
        <w:rPr>
          <w:spacing w:val="-5"/>
        </w:rPr>
        <w:t xml:space="preserve"> </w:t>
      </w:r>
      <w:r w:rsidRPr="007E1904">
        <w:rPr>
          <w:spacing w:val="-1"/>
        </w:rPr>
        <w:t>and</w:t>
      </w:r>
      <w:r w:rsidRPr="007E1904">
        <w:rPr>
          <w:spacing w:val="-4"/>
        </w:rPr>
        <w:t xml:space="preserve"> </w:t>
      </w:r>
      <w:r w:rsidRPr="007E1904">
        <w:t>the</w:t>
      </w:r>
      <w:r w:rsidRPr="007E1904">
        <w:rPr>
          <w:spacing w:val="-5"/>
        </w:rPr>
        <w:t xml:space="preserve"> </w:t>
      </w:r>
      <w:r w:rsidRPr="007E1904">
        <w:t>public</w:t>
      </w:r>
      <w:r w:rsidRPr="007E1904">
        <w:rPr>
          <w:spacing w:val="-4"/>
        </w:rPr>
        <w:t xml:space="preserve"> </w:t>
      </w:r>
      <w:r w:rsidRPr="007E1904">
        <w:rPr>
          <w:spacing w:val="-1"/>
        </w:rPr>
        <w:t>about</w:t>
      </w:r>
      <w:r w:rsidRPr="007E1904">
        <w:rPr>
          <w:spacing w:val="-4"/>
        </w:rPr>
        <w:t xml:space="preserve"> </w:t>
      </w:r>
      <w:r w:rsidRPr="007E1904">
        <w:t>the</w:t>
      </w:r>
      <w:r w:rsidRPr="007E1904">
        <w:rPr>
          <w:spacing w:val="-5"/>
        </w:rPr>
        <w:t xml:space="preserve"> </w:t>
      </w:r>
      <w:r w:rsidRPr="007E1904">
        <w:t>test,</w:t>
      </w:r>
      <w:r w:rsidRPr="007E1904">
        <w:rPr>
          <w:spacing w:val="-5"/>
        </w:rPr>
        <w:t xml:space="preserve"> </w:t>
      </w:r>
      <w:r w:rsidRPr="007E1904">
        <w:rPr>
          <w:spacing w:val="-1"/>
        </w:rPr>
        <w:t>could</w:t>
      </w:r>
      <w:r w:rsidRPr="007E1904">
        <w:rPr>
          <w:spacing w:val="-4"/>
        </w:rPr>
        <w:t xml:space="preserve"> </w:t>
      </w:r>
      <w:r w:rsidRPr="007E1904">
        <w:t>predictably</w:t>
      </w:r>
      <w:r w:rsidRPr="007E1904">
        <w:rPr>
          <w:spacing w:val="-4"/>
        </w:rPr>
        <w:t xml:space="preserve"> </w:t>
      </w:r>
      <w:r w:rsidRPr="007E1904">
        <w:t>result</w:t>
      </w:r>
      <w:r w:rsidRPr="007E1904">
        <w:rPr>
          <w:spacing w:val="-4"/>
        </w:rPr>
        <w:t xml:space="preserve"> </w:t>
      </w:r>
      <w:r w:rsidRPr="007E1904">
        <w:t>in</w:t>
      </w:r>
      <w:r w:rsidRPr="007E1904">
        <w:rPr>
          <w:spacing w:val="-5"/>
        </w:rPr>
        <w:t xml:space="preserve"> </w:t>
      </w:r>
      <w:r w:rsidRPr="007E1904">
        <w:t>confusion</w:t>
      </w:r>
      <w:r w:rsidRPr="007E1904">
        <w:rPr>
          <w:spacing w:val="-5"/>
        </w:rPr>
        <w:t xml:space="preserve"> </w:t>
      </w:r>
      <w:r w:rsidRPr="007E1904">
        <w:t>or</w:t>
      </w:r>
      <w:r w:rsidRPr="007E1904">
        <w:rPr>
          <w:spacing w:val="-4"/>
        </w:rPr>
        <w:t xml:space="preserve"> </w:t>
      </w:r>
      <w:r w:rsidRPr="007E1904">
        <w:rPr>
          <w:spacing w:val="-1"/>
        </w:rPr>
        <w:t>panic.</w:t>
      </w:r>
    </w:p>
  </w:footnote>
  <w:footnote w:id="38">
    <w:p w:rsidR="00DD3254" w:rsidRPr="007E1904" w:rsidP="00DD3254">
      <w:pPr>
        <w:pStyle w:val="FootnoteText"/>
      </w:pPr>
      <w:r w:rsidRPr="007E1904">
        <w:rPr>
          <w:rStyle w:val="FootnoteReference"/>
        </w:rPr>
        <w:footnoteRef/>
      </w:r>
      <w:r w:rsidRPr="007E1904">
        <w:t xml:space="preserve"> </w:t>
      </w:r>
      <w:r w:rsidRPr="007E1904">
        <w:rPr>
          <w:i/>
        </w:rPr>
        <w:t xml:space="preserve">See </w:t>
      </w:r>
      <w:r w:rsidRPr="007E1904">
        <w:t>47</w:t>
      </w:r>
      <w:r w:rsidRPr="007E1904">
        <w:rPr>
          <w:spacing w:val="-1"/>
        </w:rPr>
        <w:t xml:space="preserve"> U.S.C.</w:t>
      </w:r>
      <w:r w:rsidRPr="007E1904">
        <w:t xml:space="preserve"> §</w:t>
      </w:r>
      <w:r w:rsidRPr="007E1904">
        <w:rPr>
          <w:spacing w:val="-1"/>
        </w:rPr>
        <w:t xml:space="preserve"> </w:t>
      </w:r>
      <w:r w:rsidRPr="007E1904">
        <w:t>222.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DD3254">
      <w:t>DA 18-</w:t>
    </w:r>
    <w:r w:rsidR="001752BB">
      <w:t>920</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DD3254">
      <w:rPr>
        <w:spacing w:val="-2"/>
      </w:rPr>
      <w:t>DA 18-</w:t>
    </w:r>
    <w:r>
      <w:rPr>
        <w:spacing w:val="-2"/>
      </w:rPr>
      <w:t>920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3254"/>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odyText">
    <w:name w:val="Body Text"/>
    <w:basedOn w:val="Normal"/>
    <w:link w:val="BodyTextChar"/>
    <w:uiPriority w:val="1"/>
    <w:qFormat/>
    <w:rsid w:val="00DD3254"/>
    <w:pPr>
      <w:ind w:left="120"/>
    </w:pPr>
    <w:rPr>
      <w:snapToGrid/>
      <w:kern w:val="0"/>
      <w:szCs w:val="22"/>
    </w:rPr>
  </w:style>
  <w:style w:type="character" w:customStyle="1" w:styleId="BodyTextChar">
    <w:name w:val="Body Text Char"/>
    <w:basedOn w:val="DefaultParagraphFont"/>
    <w:link w:val="BodyText"/>
    <w:uiPriority w:val="1"/>
    <w:rsid w:val="00DD3254"/>
    <w:rPr>
      <w:sz w:val="22"/>
      <w:szCs w:val="22"/>
    </w:rPr>
  </w:style>
  <w:style w:type="character" w:customStyle="1" w:styleId="FootnoteTextChar">
    <w:name w:val="Footnote Text Char"/>
    <w:link w:val="FootnoteText"/>
    <w:rsid w:val="00DD3254"/>
  </w:style>
  <w:style w:type="character" w:customStyle="1" w:styleId="Heading1Char">
    <w:name w:val="Heading 1 Char"/>
    <w:link w:val="Heading1"/>
    <w:locked/>
    <w:rsid w:val="00DD3254"/>
    <w:rPr>
      <w:rFonts w:ascii="Times New Roman Bold" w:hAnsi="Times New Roman Bold"/>
      <w:b/>
      <w:caps/>
      <w:snapToGrid w:val="0"/>
      <w:kern w:val="28"/>
      <w:sz w:val="22"/>
    </w:rPr>
  </w:style>
  <w:style w:type="character" w:customStyle="1" w:styleId="ParaNumChar">
    <w:name w:val="ParaNum Char"/>
    <w:link w:val="ParaNum"/>
    <w:locked/>
    <w:rsid w:val="00DD3254"/>
    <w:rPr>
      <w:snapToGrid w:val="0"/>
      <w:kern w:val="28"/>
      <w:sz w:val="22"/>
    </w:rPr>
  </w:style>
  <w:style w:type="character" w:customStyle="1" w:styleId="UnresolvedMention">
    <w:name w:val="Unresolved Mention"/>
    <w:basedOn w:val="DefaultParagraphFont"/>
    <w:uiPriority w:val="99"/>
    <w:semiHidden/>
    <w:unhideWhenUsed/>
    <w:rsid w:val="006753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