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31E29" w:rsidRPr="00E31E29" w:rsidP="00187485">
      <w:pPr>
        <w:jc w:val="right"/>
        <w:rPr>
          <w:b/>
          <w:szCs w:val="22"/>
        </w:rPr>
      </w:pPr>
    </w:p>
    <w:p w:rsidR="00894D8D" w:rsidRPr="00E31E29" w:rsidP="00187485">
      <w:pPr>
        <w:jc w:val="right"/>
        <w:rPr>
          <w:b/>
          <w:szCs w:val="22"/>
        </w:rPr>
      </w:pPr>
      <w:r w:rsidRPr="00E31E29">
        <w:rPr>
          <w:b/>
          <w:szCs w:val="22"/>
        </w:rPr>
        <w:t>DA 18-</w:t>
      </w:r>
      <w:r w:rsidRPr="00E31E29">
        <w:rPr>
          <w:b/>
          <w:szCs w:val="22"/>
        </w:rPr>
        <w:t>941</w:t>
      </w:r>
    </w:p>
    <w:p w:rsidR="00894D8D" w:rsidRPr="00E31E29" w:rsidP="00187485">
      <w:pPr>
        <w:jc w:val="right"/>
        <w:rPr>
          <w:b/>
          <w:szCs w:val="22"/>
        </w:rPr>
      </w:pPr>
      <w:bookmarkStart w:id="0" w:name="_GoBack"/>
      <w:bookmarkEnd w:id="0"/>
      <w:r w:rsidRPr="00E31E29">
        <w:rPr>
          <w:b/>
          <w:szCs w:val="22"/>
        </w:rPr>
        <w:t xml:space="preserve">Released: </w:t>
      </w:r>
      <w:r w:rsidRPr="00E31E29">
        <w:rPr>
          <w:b/>
          <w:szCs w:val="22"/>
        </w:rPr>
        <w:t>September</w:t>
      </w:r>
      <w:r w:rsidRPr="00E31E29">
        <w:rPr>
          <w:b/>
          <w:szCs w:val="22"/>
        </w:rPr>
        <w:t xml:space="preserve"> </w:t>
      </w:r>
      <w:r w:rsidRPr="00E31E29">
        <w:rPr>
          <w:b/>
          <w:szCs w:val="22"/>
        </w:rPr>
        <w:t>12</w:t>
      </w:r>
      <w:r w:rsidRPr="00E31E29">
        <w:rPr>
          <w:b/>
          <w:szCs w:val="22"/>
        </w:rPr>
        <w:t>, 2018</w:t>
      </w:r>
    </w:p>
    <w:p w:rsidR="00894D8D" w:rsidRPr="00E31E29" w:rsidP="00187485">
      <w:pPr>
        <w:jc w:val="right"/>
        <w:rPr>
          <w:b/>
          <w:szCs w:val="22"/>
        </w:rPr>
      </w:pPr>
    </w:p>
    <w:p w:rsidR="00894D8D" w:rsidRPr="00E31E29" w:rsidP="00894D8D">
      <w:pPr>
        <w:jc w:val="center"/>
        <w:rPr>
          <w:b/>
          <w:szCs w:val="22"/>
        </w:rPr>
      </w:pPr>
      <w:r w:rsidRPr="00E31E29">
        <w:rPr>
          <w:b/>
          <w:szCs w:val="22"/>
        </w:rPr>
        <w:t xml:space="preserve">CONSUMER </w:t>
      </w:r>
      <w:r w:rsidRPr="00E31E29">
        <w:rPr>
          <w:b/>
          <w:szCs w:val="22"/>
        </w:rPr>
        <w:t>AND</w:t>
      </w:r>
      <w:r w:rsidRPr="00E31E29">
        <w:rPr>
          <w:b/>
          <w:szCs w:val="22"/>
        </w:rPr>
        <w:t xml:space="preserve"> GOVERNMENTAL AFFAIRS BUREAU SEEKS COMMENT ON TERMINATION OF CERTAIN PROCEEDINGS AS DORMANT</w:t>
      </w:r>
    </w:p>
    <w:p w:rsidR="00894D8D" w:rsidRPr="00E31E29" w:rsidP="00894D8D">
      <w:pPr>
        <w:jc w:val="center"/>
        <w:rPr>
          <w:b/>
          <w:szCs w:val="22"/>
        </w:rPr>
      </w:pPr>
    </w:p>
    <w:p w:rsidR="00894D8D" w:rsidRPr="00E31E29" w:rsidP="00894D8D">
      <w:pPr>
        <w:jc w:val="center"/>
        <w:rPr>
          <w:b/>
          <w:szCs w:val="22"/>
        </w:rPr>
      </w:pPr>
      <w:r w:rsidRPr="00E31E29">
        <w:rPr>
          <w:b/>
          <w:szCs w:val="22"/>
        </w:rPr>
        <w:t xml:space="preserve">CG Docket No. </w:t>
      </w:r>
      <w:r w:rsidRPr="00E31E29">
        <w:rPr>
          <w:b/>
          <w:szCs w:val="22"/>
        </w:rPr>
        <w:t>18-272</w:t>
      </w:r>
    </w:p>
    <w:p w:rsidR="00187485" w:rsidRPr="00E31E29" w:rsidP="00187485">
      <w:pPr>
        <w:jc w:val="center"/>
        <w:rPr>
          <w:szCs w:val="22"/>
        </w:rPr>
      </w:pPr>
    </w:p>
    <w:p w:rsidR="00187485" w:rsidRPr="00E445FD" w:rsidP="00187485">
      <w:pPr>
        <w:autoSpaceDE w:val="0"/>
        <w:autoSpaceDN w:val="0"/>
        <w:adjustRightInd w:val="0"/>
        <w:ind w:right="-20"/>
        <w:rPr>
          <w:color w:val="000000"/>
        </w:rPr>
      </w:pPr>
      <w:r w:rsidRPr="00E445FD">
        <w:rPr>
          <w:b/>
          <w:bCs/>
          <w:color w:val="242021"/>
        </w:rPr>
        <w:t>Comment</w:t>
      </w:r>
      <w:r w:rsidRPr="00E445FD">
        <w:rPr>
          <w:b/>
          <w:bCs/>
          <w:color w:val="242021"/>
          <w:spacing w:val="-1"/>
        </w:rPr>
        <w:t xml:space="preserve"> </w:t>
      </w:r>
      <w:r w:rsidRPr="00E445FD">
        <w:rPr>
          <w:b/>
          <w:bCs/>
          <w:color w:val="242021"/>
        </w:rPr>
        <w:t>Date:</w:t>
      </w:r>
      <w:r w:rsidRPr="00E445FD">
        <w:rPr>
          <w:b/>
          <w:bCs/>
          <w:color w:val="242021"/>
          <w:spacing w:val="54"/>
        </w:rPr>
        <w:t xml:space="preserve"> </w:t>
      </w:r>
      <w:r w:rsidRPr="00E445FD">
        <w:rPr>
          <w:b/>
          <w:bCs/>
          <w:color w:val="242021"/>
        </w:rPr>
        <w:t>(30</w:t>
      </w:r>
      <w:r w:rsidRPr="00E445FD">
        <w:rPr>
          <w:b/>
          <w:bCs/>
          <w:color w:val="242021"/>
          <w:spacing w:val="-1"/>
        </w:rPr>
        <w:t xml:space="preserve"> </w:t>
      </w:r>
      <w:r w:rsidRPr="00E445FD">
        <w:rPr>
          <w:b/>
          <w:bCs/>
          <w:color w:val="242021"/>
        </w:rPr>
        <w:t>days</w:t>
      </w:r>
      <w:r w:rsidRPr="00E445FD">
        <w:rPr>
          <w:b/>
          <w:bCs/>
          <w:color w:val="242021"/>
          <w:spacing w:val="-1"/>
        </w:rPr>
        <w:t xml:space="preserve"> </w:t>
      </w:r>
      <w:r w:rsidRPr="00E445FD">
        <w:rPr>
          <w:b/>
          <w:bCs/>
          <w:color w:val="242021"/>
        </w:rPr>
        <w:t>after</w:t>
      </w:r>
      <w:r w:rsidRPr="00E445FD">
        <w:rPr>
          <w:b/>
          <w:bCs/>
          <w:color w:val="242021"/>
          <w:spacing w:val="-1"/>
        </w:rPr>
        <w:t xml:space="preserve"> </w:t>
      </w:r>
      <w:r w:rsidRPr="00E445FD">
        <w:rPr>
          <w:b/>
          <w:bCs/>
          <w:color w:val="242021"/>
        </w:rPr>
        <w:t>date</w:t>
      </w:r>
      <w:r w:rsidRPr="00E445FD">
        <w:rPr>
          <w:b/>
          <w:bCs/>
          <w:color w:val="242021"/>
          <w:spacing w:val="-1"/>
        </w:rPr>
        <w:t xml:space="preserve"> </w:t>
      </w:r>
      <w:r w:rsidRPr="00E445FD">
        <w:rPr>
          <w:b/>
          <w:bCs/>
          <w:color w:val="242021"/>
        </w:rPr>
        <w:t>of</w:t>
      </w:r>
      <w:r w:rsidRPr="00E445FD">
        <w:rPr>
          <w:b/>
          <w:bCs/>
          <w:color w:val="242021"/>
          <w:spacing w:val="-1"/>
        </w:rPr>
        <w:t xml:space="preserve"> </w:t>
      </w:r>
      <w:r w:rsidRPr="00E445FD">
        <w:rPr>
          <w:b/>
          <w:bCs/>
          <w:color w:val="242021"/>
        </w:rPr>
        <w:t>publication</w:t>
      </w:r>
      <w:r w:rsidRPr="00E445FD">
        <w:rPr>
          <w:b/>
          <w:bCs/>
          <w:color w:val="242021"/>
          <w:spacing w:val="-1"/>
        </w:rPr>
        <w:t xml:space="preserve"> </w:t>
      </w:r>
      <w:r w:rsidRPr="00E445FD">
        <w:rPr>
          <w:b/>
          <w:bCs/>
          <w:color w:val="242021"/>
        </w:rPr>
        <w:t>in</w:t>
      </w:r>
      <w:r w:rsidRPr="00E445FD">
        <w:rPr>
          <w:b/>
          <w:bCs/>
          <w:color w:val="242021"/>
          <w:spacing w:val="-1"/>
        </w:rPr>
        <w:t xml:space="preserve"> </w:t>
      </w:r>
      <w:r w:rsidRPr="00E445FD">
        <w:rPr>
          <w:b/>
          <w:bCs/>
          <w:color w:val="242021"/>
        </w:rPr>
        <w:t>the</w:t>
      </w:r>
      <w:r w:rsidRPr="00E445FD">
        <w:rPr>
          <w:b/>
          <w:bCs/>
          <w:color w:val="242021"/>
          <w:spacing w:val="-1"/>
        </w:rPr>
        <w:t xml:space="preserve"> </w:t>
      </w:r>
      <w:r w:rsidRPr="00E445FD">
        <w:rPr>
          <w:b/>
          <w:bCs/>
          <w:color w:val="242021"/>
        </w:rPr>
        <w:t>Federal</w:t>
      </w:r>
      <w:r w:rsidRPr="00E445FD">
        <w:rPr>
          <w:b/>
          <w:bCs/>
          <w:color w:val="242021"/>
          <w:spacing w:val="-1"/>
        </w:rPr>
        <w:t xml:space="preserve"> </w:t>
      </w:r>
      <w:r w:rsidRPr="00E445FD">
        <w:rPr>
          <w:b/>
          <w:bCs/>
          <w:color w:val="242021"/>
        </w:rPr>
        <w:t>Register)</w:t>
      </w:r>
    </w:p>
    <w:p w:rsidR="00187485" w:rsidP="00187485">
      <w:pPr>
        <w:autoSpaceDE w:val="0"/>
        <w:autoSpaceDN w:val="0"/>
        <w:adjustRightInd w:val="0"/>
        <w:rPr>
          <w:b/>
          <w:bCs/>
          <w:color w:val="242021"/>
        </w:rPr>
      </w:pPr>
      <w:r w:rsidRPr="00E445FD">
        <w:rPr>
          <w:b/>
          <w:bCs/>
          <w:color w:val="242021"/>
        </w:rPr>
        <w:t xml:space="preserve">Reply Comment </w:t>
      </w:r>
      <w:r w:rsidRPr="00E445FD">
        <w:rPr>
          <w:b/>
          <w:bCs/>
          <w:color w:val="242021"/>
          <w:spacing w:val="-1"/>
        </w:rPr>
        <w:t>D</w:t>
      </w:r>
      <w:r w:rsidRPr="00E445FD">
        <w:rPr>
          <w:b/>
          <w:bCs/>
          <w:color w:val="242021"/>
        </w:rPr>
        <w:t>ate:</w:t>
      </w:r>
      <w:r w:rsidRPr="00E445FD">
        <w:rPr>
          <w:b/>
          <w:bCs/>
          <w:color w:val="242021"/>
          <w:spacing w:val="53"/>
        </w:rPr>
        <w:t xml:space="preserve"> </w:t>
      </w:r>
      <w:r w:rsidRPr="00E445FD">
        <w:rPr>
          <w:b/>
          <w:bCs/>
          <w:color w:val="242021"/>
        </w:rPr>
        <w:t>(45</w:t>
      </w:r>
      <w:r w:rsidRPr="00E445FD">
        <w:rPr>
          <w:b/>
          <w:bCs/>
          <w:color w:val="242021"/>
          <w:spacing w:val="-1"/>
        </w:rPr>
        <w:t xml:space="preserve"> </w:t>
      </w:r>
      <w:r w:rsidRPr="00E445FD">
        <w:rPr>
          <w:b/>
          <w:bCs/>
          <w:color w:val="242021"/>
        </w:rPr>
        <w:t>days</w:t>
      </w:r>
      <w:r w:rsidRPr="00E445FD">
        <w:rPr>
          <w:b/>
          <w:bCs/>
          <w:color w:val="242021"/>
          <w:spacing w:val="-1"/>
        </w:rPr>
        <w:t xml:space="preserve"> </w:t>
      </w:r>
      <w:r w:rsidRPr="00E445FD">
        <w:rPr>
          <w:b/>
          <w:bCs/>
          <w:color w:val="242021"/>
        </w:rPr>
        <w:t>after</w:t>
      </w:r>
      <w:r w:rsidRPr="00E445FD">
        <w:rPr>
          <w:b/>
          <w:bCs/>
          <w:color w:val="242021"/>
          <w:spacing w:val="-1"/>
        </w:rPr>
        <w:t xml:space="preserve"> </w:t>
      </w:r>
      <w:r w:rsidRPr="00E445FD">
        <w:rPr>
          <w:b/>
          <w:bCs/>
          <w:color w:val="242021"/>
        </w:rPr>
        <w:t>date</w:t>
      </w:r>
      <w:r w:rsidRPr="00E445FD">
        <w:rPr>
          <w:b/>
          <w:bCs/>
          <w:color w:val="242021"/>
          <w:spacing w:val="-1"/>
        </w:rPr>
        <w:t xml:space="preserve"> </w:t>
      </w:r>
      <w:r w:rsidRPr="00E445FD">
        <w:rPr>
          <w:b/>
          <w:bCs/>
          <w:color w:val="242021"/>
        </w:rPr>
        <w:t>of</w:t>
      </w:r>
      <w:r w:rsidRPr="00E445FD">
        <w:rPr>
          <w:b/>
          <w:bCs/>
          <w:color w:val="242021"/>
          <w:spacing w:val="-1"/>
        </w:rPr>
        <w:t xml:space="preserve"> </w:t>
      </w:r>
      <w:r w:rsidRPr="00E445FD">
        <w:rPr>
          <w:b/>
          <w:bCs/>
          <w:color w:val="242021"/>
        </w:rPr>
        <w:t>publication</w:t>
      </w:r>
      <w:r w:rsidRPr="00E445FD">
        <w:rPr>
          <w:b/>
          <w:bCs/>
          <w:color w:val="242021"/>
          <w:spacing w:val="-1"/>
        </w:rPr>
        <w:t xml:space="preserve"> </w:t>
      </w:r>
      <w:r w:rsidRPr="00E445FD">
        <w:rPr>
          <w:b/>
          <w:bCs/>
          <w:color w:val="242021"/>
        </w:rPr>
        <w:t>in</w:t>
      </w:r>
      <w:r w:rsidRPr="00E445FD">
        <w:rPr>
          <w:b/>
          <w:bCs/>
          <w:color w:val="242021"/>
          <w:spacing w:val="-1"/>
        </w:rPr>
        <w:t xml:space="preserve"> </w:t>
      </w:r>
      <w:r w:rsidRPr="00E445FD">
        <w:rPr>
          <w:b/>
          <w:bCs/>
          <w:color w:val="242021"/>
        </w:rPr>
        <w:t>the</w:t>
      </w:r>
      <w:r w:rsidRPr="00E445FD">
        <w:rPr>
          <w:b/>
          <w:bCs/>
          <w:color w:val="242021"/>
          <w:spacing w:val="-1"/>
        </w:rPr>
        <w:t xml:space="preserve"> </w:t>
      </w:r>
      <w:r w:rsidRPr="00E445FD">
        <w:rPr>
          <w:b/>
          <w:bCs/>
          <w:color w:val="242021"/>
        </w:rPr>
        <w:t>Federal</w:t>
      </w:r>
      <w:r w:rsidRPr="00E445FD">
        <w:rPr>
          <w:b/>
          <w:bCs/>
          <w:color w:val="242021"/>
          <w:spacing w:val="-1"/>
        </w:rPr>
        <w:t xml:space="preserve"> </w:t>
      </w:r>
      <w:r w:rsidRPr="00E445FD">
        <w:rPr>
          <w:b/>
          <w:bCs/>
          <w:color w:val="242021"/>
        </w:rPr>
        <w:t>Register)</w:t>
      </w:r>
    </w:p>
    <w:p w:rsidR="00187485" w:rsidP="00187485">
      <w:pPr>
        <w:autoSpaceDE w:val="0"/>
        <w:autoSpaceDN w:val="0"/>
        <w:adjustRightInd w:val="0"/>
        <w:ind w:firstLine="720"/>
        <w:rPr>
          <w:b/>
          <w:bCs/>
          <w:color w:val="242021"/>
        </w:rPr>
      </w:pPr>
    </w:p>
    <w:p w:rsidR="00187485" w:rsidRPr="00392008" w:rsidP="00E31E29">
      <w:pPr>
        <w:pStyle w:val="ParaNum"/>
        <w:numPr>
          <w:ilvl w:val="0"/>
          <w:numId w:val="0"/>
        </w:numPr>
        <w:ind w:firstLine="720"/>
        <w:rPr>
          <w:color w:val="000000"/>
        </w:rPr>
      </w:pPr>
      <w:r w:rsidRPr="00392008">
        <w:t xml:space="preserve">By this Public Notice, the Consumer </w:t>
      </w:r>
      <w:r w:rsidRPr="00392008">
        <w:t>and</w:t>
      </w:r>
      <w:r w:rsidRPr="00392008">
        <w:t xml:space="preserve"> Governmental Affairs Bureau (“CGB”) seeks comment on</w:t>
      </w:r>
      <w:r w:rsidRPr="00392008">
        <w:rPr>
          <w:spacing w:val="-1"/>
        </w:rPr>
        <w:t xml:space="preserve"> </w:t>
      </w:r>
      <w:r w:rsidRPr="00392008">
        <w:t>whether</w:t>
      </w:r>
      <w:r w:rsidRPr="00392008">
        <w:rPr>
          <w:spacing w:val="-1"/>
        </w:rPr>
        <w:t xml:space="preserve"> </w:t>
      </w:r>
      <w:r w:rsidRPr="00392008">
        <w:t>certain</w:t>
      </w:r>
      <w:r w:rsidRPr="00392008">
        <w:rPr>
          <w:spacing w:val="-1"/>
        </w:rPr>
        <w:t xml:space="preserve"> </w:t>
      </w:r>
      <w:r w:rsidRPr="00392008">
        <w:t>docketed</w:t>
      </w:r>
      <w:r w:rsidRPr="00392008">
        <w:rPr>
          <w:spacing w:val="-1"/>
        </w:rPr>
        <w:t xml:space="preserve"> </w:t>
      </w:r>
      <w:r w:rsidRPr="00392008">
        <w:t>Commission</w:t>
      </w:r>
      <w:r w:rsidRPr="00392008">
        <w:rPr>
          <w:spacing w:val="-1"/>
        </w:rPr>
        <w:t xml:space="preserve"> </w:t>
      </w:r>
      <w:r w:rsidRPr="00392008">
        <w:t>proceedings</w:t>
      </w:r>
      <w:r w:rsidRPr="00392008">
        <w:rPr>
          <w:spacing w:val="-1"/>
        </w:rPr>
        <w:t xml:space="preserve"> </w:t>
      </w:r>
      <w:r w:rsidRPr="00392008">
        <w:t>should</w:t>
      </w:r>
      <w:r w:rsidRPr="00392008">
        <w:rPr>
          <w:spacing w:val="-1"/>
        </w:rPr>
        <w:t xml:space="preserve"> </w:t>
      </w:r>
      <w:r w:rsidRPr="00392008">
        <w:t>be</w:t>
      </w:r>
      <w:r w:rsidRPr="00392008">
        <w:rPr>
          <w:spacing w:val="-1"/>
        </w:rPr>
        <w:t xml:space="preserve"> </w:t>
      </w:r>
      <w:r w:rsidRPr="00392008">
        <w:t>terminated</w:t>
      </w:r>
      <w:r w:rsidRPr="00392008">
        <w:rPr>
          <w:spacing w:val="-1"/>
        </w:rPr>
        <w:t xml:space="preserve"> </w:t>
      </w:r>
      <w:r w:rsidRPr="00392008">
        <w:t>as</w:t>
      </w:r>
      <w:r w:rsidRPr="00392008">
        <w:rPr>
          <w:spacing w:val="-1"/>
        </w:rPr>
        <w:t xml:space="preserve"> </w:t>
      </w:r>
      <w:r w:rsidRPr="00392008">
        <w:t>dormant (Attachment).</w:t>
      </w:r>
    </w:p>
    <w:p w:rsidR="00187485" w:rsidRPr="00392008" w:rsidP="00E31E29">
      <w:pPr>
        <w:pStyle w:val="ParaNum"/>
        <w:numPr>
          <w:ilvl w:val="0"/>
          <w:numId w:val="0"/>
        </w:numPr>
        <w:ind w:firstLine="720"/>
        <w:rPr>
          <w:spacing w:val="-3"/>
        </w:rPr>
      </w:pPr>
      <w:r w:rsidRPr="00392008">
        <w:t>By Report and Order released on February 4, 2011</w:t>
      </w:r>
      <w:r w:rsidRPr="00392008">
        <w:rPr>
          <w:spacing w:val="-3"/>
        </w:rPr>
        <w:t>,</w:t>
      </w:r>
      <w:r>
        <w:rPr>
          <w:rStyle w:val="FootnoteReference"/>
          <w:color w:val="242021"/>
          <w:szCs w:val="22"/>
        </w:rPr>
        <w:footnoteReference w:id="3"/>
      </w:r>
      <w:r w:rsidRPr="00392008">
        <w:rPr>
          <w:spacing w:val="19"/>
          <w:position w:val="10"/>
        </w:rPr>
        <w:t xml:space="preserve"> </w:t>
      </w:r>
      <w:r w:rsidRPr="00392008">
        <w:t>the Commission revised portions of its Part 1 practice and procedural rules and its Part 0 organizational rules to increase the efficiency of Commission decision</w:t>
      </w:r>
      <w:r w:rsidRPr="00392008">
        <w:rPr>
          <w:spacing w:val="-4"/>
        </w:rPr>
        <w:t>-m</w:t>
      </w:r>
      <w:r w:rsidRPr="00392008">
        <w:rPr>
          <w:spacing w:val="3"/>
        </w:rPr>
        <w:t>a</w:t>
      </w:r>
      <w:r w:rsidRPr="00392008">
        <w:t xml:space="preserve">king, modernize the agency’s processes in the digital </w:t>
      </w:r>
      <w:r w:rsidRPr="00392008">
        <w:rPr>
          <w:spacing w:val="-1"/>
        </w:rPr>
        <w:t>a</w:t>
      </w:r>
      <w:r w:rsidRPr="00392008">
        <w:t>ge, and enhance the openness</w:t>
      </w:r>
      <w:r w:rsidRPr="00392008">
        <w:rPr>
          <w:spacing w:val="-1"/>
        </w:rPr>
        <w:t xml:space="preserve"> </w:t>
      </w:r>
      <w:r w:rsidRPr="00392008">
        <w:t>and transparency of Commission proceedings for practitioners and the public</w:t>
      </w:r>
      <w:r w:rsidRPr="00392008">
        <w:rPr>
          <w:spacing w:val="-4"/>
        </w:rPr>
        <w:t>.</w:t>
      </w:r>
      <w:r>
        <w:rPr>
          <w:rStyle w:val="FootnoteReference"/>
          <w:color w:val="242021"/>
          <w:spacing w:val="-4"/>
          <w:szCs w:val="22"/>
        </w:rPr>
        <w:footnoteReference w:id="4"/>
      </w:r>
      <w:r w:rsidRPr="00392008">
        <w:rPr>
          <w:spacing w:val="-4"/>
        </w:rPr>
        <w:t xml:space="preserve">  </w:t>
      </w:r>
      <w:r w:rsidRPr="00392008">
        <w:t>The re</w:t>
      </w:r>
      <w:r w:rsidRPr="00392008">
        <w:rPr>
          <w:spacing w:val="-5"/>
        </w:rPr>
        <w:t>v</w:t>
      </w:r>
      <w:r w:rsidRPr="00392008">
        <w:t>ised</w:t>
      </w:r>
      <w:r w:rsidRPr="00392008">
        <w:rPr>
          <w:spacing w:val="-1"/>
        </w:rPr>
        <w:t xml:space="preserve"> </w:t>
      </w:r>
      <w:r w:rsidRPr="00392008">
        <w:t>rules</w:t>
      </w:r>
      <w:r w:rsidRPr="00392008">
        <w:rPr>
          <w:spacing w:val="-1"/>
        </w:rPr>
        <w:t xml:space="preserve"> </w:t>
      </w:r>
      <w:r w:rsidRPr="00392008">
        <w:t>delegate authority to the Chief of CGB to periodically review all open dock</w:t>
      </w:r>
      <w:r w:rsidRPr="00392008">
        <w:t xml:space="preserve">ets and, in consultation with the responsible Bureaus or </w:t>
      </w:r>
      <w:r w:rsidRPr="00392008">
        <w:rPr>
          <w:spacing w:val="-1"/>
        </w:rPr>
        <w:t>O</w:t>
      </w:r>
      <w:r w:rsidRPr="00392008">
        <w:t>ffices,</w:t>
      </w:r>
      <w:r w:rsidRPr="00392008">
        <w:rPr>
          <w:spacing w:val="-1"/>
        </w:rPr>
        <w:t xml:space="preserve"> </w:t>
      </w:r>
      <w:r w:rsidRPr="00392008">
        <w:t>to</w:t>
      </w:r>
      <w:r w:rsidRPr="00392008">
        <w:rPr>
          <w:spacing w:val="-1"/>
        </w:rPr>
        <w:t xml:space="preserve"> </w:t>
      </w:r>
      <w:r w:rsidRPr="00392008">
        <w:t>identify</w:t>
      </w:r>
      <w:r w:rsidRPr="00392008">
        <w:rPr>
          <w:spacing w:val="-1"/>
        </w:rPr>
        <w:t xml:space="preserve"> </w:t>
      </w:r>
      <w:r w:rsidRPr="00392008">
        <w:t>those</w:t>
      </w:r>
      <w:r w:rsidRPr="00392008">
        <w:rPr>
          <w:spacing w:val="-1"/>
        </w:rPr>
        <w:t xml:space="preserve"> </w:t>
      </w:r>
      <w:r w:rsidRPr="00392008">
        <w:t>dockets</w:t>
      </w:r>
      <w:r w:rsidRPr="00392008">
        <w:rPr>
          <w:spacing w:val="-1"/>
        </w:rPr>
        <w:t xml:space="preserve"> </w:t>
      </w:r>
      <w:r w:rsidRPr="00392008">
        <w:t>that</w:t>
      </w:r>
      <w:r w:rsidRPr="00392008">
        <w:rPr>
          <w:spacing w:val="-1"/>
        </w:rPr>
        <w:t xml:space="preserve"> </w:t>
      </w:r>
      <w:r w:rsidRPr="00392008">
        <w:t>appear</w:t>
      </w:r>
      <w:r w:rsidRPr="00392008">
        <w:rPr>
          <w:spacing w:val="-1"/>
        </w:rPr>
        <w:t xml:space="preserve"> </w:t>
      </w:r>
      <w:r w:rsidRPr="00392008">
        <w:t>to</w:t>
      </w:r>
      <w:r w:rsidRPr="00392008">
        <w:rPr>
          <w:spacing w:val="-1"/>
        </w:rPr>
        <w:t xml:space="preserve"> </w:t>
      </w:r>
      <w:r w:rsidRPr="00392008">
        <w:t>be</w:t>
      </w:r>
      <w:r w:rsidRPr="00392008">
        <w:rPr>
          <w:spacing w:val="-1"/>
        </w:rPr>
        <w:t xml:space="preserve"> </w:t>
      </w:r>
      <w:r w:rsidRPr="00392008">
        <w:t>candidates</w:t>
      </w:r>
      <w:r w:rsidRPr="00392008">
        <w:rPr>
          <w:spacing w:val="-1"/>
        </w:rPr>
        <w:t xml:space="preserve"> </w:t>
      </w:r>
      <w:r w:rsidRPr="00392008">
        <w:t>for</w:t>
      </w:r>
      <w:r w:rsidRPr="00392008">
        <w:rPr>
          <w:spacing w:val="-1"/>
        </w:rPr>
        <w:t xml:space="preserve"> </w:t>
      </w:r>
      <w:r w:rsidRPr="00392008">
        <w:t>termination</w:t>
      </w:r>
      <w:r w:rsidRPr="00392008">
        <w:rPr>
          <w:spacing w:val="-4"/>
        </w:rPr>
        <w:t>.</w:t>
      </w:r>
      <w:r>
        <w:rPr>
          <w:rStyle w:val="FootnoteReference"/>
          <w:color w:val="242021"/>
          <w:spacing w:val="-4"/>
          <w:szCs w:val="22"/>
        </w:rPr>
        <w:footnoteReference w:id="5"/>
      </w:r>
      <w:r w:rsidRPr="00392008">
        <w:rPr>
          <w:spacing w:val="-4"/>
        </w:rPr>
        <w:t xml:space="preserve">  </w:t>
      </w:r>
      <w:r w:rsidRPr="00392008">
        <w:t>The Commission stated that these candidates may include dockets in which no further action is required or</w:t>
      </w:r>
      <w:r w:rsidRPr="00392008">
        <w:rPr>
          <w:spacing w:val="-1"/>
        </w:rPr>
        <w:t xml:space="preserve"> </w:t>
      </w:r>
      <w:r w:rsidRPr="00392008">
        <w:t>contemplat</w:t>
      </w:r>
      <w:r w:rsidRPr="00392008">
        <w:t>ed as</w:t>
      </w:r>
      <w:r w:rsidRPr="00392008">
        <w:rPr>
          <w:spacing w:val="-1"/>
        </w:rPr>
        <w:t xml:space="preserve"> </w:t>
      </w:r>
      <w:r w:rsidRPr="00392008">
        <w:t>well as</w:t>
      </w:r>
      <w:r w:rsidRPr="00392008">
        <w:rPr>
          <w:spacing w:val="-1"/>
        </w:rPr>
        <w:t xml:space="preserve"> </w:t>
      </w:r>
      <w:r w:rsidRPr="00392008">
        <w:t>those</w:t>
      </w:r>
      <w:r w:rsidRPr="00392008">
        <w:rPr>
          <w:spacing w:val="-1"/>
        </w:rPr>
        <w:t xml:space="preserve"> </w:t>
      </w:r>
      <w:r w:rsidRPr="00392008">
        <w:t>in</w:t>
      </w:r>
      <w:r w:rsidRPr="00392008">
        <w:rPr>
          <w:spacing w:val="-1"/>
        </w:rPr>
        <w:t xml:space="preserve"> </w:t>
      </w:r>
      <w:r w:rsidRPr="00392008">
        <w:t>which</w:t>
      </w:r>
      <w:r w:rsidRPr="00392008">
        <w:rPr>
          <w:spacing w:val="-1"/>
        </w:rPr>
        <w:t xml:space="preserve"> </w:t>
      </w:r>
      <w:r w:rsidRPr="00392008">
        <w:t>no</w:t>
      </w:r>
      <w:r w:rsidRPr="00392008">
        <w:rPr>
          <w:spacing w:val="-1"/>
        </w:rPr>
        <w:t xml:space="preserve"> </w:t>
      </w:r>
      <w:r w:rsidRPr="00392008">
        <w:t>pleadings or</w:t>
      </w:r>
      <w:r w:rsidRPr="00392008">
        <w:rPr>
          <w:spacing w:val="-1"/>
        </w:rPr>
        <w:t xml:space="preserve"> </w:t>
      </w:r>
      <w:r w:rsidRPr="00392008">
        <w:t>other</w:t>
      </w:r>
      <w:r w:rsidRPr="00392008">
        <w:rPr>
          <w:spacing w:val="-1"/>
        </w:rPr>
        <w:t xml:space="preserve"> </w:t>
      </w:r>
      <w:r w:rsidRPr="00392008">
        <w:t>docume</w:t>
      </w:r>
      <w:r w:rsidRPr="00392008">
        <w:rPr>
          <w:spacing w:val="-1"/>
        </w:rPr>
        <w:t>n</w:t>
      </w:r>
      <w:r w:rsidRPr="00392008">
        <w:t>ts have been filed for several years</w:t>
      </w:r>
      <w:r w:rsidRPr="00392008">
        <w:rPr>
          <w:spacing w:val="-2"/>
        </w:rPr>
        <w:t>,</w:t>
      </w:r>
      <w:r w:rsidRPr="00392008">
        <w:rPr>
          <w:spacing w:val="19"/>
          <w:position w:val="10"/>
        </w:rPr>
        <w:t xml:space="preserve"> </w:t>
      </w:r>
      <w:r w:rsidRPr="00392008">
        <w:t>but</w:t>
      </w:r>
      <w:r w:rsidRPr="00392008">
        <w:rPr>
          <w:spacing w:val="-1"/>
        </w:rPr>
        <w:t xml:space="preserve"> </w:t>
      </w:r>
      <w:r w:rsidRPr="00392008">
        <w:t>it</w:t>
      </w:r>
      <w:r w:rsidRPr="00392008">
        <w:rPr>
          <w:spacing w:val="-1"/>
        </w:rPr>
        <w:t xml:space="preserve"> </w:t>
      </w:r>
      <w:r w:rsidRPr="00392008">
        <w:t>specified that</w:t>
      </w:r>
      <w:r w:rsidRPr="00392008">
        <w:rPr>
          <w:spacing w:val="-1"/>
        </w:rPr>
        <w:t xml:space="preserve"> </w:t>
      </w:r>
      <w:r w:rsidRPr="00392008">
        <w:t>proceedings</w:t>
      </w:r>
      <w:r w:rsidRPr="00392008">
        <w:rPr>
          <w:spacing w:val="-1"/>
        </w:rPr>
        <w:t xml:space="preserve"> </w:t>
      </w:r>
      <w:r w:rsidRPr="00392008">
        <w:t>in</w:t>
      </w:r>
      <w:r w:rsidRPr="00392008">
        <w:rPr>
          <w:spacing w:val="-1"/>
        </w:rPr>
        <w:t xml:space="preserve"> </w:t>
      </w:r>
      <w:r w:rsidRPr="00392008">
        <w:t>which</w:t>
      </w:r>
      <w:r w:rsidRPr="00392008">
        <w:rPr>
          <w:spacing w:val="-1"/>
        </w:rPr>
        <w:t xml:space="preserve"> </w:t>
      </w:r>
      <w:r w:rsidRPr="00392008">
        <w:t>petitions addressing</w:t>
      </w:r>
      <w:r w:rsidRPr="00392008">
        <w:rPr>
          <w:spacing w:val="-1"/>
        </w:rPr>
        <w:t xml:space="preserve"> </w:t>
      </w:r>
      <w:r w:rsidRPr="00392008">
        <w:t>the</w:t>
      </w:r>
      <w:r w:rsidRPr="00392008">
        <w:rPr>
          <w:spacing w:val="-1"/>
        </w:rPr>
        <w:t xml:space="preserve"> </w:t>
      </w:r>
      <w:r w:rsidRPr="00392008">
        <w:t>merits</w:t>
      </w:r>
      <w:r w:rsidRPr="00392008">
        <w:rPr>
          <w:spacing w:val="-1"/>
        </w:rPr>
        <w:t xml:space="preserve"> </w:t>
      </w:r>
      <w:r w:rsidRPr="00392008">
        <w:t>are</w:t>
      </w:r>
      <w:r w:rsidRPr="00392008">
        <w:rPr>
          <w:spacing w:val="-1"/>
        </w:rPr>
        <w:t xml:space="preserve"> </w:t>
      </w:r>
      <w:r w:rsidRPr="00392008">
        <w:t>pending</w:t>
      </w:r>
      <w:r w:rsidRPr="00392008">
        <w:rPr>
          <w:spacing w:val="-1"/>
        </w:rPr>
        <w:t xml:space="preserve"> </w:t>
      </w:r>
      <w:r w:rsidRPr="00392008">
        <w:t>should</w:t>
      </w:r>
      <w:r w:rsidRPr="00392008">
        <w:rPr>
          <w:spacing w:val="-1"/>
        </w:rPr>
        <w:t xml:space="preserve"> </w:t>
      </w:r>
      <w:r w:rsidRPr="00392008">
        <w:t>not</w:t>
      </w:r>
      <w:r w:rsidRPr="00392008">
        <w:rPr>
          <w:spacing w:val="-1"/>
        </w:rPr>
        <w:t xml:space="preserve"> </w:t>
      </w:r>
      <w:r w:rsidRPr="00392008">
        <w:t>be terminated, absent the parties’ consent</w:t>
      </w:r>
      <w:r w:rsidRPr="00392008">
        <w:rPr>
          <w:spacing w:val="-3"/>
        </w:rPr>
        <w:t>.</w:t>
      </w:r>
      <w:r>
        <w:rPr>
          <w:rStyle w:val="FootnoteReference"/>
          <w:color w:val="242021"/>
          <w:spacing w:val="-3"/>
          <w:szCs w:val="22"/>
        </w:rPr>
        <w:footnoteReference w:id="6"/>
      </w:r>
      <w:r w:rsidRPr="00392008">
        <w:rPr>
          <w:spacing w:val="-3"/>
        </w:rPr>
        <w:t xml:space="preserve">  </w:t>
      </w:r>
      <w:r w:rsidRPr="00392008">
        <w:t>The</w:t>
      </w:r>
      <w:r w:rsidRPr="00392008">
        <w:rPr>
          <w:spacing w:val="-1"/>
        </w:rPr>
        <w:t xml:space="preserve"> </w:t>
      </w:r>
      <w:r w:rsidRPr="00392008">
        <w:t xml:space="preserve">termination </w:t>
      </w:r>
      <w:r w:rsidRPr="00392008">
        <w:t>of</w:t>
      </w:r>
      <w:r w:rsidRPr="00392008">
        <w:rPr>
          <w:spacing w:val="-1"/>
        </w:rPr>
        <w:t xml:space="preserve"> </w:t>
      </w:r>
      <w:r w:rsidRPr="00392008">
        <w:t>a</w:t>
      </w:r>
      <w:r w:rsidRPr="00392008">
        <w:rPr>
          <w:spacing w:val="-1"/>
        </w:rPr>
        <w:t xml:space="preserve"> </w:t>
      </w:r>
      <w:r w:rsidRPr="00392008">
        <w:t>dormant proceeding also</w:t>
      </w:r>
      <w:r w:rsidRPr="00392008">
        <w:rPr>
          <w:spacing w:val="-1"/>
        </w:rPr>
        <w:t xml:space="preserve"> </w:t>
      </w:r>
      <w:r w:rsidRPr="00392008">
        <w:t>includes dismissal as moot of</w:t>
      </w:r>
      <w:r w:rsidRPr="00392008">
        <w:rPr>
          <w:spacing w:val="-1"/>
        </w:rPr>
        <w:t xml:space="preserve"> </w:t>
      </w:r>
      <w:r w:rsidRPr="00392008">
        <w:t>any</w:t>
      </w:r>
      <w:r w:rsidRPr="00392008">
        <w:rPr>
          <w:spacing w:val="-1"/>
        </w:rPr>
        <w:t xml:space="preserve"> </w:t>
      </w:r>
      <w:r w:rsidRPr="00392008">
        <w:t>pending</w:t>
      </w:r>
      <w:r w:rsidRPr="00392008">
        <w:rPr>
          <w:spacing w:val="-1"/>
        </w:rPr>
        <w:t xml:space="preserve"> </w:t>
      </w:r>
      <w:r w:rsidRPr="00392008">
        <w:t>petition, motion, or</w:t>
      </w:r>
      <w:r w:rsidRPr="00392008">
        <w:rPr>
          <w:spacing w:val="-1"/>
        </w:rPr>
        <w:t xml:space="preserve"> </w:t>
      </w:r>
      <w:r w:rsidRPr="00392008">
        <w:t>other</w:t>
      </w:r>
      <w:r w:rsidRPr="00392008">
        <w:rPr>
          <w:spacing w:val="-1"/>
        </w:rPr>
        <w:t xml:space="preserve"> </w:t>
      </w:r>
      <w:r w:rsidRPr="00392008">
        <w:t>request</w:t>
      </w:r>
      <w:r w:rsidRPr="00392008">
        <w:rPr>
          <w:spacing w:val="-1"/>
        </w:rPr>
        <w:t xml:space="preserve"> </w:t>
      </w:r>
      <w:r w:rsidRPr="00392008">
        <w:t>for</w:t>
      </w:r>
      <w:r w:rsidRPr="00392008">
        <w:rPr>
          <w:spacing w:val="-1"/>
        </w:rPr>
        <w:t xml:space="preserve"> </w:t>
      </w:r>
      <w:r w:rsidRPr="00392008">
        <w:t>relief that is</w:t>
      </w:r>
      <w:r w:rsidRPr="00392008">
        <w:rPr>
          <w:spacing w:val="-1"/>
        </w:rPr>
        <w:t xml:space="preserve"> </w:t>
      </w:r>
      <w:r w:rsidRPr="00392008">
        <w:t>procedural in</w:t>
      </w:r>
      <w:r w:rsidRPr="00392008">
        <w:rPr>
          <w:spacing w:val="-1"/>
        </w:rPr>
        <w:t xml:space="preserve"> </w:t>
      </w:r>
      <w:r w:rsidRPr="00392008">
        <w:t>nature or</w:t>
      </w:r>
      <w:r w:rsidRPr="00392008">
        <w:rPr>
          <w:color w:val="000000"/>
        </w:rPr>
        <w:t xml:space="preserve"> </w:t>
      </w:r>
      <w:r w:rsidRPr="00392008">
        <w:t>otherwise does not address the merits of the proceeding</w:t>
      </w:r>
      <w:r w:rsidRPr="00392008">
        <w:rPr>
          <w:spacing w:val="2"/>
        </w:rPr>
        <w:t>.</w:t>
      </w:r>
      <w:r>
        <w:rPr>
          <w:rStyle w:val="FootnoteReference"/>
          <w:color w:val="242021"/>
          <w:spacing w:val="2"/>
          <w:szCs w:val="22"/>
        </w:rPr>
        <w:footnoteReference w:id="7"/>
      </w:r>
      <w:r w:rsidRPr="00392008">
        <w:rPr>
          <w:spacing w:val="2"/>
        </w:rPr>
        <w:t xml:space="preserve">  </w:t>
      </w:r>
      <w:r w:rsidRPr="00392008">
        <w:t>Following these procedures, by Order released on</w:t>
      </w:r>
      <w:r w:rsidRPr="00392008">
        <w:t xml:space="preserve"> November 1, 2011, CGB terminated, as dormant, 999 docke</w:t>
      </w:r>
      <w:r w:rsidRPr="00392008">
        <w:rPr>
          <w:spacing w:val="1"/>
        </w:rPr>
        <w:t>t</w:t>
      </w:r>
      <w:r w:rsidRPr="00392008">
        <w:t>ed proceedings</w:t>
      </w:r>
      <w:r w:rsidRPr="00392008">
        <w:rPr>
          <w:spacing w:val="-3"/>
        </w:rPr>
        <w:t>.</w:t>
      </w:r>
      <w:r>
        <w:rPr>
          <w:rStyle w:val="FootnoteReference"/>
          <w:color w:val="242021"/>
          <w:spacing w:val="-3"/>
          <w:szCs w:val="22"/>
        </w:rPr>
        <w:footnoteReference w:id="8"/>
      </w:r>
    </w:p>
    <w:p w:rsidR="00187485" w:rsidRPr="00392008" w:rsidP="00E31E29">
      <w:pPr>
        <w:pStyle w:val="ParaNum"/>
        <w:numPr>
          <w:ilvl w:val="0"/>
          <w:numId w:val="0"/>
        </w:numPr>
        <w:ind w:firstLine="720"/>
        <w:rPr>
          <w:spacing w:val="-1"/>
        </w:rPr>
      </w:pPr>
      <w:r w:rsidRPr="00392008">
        <w:rPr>
          <w:spacing w:val="-3"/>
        </w:rPr>
        <w:t xml:space="preserve">In the </w:t>
      </w:r>
      <w:r w:rsidRPr="00392008">
        <w:rPr>
          <w:i/>
        </w:rPr>
        <w:t>Procedure Order</w:t>
      </w:r>
      <w:r w:rsidRPr="00392008">
        <w:t>, the Commission directed that a public notice, identifying dockets under consideration for termination and affording interested parties an opportunity to com</w:t>
      </w:r>
      <w:r w:rsidRPr="00392008">
        <w:t>ment, should be issued before terminating a proceeding.</w:t>
      </w:r>
      <w:r>
        <w:rPr>
          <w:rStyle w:val="FootnoteReference"/>
          <w:color w:val="242021"/>
          <w:szCs w:val="22"/>
        </w:rPr>
        <w:footnoteReference w:id="9"/>
      </w:r>
      <w:r w:rsidRPr="00392008">
        <w:t xml:space="preserve">  Since then, the Commission has adopted a series of public </w:t>
      </w:r>
      <w:r w:rsidRPr="00392008">
        <w:t>notices and related Orders, closing hundreds of dormant proceedings.</w:t>
      </w:r>
      <w:r>
        <w:rPr>
          <w:rStyle w:val="FootnoteReference"/>
          <w:szCs w:val="22"/>
        </w:rPr>
        <w:footnoteReference w:id="10"/>
      </w:r>
      <w:r w:rsidRPr="00392008">
        <w:t xml:space="preserve">  </w:t>
      </w:r>
      <w:r w:rsidRPr="00392008">
        <w:t>Termination of the proceedings in these Orders furthered the Commissi</w:t>
      </w:r>
      <w:r w:rsidRPr="00392008">
        <w:t>on’s organizational goals of increasing the efficiency of its decision-making, modernizing the agency’s processes in the digital age, and enhancing the openness and transparency of Commission proceedings for practitioners and the public.  The records in te</w:t>
      </w:r>
      <w:r w:rsidRPr="00392008">
        <w:t>rminated proceedings remain part of the Commission’s official records, and the various pleadings, orders, and other documents in these dockets continue to be accessible to the public, post-termination.</w:t>
      </w:r>
    </w:p>
    <w:p w:rsidR="00187485" w:rsidRPr="00392008" w:rsidP="00E31E29">
      <w:pPr>
        <w:pStyle w:val="ParaNum"/>
        <w:numPr>
          <w:ilvl w:val="0"/>
          <w:numId w:val="0"/>
        </w:numPr>
        <w:ind w:firstLine="720"/>
        <w:rPr>
          <w:color w:val="000000"/>
        </w:rPr>
      </w:pPr>
      <w:r w:rsidRPr="00392008">
        <w:t>CGB,</w:t>
      </w:r>
      <w:r w:rsidRPr="00392008">
        <w:rPr>
          <w:spacing w:val="-1"/>
        </w:rPr>
        <w:t xml:space="preserve"> </w:t>
      </w:r>
      <w:r w:rsidRPr="00392008">
        <w:t>in</w:t>
      </w:r>
      <w:r w:rsidRPr="00392008">
        <w:rPr>
          <w:spacing w:val="-1"/>
        </w:rPr>
        <w:t xml:space="preserve"> </w:t>
      </w:r>
      <w:r w:rsidRPr="00392008">
        <w:t>coordination</w:t>
      </w:r>
      <w:r w:rsidRPr="00392008">
        <w:rPr>
          <w:spacing w:val="-1"/>
        </w:rPr>
        <w:t xml:space="preserve"> </w:t>
      </w:r>
      <w:r w:rsidRPr="00392008">
        <w:t>with</w:t>
      </w:r>
      <w:r w:rsidRPr="00392008">
        <w:rPr>
          <w:spacing w:val="-1"/>
        </w:rPr>
        <w:t xml:space="preserve"> </w:t>
      </w:r>
      <w:r w:rsidRPr="00392008">
        <w:t>the</w:t>
      </w:r>
      <w:r w:rsidRPr="00392008">
        <w:rPr>
          <w:spacing w:val="-1"/>
        </w:rPr>
        <w:t xml:space="preserve"> </w:t>
      </w:r>
      <w:r w:rsidRPr="00392008">
        <w:t>responsible Bureaus and</w:t>
      </w:r>
      <w:r w:rsidRPr="00392008">
        <w:t xml:space="preserve"> Offices, </w:t>
      </w:r>
      <w:r w:rsidRPr="00392008">
        <w:rPr>
          <w:spacing w:val="-1"/>
        </w:rPr>
        <w:t xml:space="preserve">has once again </w:t>
      </w:r>
      <w:r w:rsidRPr="00392008">
        <w:t>identified dockets for possible termination</w:t>
      </w:r>
      <w:r w:rsidRPr="00392008">
        <w:rPr>
          <w:spacing w:val="-4"/>
        </w:rPr>
        <w:t>.</w:t>
      </w:r>
      <w:r>
        <w:rPr>
          <w:rStyle w:val="FootnoteReference"/>
          <w:color w:val="242021"/>
          <w:spacing w:val="-4"/>
          <w:szCs w:val="22"/>
        </w:rPr>
        <w:footnoteReference w:id="11"/>
      </w:r>
      <w:r w:rsidRPr="00392008">
        <w:rPr>
          <w:position w:val="10"/>
        </w:rPr>
        <w:t xml:space="preserve">  </w:t>
      </w:r>
      <w:r w:rsidRPr="00392008">
        <w:t xml:space="preserve">By this </w:t>
      </w:r>
      <w:r w:rsidRPr="00392008">
        <w:rPr>
          <w:i/>
        </w:rPr>
        <w:t>Seventh</w:t>
      </w:r>
      <w:r w:rsidRPr="00392008">
        <w:rPr>
          <w:i/>
        </w:rPr>
        <w:t xml:space="preserve"> Dormant Proceedings Termination Public Notice</w:t>
      </w:r>
      <w:r w:rsidRPr="00392008">
        <w:t>, CGB hereby seeks comment from interested parties on the possible t</w:t>
      </w:r>
      <w:r w:rsidRPr="00392008">
        <w:rPr>
          <w:spacing w:val="-1"/>
        </w:rPr>
        <w:t>e</w:t>
      </w:r>
      <w:r w:rsidRPr="00392008">
        <w:t>rmination</w:t>
      </w:r>
      <w:r w:rsidRPr="00392008">
        <w:rPr>
          <w:spacing w:val="-2"/>
        </w:rPr>
        <w:t xml:space="preserve"> </w:t>
      </w:r>
      <w:r w:rsidRPr="00392008">
        <w:t>of</w:t>
      </w:r>
      <w:r w:rsidRPr="00392008">
        <w:rPr>
          <w:spacing w:val="-2"/>
        </w:rPr>
        <w:t xml:space="preserve"> </w:t>
      </w:r>
      <w:r w:rsidRPr="00392008">
        <w:t xml:space="preserve">the proceedings listed in the Attachment.  To the extent that a </w:t>
      </w:r>
      <w:r w:rsidRPr="00392008">
        <w:t>particular proceeding</w:t>
      </w:r>
      <w:r w:rsidRPr="00392008">
        <w:t xml:space="preserve"> includes a petition addressing the merits or other pending</w:t>
      </w:r>
      <w:r w:rsidRPr="00392008">
        <w:rPr>
          <w:spacing w:val="-1"/>
        </w:rPr>
        <w:t xml:space="preserve"> </w:t>
      </w:r>
      <w:r w:rsidRPr="00392008">
        <w:t>pleadings, a</w:t>
      </w:r>
      <w:r w:rsidRPr="00392008">
        <w:rPr>
          <w:spacing w:val="-1"/>
        </w:rPr>
        <w:t xml:space="preserve"> </w:t>
      </w:r>
      <w:r w:rsidRPr="00392008">
        <w:t>party’s</w:t>
      </w:r>
      <w:r w:rsidRPr="00392008">
        <w:rPr>
          <w:spacing w:val="-1"/>
        </w:rPr>
        <w:t xml:space="preserve"> </w:t>
      </w:r>
      <w:r w:rsidRPr="00392008">
        <w:t>failure to</w:t>
      </w:r>
      <w:r w:rsidRPr="00392008">
        <w:rPr>
          <w:spacing w:val="-1"/>
        </w:rPr>
        <w:t xml:space="preserve"> </w:t>
      </w:r>
      <w:r w:rsidRPr="00392008">
        <w:t>file comments in</w:t>
      </w:r>
      <w:r w:rsidRPr="00392008">
        <w:rPr>
          <w:spacing w:val="-1"/>
        </w:rPr>
        <w:t xml:space="preserve"> </w:t>
      </w:r>
      <w:r w:rsidRPr="00392008">
        <w:t>response</w:t>
      </w:r>
      <w:r w:rsidRPr="00392008">
        <w:rPr>
          <w:spacing w:val="-1"/>
        </w:rPr>
        <w:t xml:space="preserve"> </w:t>
      </w:r>
      <w:r w:rsidRPr="00392008">
        <w:t>to</w:t>
      </w:r>
      <w:r w:rsidRPr="00392008">
        <w:rPr>
          <w:spacing w:val="-1"/>
        </w:rPr>
        <w:t xml:space="preserve"> </w:t>
      </w:r>
      <w:r w:rsidRPr="00392008">
        <w:t>this</w:t>
      </w:r>
      <w:r w:rsidRPr="00392008">
        <w:rPr>
          <w:spacing w:val="-1"/>
        </w:rPr>
        <w:t xml:space="preserve"> </w:t>
      </w:r>
      <w:r w:rsidRPr="00392008">
        <w:t>Public</w:t>
      </w:r>
      <w:r w:rsidRPr="00392008">
        <w:rPr>
          <w:spacing w:val="-1"/>
        </w:rPr>
        <w:t xml:space="preserve"> </w:t>
      </w:r>
      <w:r w:rsidRPr="00392008">
        <w:t>Notice will</w:t>
      </w:r>
      <w:r w:rsidRPr="00392008">
        <w:rPr>
          <w:spacing w:val="-1"/>
        </w:rPr>
        <w:t xml:space="preserve"> </w:t>
      </w:r>
      <w:r w:rsidRPr="00392008">
        <w:t>be</w:t>
      </w:r>
      <w:r w:rsidRPr="00392008">
        <w:rPr>
          <w:spacing w:val="-1"/>
        </w:rPr>
        <w:t xml:space="preserve"> </w:t>
      </w:r>
      <w:r w:rsidRPr="00392008">
        <w:t>construed as consent to</w:t>
      </w:r>
      <w:r w:rsidRPr="00392008">
        <w:t xml:space="preserve"> terminat</w:t>
      </w:r>
      <w:r w:rsidRPr="00392008">
        <w:rPr>
          <w:spacing w:val="1"/>
        </w:rPr>
        <w:t>i</w:t>
      </w:r>
      <w:r w:rsidRPr="00392008">
        <w:t>on of that proceeding.  A party aggrieved by a docket termination may file a petition</w:t>
      </w:r>
      <w:r w:rsidRPr="00392008">
        <w:rPr>
          <w:spacing w:val="-1"/>
        </w:rPr>
        <w:t xml:space="preserve"> </w:t>
      </w:r>
      <w:r w:rsidRPr="00392008">
        <w:t>for</w:t>
      </w:r>
      <w:r w:rsidRPr="00392008">
        <w:rPr>
          <w:spacing w:val="-1"/>
        </w:rPr>
        <w:t xml:space="preserve"> </w:t>
      </w:r>
      <w:r w:rsidRPr="00392008">
        <w:t>reconsideration</w:t>
      </w:r>
      <w:r w:rsidRPr="00392008">
        <w:rPr>
          <w:spacing w:val="-1"/>
        </w:rPr>
        <w:t xml:space="preserve"> </w:t>
      </w:r>
      <w:r w:rsidRPr="00392008">
        <w:t>with</w:t>
      </w:r>
      <w:r w:rsidRPr="00392008">
        <w:rPr>
          <w:spacing w:val="-1"/>
        </w:rPr>
        <w:t xml:space="preserve"> </w:t>
      </w:r>
      <w:r w:rsidRPr="00392008">
        <w:t>CGB</w:t>
      </w:r>
      <w:r w:rsidRPr="00392008">
        <w:rPr>
          <w:spacing w:val="-1"/>
        </w:rPr>
        <w:t xml:space="preserve"> </w:t>
      </w:r>
      <w:r w:rsidRPr="00392008">
        <w:t>or</w:t>
      </w:r>
      <w:r w:rsidRPr="00392008">
        <w:rPr>
          <w:spacing w:val="-1"/>
        </w:rPr>
        <w:t xml:space="preserve"> </w:t>
      </w:r>
      <w:r w:rsidRPr="00392008">
        <w:t>an</w:t>
      </w:r>
      <w:r w:rsidRPr="00392008">
        <w:rPr>
          <w:spacing w:val="-1"/>
        </w:rPr>
        <w:t xml:space="preserve"> </w:t>
      </w:r>
      <w:r w:rsidRPr="00392008">
        <w:t>application</w:t>
      </w:r>
      <w:r w:rsidRPr="00392008">
        <w:rPr>
          <w:spacing w:val="-1"/>
        </w:rPr>
        <w:t xml:space="preserve"> </w:t>
      </w:r>
      <w:r w:rsidRPr="00392008">
        <w:t>for</w:t>
      </w:r>
      <w:r w:rsidRPr="00392008">
        <w:rPr>
          <w:spacing w:val="-1"/>
        </w:rPr>
        <w:t xml:space="preserve"> </w:t>
      </w:r>
      <w:r w:rsidRPr="00392008">
        <w:t>review</w:t>
      </w:r>
      <w:r w:rsidRPr="00392008">
        <w:rPr>
          <w:spacing w:val="-1"/>
        </w:rPr>
        <w:t xml:space="preserve"> </w:t>
      </w:r>
      <w:r w:rsidRPr="00392008">
        <w:t>with</w:t>
      </w:r>
      <w:r w:rsidRPr="00392008">
        <w:rPr>
          <w:spacing w:val="-1"/>
        </w:rPr>
        <w:t xml:space="preserve"> </w:t>
      </w:r>
      <w:r w:rsidRPr="00392008">
        <w:t>the</w:t>
      </w:r>
      <w:r w:rsidRPr="00392008">
        <w:rPr>
          <w:spacing w:val="-1"/>
        </w:rPr>
        <w:t xml:space="preserve"> </w:t>
      </w:r>
      <w:r w:rsidRPr="00392008">
        <w:t>full</w:t>
      </w:r>
      <w:r w:rsidRPr="00392008">
        <w:rPr>
          <w:spacing w:val="-1"/>
        </w:rPr>
        <w:t xml:space="preserve"> </w:t>
      </w:r>
      <w:r w:rsidRPr="00392008">
        <w:t>Commission</w:t>
      </w:r>
      <w:r w:rsidRPr="00392008">
        <w:rPr>
          <w:spacing w:val="-4"/>
        </w:rPr>
        <w:t>.</w:t>
      </w:r>
      <w:r>
        <w:rPr>
          <w:rStyle w:val="FootnoteReference"/>
          <w:color w:val="242021"/>
          <w:spacing w:val="-4"/>
          <w:szCs w:val="22"/>
        </w:rPr>
        <w:footnoteReference w:id="12"/>
      </w:r>
    </w:p>
    <w:p w:rsidR="00187485" w:rsidRPr="00392008" w:rsidP="00E31E29">
      <w:pPr>
        <w:autoSpaceDE w:val="0"/>
        <w:autoSpaceDN w:val="0"/>
        <w:adjustRightInd w:val="0"/>
        <w:rPr>
          <w:b/>
          <w:color w:val="000000"/>
          <w:szCs w:val="22"/>
        </w:rPr>
      </w:pPr>
      <w:r w:rsidRPr="00392008">
        <w:rPr>
          <w:b/>
          <w:bCs/>
          <w:color w:val="242021"/>
          <w:szCs w:val="22"/>
        </w:rPr>
        <w:t>PROCEDURAL</w:t>
      </w:r>
      <w:r w:rsidRPr="00392008">
        <w:rPr>
          <w:b/>
          <w:bCs/>
          <w:color w:val="242021"/>
          <w:spacing w:val="-2"/>
          <w:szCs w:val="22"/>
        </w:rPr>
        <w:t xml:space="preserve"> </w:t>
      </w:r>
      <w:r w:rsidRPr="00392008">
        <w:rPr>
          <w:b/>
          <w:bCs/>
          <w:color w:val="242021"/>
          <w:szCs w:val="22"/>
        </w:rPr>
        <w:t>MATTERS</w:t>
      </w:r>
    </w:p>
    <w:p w:rsidR="00187485" w:rsidRPr="00392008" w:rsidP="00E65AEB">
      <w:pPr>
        <w:autoSpaceDE w:val="0"/>
        <w:autoSpaceDN w:val="0"/>
        <w:adjustRightInd w:val="0"/>
        <w:rPr>
          <w:color w:val="000000"/>
          <w:szCs w:val="22"/>
        </w:rPr>
      </w:pPr>
    </w:p>
    <w:p w:rsidR="00E65AEB" w:rsidRPr="00E65AEB" w:rsidP="00E31E29">
      <w:pPr>
        <w:pStyle w:val="ParaNum"/>
        <w:numPr>
          <w:ilvl w:val="0"/>
          <w:numId w:val="0"/>
        </w:numPr>
        <w:ind w:firstLine="720"/>
      </w:pPr>
      <w:r w:rsidRPr="00392008">
        <w:rPr>
          <w:i/>
          <w:iCs/>
        </w:rPr>
        <w:t xml:space="preserve">Comments and Reply Comments.  </w:t>
      </w:r>
      <w:r w:rsidRPr="00392008">
        <w:t>Pursuant</w:t>
      </w:r>
      <w:r w:rsidRPr="00392008">
        <w:rPr>
          <w:spacing w:val="-1"/>
        </w:rPr>
        <w:t xml:space="preserve"> </w:t>
      </w:r>
      <w:r w:rsidRPr="00392008">
        <w:t xml:space="preserve">to sections </w:t>
      </w:r>
      <w:r w:rsidRPr="00392008">
        <w:t>1.415</w:t>
      </w:r>
      <w:r w:rsidRPr="00392008">
        <w:rPr>
          <w:spacing w:val="-1"/>
        </w:rPr>
        <w:t xml:space="preserve"> </w:t>
      </w:r>
      <w:r w:rsidRPr="00392008">
        <w:t>and 1.419</w:t>
      </w:r>
      <w:r w:rsidRPr="00392008">
        <w:rPr>
          <w:spacing w:val="-1"/>
        </w:rPr>
        <w:t xml:space="preserve"> </w:t>
      </w:r>
      <w:r w:rsidRPr="00392008">
        <w:t>of</w:t>
      </w:r>
      <w:r w:rsidRPr="00392008">
        <w:rPr>
          <w:spacing w:val="-1"/>
        </w:rPr>
        <w:t xml:space="preserve"> </w:t>
      </w:r>
      <w:r w:rsidRPr="00392008">
        <w:t>the</w:t>
      </w:r>
      <w:r w:rsidRPr="00392008">
        <w:rPr>
          <w:spacing w:val="-1"/>
        </w:rPr>
        <w:t xml:space="preserve"> </w:t>
      </w:r>
      <w:r w:rsidRPr="00392008">
        <w:t>Commission’s rules</w:t>
      </w:r>
      <w:r w:rsidRPr="00392008">
        <w:rPr>
          <w:spacing w:val="-2"/>
        </w:rPr>
        <w:t>,</w:t>
      </w:r>
      <w:r w:rsidRPr="00392008">
        <w:rPr>
          <w:position w:val="10"/>
        </w:rPr>
        <w:t xml:space="preserve"> </w:t>
      </w:r>
      <w:r w:rsidRPr="00392008">
        <w:t>interested parties may file comments and reply comments on or before the dates indicated on the first</w:t>
      </w:r>
      <w:r w:rsidRPr="00392008">
        <w:rPr>
          <w:spacing w:val="-1"/>
        </w:rPr>
        <w:t xml:space="preserve"> </w:t>
      </w:r>
      <w:r w:rsidRPr="00392008">
        <w:t>page</w:t>
      </w:r>
      <w:r w:rsidRPr="00392008">
        <w:rPr>
          <w:spacing w:val="-1"/>
        </w:rPr>
        <w:t xml:space="preserve"> </w:t>
      </w:r>
      <w:r w:rsidRPr="00392008">
        <w:t>of</w:t>
      </w:r>
      <w:r w:rsidRPr="00392008">
        <w:rPr>
          <w:spacing w:val="-1"/>
        </w:rPr>
        <w:t xml:space="preserve"> </w:t>
      </w:r>
      <w:r w:rsidRPr="00392008">
        <w:t>this</w:t>
      </w:r>
      <w:r w:rsidRPr="00392008">
        <w:rPr>
          <w:spacing w:val="-1"/>
        </w:rPr>
        <w:t xml:space="preserve"> </w:t>
      </w:r>
      <w:r w:rsidRPr="00392008">
        <w:t>document.</w:t>
      </w:r>
      <w:r>
        <w:rPr>
          <w:rStyle w:val="FootnoteReference"/>
          <w:color w:val="242021"/>
          <w:spacing w:val="-2"/>
          <w:szCs w:val="22"/>
        </w:rPr>
        <w:footnoteReference w:id="13"/>
      </w:r>
      <w:r w:rsidRPr="00392008">
        <w:rPr>
          <w:spacing w:val="-2"/>
        </w:rPr>
        <w:t xml:space="preserve"> </w:t>
      </w:r>
      <w:r w:rsidRPr="00392008">
        <w:rPr>
          <w:spacing w:val="54"/>
        </w:rPr>
        <w:t xml:space="preserve"> </w:t>
      </w:r>
      <w:r w:rsidRPr="00AD4F49">
        <w:t xml:space="preserve">Comments may be filed using: (1) the Commission’s Electronic Comment Filing System (ECFS); or (2) by filing paper copies. </w:t>
      </w:r>
      <w:r>
        <w:t xml:space="preserve"> </w:t>
      </w:r>
      <w:r w:rsidRPr="00E65AEB">
        <w:t xml:space="preserve">All filings should reference the docket number of this proceeding, CG Docket No. </w:t>
      </w:r>
      <w:r>
        <w:t>18-272</w:t>
      </w:r>
      <w:r w:rsidRPr="00E65AEB">
        <w:t>.</w:t>
      </w:r>
    </w:p>
    <w:p w:rsidR="00187485" w:rsidRPr="00392008" w:rsidP="00E31E29">
      <w:pPr>
        <w:pStyle w:val="ListParagraph"/>
        <w:widowControl w:val="0"/>
        <w:numPr>
          <w:ilvl w:val="0"/>
          <w:numId w:val="13"/>
        </w:numPr>
        <w:autoSpaceDE w:val="0"/>
        <w:autoSpaceDN w:val="0"/>
        <w:adjustRightInd w:val="0"/>
        <w:spacing w:after="120" w:line="240" w:lineRule="auto"/>
        <w:ind w:right="576"/>
        <w:contextualSpacing w:val="0"/>
        <w:rPr>
          <w:rFonts w:ascii="Times New Roman" w:hAnsi="Times New Roman"/>
          <w:color w:val="242021"/>
        </w:rPr>
      </w:pPr>
      <w:r w:rsidRPr="00392008">
        <w:rPr>
          <w:rFonts w:ascii="Times New Roman" w:hAnsi="Times New Roman"/>
          <w:color w:val="242021"/>
        </w:rPr>
        <w:t>Electroni</w:t>
      </w:r>
      <w:r w:rsidRPr="00392008">
        <w:rPr>
          <w:rFonts w:ascii="Times New Roman" w:hAnsi="Times New Roman"/>
          <w:color w:val="242021"/>
          <w:spacing w:val="-1"/>
        </w:rPr>
        <w:t>c</w:t>
      </w:r>
      <w:r w:rsidRPr="00392008">
        <w:rPr>
          <w:rFonts w:ascii="Times New Roman" w:hAnsi="Times New Roman"/>
          <w:color w:val="242021"/>
        </w:rPr>
        <w:t xml:space="preserve"> Filers:  Comments may be filed e</w:t>
      </w:r>
      <w:r w:rsidRPr="00392008">
        <w:rPr>
          <w:rFonts w:ascii="Times New Roman" w:hAnsi="Times New Roman"/>
          <w:color w:val="242021"/>
        </w:rPr>
        <w:t xml:space="preserve">lectronically using the Internet by accessing </w:t>
      </w:r>
      <w:r>
        <w:rPr>
          <w:rFonts w:ascii="Times New Roman" w:hAnsi="Times New Roman"/>
          <w:color w:val="242021"/>
        </w:rPr>
        <w:t xml:space="preserve">the </w:t>
      </w:r>
      <w:r w:rsidRPr="00392008">
        <w:rPr>
          <w:rFonts w:ascii="Times New Roman" w:hAnsi="Times New Roman"/>
          <w:color w:val="242021"/>
        </w:rPr>
        <w:t xml:space="preserve">ECFS:  </w:t>
      </w:r>
      <w:hyperlink r:id="rId5" w:history="1">
        <w:r w:rsidRPr="00392008">
          <w:rPr>
            <w:rStyle w:val="Hyperlink"/>
            <w:rFonts w:ascii="Times New Roman" w:hAnsi="Times New Roman"/>
          </w:rPr>
          <w:t>http://apps.fcc.gov/ecfs/</w:t>
        </w:r>
      </w:hyperlink>
      <w:r w:rsidRPr="00392008">
        <w:rPr>
          <w:rFonts w:ascii="Times New Roman" w:hAnsi="Times New Roman"/>
          <w:color w:val="242021"/>
        </w:rPr>
        <w:t>. </w:t>
      </w:r>
    </w:p>
    <w:p w:rsidR="00E31E29" w:rsidP="00E31E29">
      <w:pPr>
        <w:pStyle w:val="ListParagraph"/>
        <w:widowControl w:val="0"/>
        <w:numPr>
          <w:ilvl w:val="0"/>
          <w:numId w:val="13"/>
        </w:numPr>
        <w:tabs>
          <w:tab w:val="left" w:pos="780"/>
        </w:tabs>
        <w:autoSpaceDE w:val="0"/>
        <w:autoSpaceDN w:val="0"/>
        <w:adjustRightInd w:val="0"/>
        <w:spacing w:after="120" w:line="240" w:lineRule="auto"/>
        <w:ind w:right="581"/>
        <w:contextualSpacing w:val="0"/>
        <w:rPr>
          <w:rFonts w:ascii="Times New Roman" w:hAnsi="Times New Roman"/>
          <w:color w:val="242021"/>
        </w:rPr>
      </w:pPr>
      <w:r w:rsidRPr="00392008">
        <w:rPr>
          <w:rFonts w:ascii="Times New Roman" w:hAnsi="Times New Roman"/>
          <w:color w:val="242021"/>
        </w:rPr>
        <w:t>Paper Filers:  Parties who choose to file by paper must file an original and one copy of each filing.  If more than one docket o</w:t>
      </w:r>
      <w:r w:rsidRPr="00392008">
        <w:rPr>
          <w:rFonts w:ascii="Times New Roman" w:hAnsi="Times New Roman"/>
          <w:color w:val="242021"/>
        </w:rPr>
        <w:t>r rulemaking number appears in the caption of this proceeding, filers must submit two additional copies for each additional docket or rulemaking number.</w:t>
      </w:r>
    </w:p>
    <w:p w:rsidR="00305ADE" w:rsidRPr="00392008" w:rsidP="00E31E29">
      <w:pPr>
        <w:pStyle w:val="ListParagraph"/>
        <w:widowControl w:val="0"/>
        <w:tabs>
          <w:tab w:val="left" w:pos="780"/>
        </w:tabs>
        <w:autoSpaceDE w:val="0"/>
        <w:autoSpaceDN w:val="0"/>
        <w:adjustRightInd w:val="0"/>
        <w:spacing w:after="120" w:line="240" w:lineRule="auto"/>
        <w:ind w:right="581"/>
        <w:contextualSpacing w:val="0"/>
        <w:rPr>
          <w:rFonts w:ascii="Times New Roman" w:hAnsi="Times New Roman"/>
          <w:color w:val="242021"/>
        </w:rPr>
      </w:pPr>
      <w:r w:rsidRPr="00392008">
        <w:rPr>
          <w:rFonts w:ascii="Times New Roman" w:hAnsi="Times New Roman"/>
          <w:color w:val="242021"/>
        </w:rPr>
        <w:t xml:space="preserve">Filings can be sent by hand or messenger delivery, by commercial overnight courier, or by first-class </w:t>
      </w:r>
      <w:r w:rsidRPr="00392008">
        <w:rPr>
          <w:rFonts w:ascii="Times New Roman" w:hAnsi="Times New Roman"/>
          <w:color w:val="242021"/>
        </w:rPr>
        <w:t>or overnight U.S. Postal Service mail.  All filings must be addressed to the Commission’s Secretary, Office of the Secretary, Federal Communications Commission.</w:t>
      </w:r>
    </w:p>
    <w:p w:rsidR="00187485" w:rsidRPr="00392008" w:rsidP="00E31E29">
      <w:pPr>
        <w:pStyle w:val="ListParagraph"/>
        <w:numPr>
          <w:ilvl w:val="0"/>
          <w:numId w:val="13"/>
        </w:numPr>
        <w:tabs>
          <w:tab w:val="left" w:pos="1540"/>
        </w:tabs>
        <w:autoSpaceDE w:val="0"/>
        <w:autoSpaceDN w:val="0"/>
        <w:adjustRightInd w:val="0"/>
        <w:spacing w:after="120" w:line="240" w:lineRule="auto"/>
        <w:ind w:left="1080" w:right="576"/>
        <w:contextualSpacing w:val="0"/>
        <w:rPr>
          <w:color w:val="000000"/>
        </w:rPr>
      </w:pPr>
      <w:r w:rsidRPr="00392008">
        <w:rPr>
          <w:rFonts w:ascii="Times New Roman" w:hAnsi="Times New Roman"/>
          <w:color w:val="242021"/>
        </w:rPr>
        <w:t>All hand</w:t>
      </w:r>
      <w:r w:rsidRPr="00392008">
        <w:rPr>
          <w:rFonts w:ascii="Times New Roman" w:hAnsi="Times New Roman"/>
          <w:color w:val="242021"/>
          <w:spacing w:val="-4"/>
        </w:rPr>
        <w:t>-</w:t>
      </w:r>
      <w:r w:rsidRPr="00392008">
        <w:rPr>
          <w:rFonts w:ascii="Times New Roman" w:hAnsi="Times New Roman"/>
          <w:color w:val="242021"/>
        </w:rPr>
        <w:t>delivered or messenge</w:t>
      </w:r>
      <w:r w:rsidRPr="00392008">
        <w:rPr>
          <w:rFonts w:ascii="Times New Roman" w:hAnsi="Times New Roman"/>
          <w:color w:val="242021"/>
          <w:spacing w:val="1"/>
        </w:rPr>
        <w:t>r</w:t>
      </w:r>
      <w:r w:rsidRPr="00392008">
        <w:rPr>
          <w:rFonts w:ascii="Times New Roman" w:hAnsi="Times New Roman"/>
          <w:color w:val="242021"/>
          <w:spacing w:val="-4"/>
        </w:rPr>
        <w:t>-</w:t>
      </w:r>
      <w:r w:rsidRPr="00392008">
        <w:rPr>
          <w:rFonts w:ascii="Times New Roman" w:hAnsi="Times New Roman"/>
          <w:color w:val="242021"/>
        </w:rPr>
        <w:t>delivered paper filings for the Commission’s Secretary must</w:t>
      </w:r>
      <w:r w:rsidRPr="00392008">
        <w:rPr>
          <w:rFonts w:ascii="Times New Roman" w:hAnsi="Times New Roman"/>
          <w:color w:val="242021"/>
          <w:spacing w:val="-1"/>
        </w:rPr>
        <w:t xml:space="preserve"> </w:t>
      </w:r>
      <w:r w:rsidRPr="00392008">
        <w:rPr>
          <w:rFonts w:ascii="Times New Roman" w:hAnsi="Times New Roman"/>
          <w:color w:val="242021"/>
        </w:rPr>
        <w:t>be</w:t>
      </w:r>
      <w:r w:rsidRPr="00392008">
        <w:rPr>
          <w:rFonts w:ascii="Times New Roman" w:hAnsi="Times New Roman"/>
          <w:color w:val="242021"/>
          <w:spacing w:val="-1"/>
        </w:rPr>
        <w:t xml:space="preserve"> </w:t>
      </w:r>
      <w:r w:rsidRPr="00392008">
        <w:rPr>
          <w:rFonts w:ascii="Times New Roman" w:hAnsi="Times New Roman"/>
          <w:color w:val="242021"/>
        </w:rPr>
        <w:t>delivered</w:t>
      </w:r>
      <w:r w:rsidRPr="00392008">
        <w:rPr>
          <w:rFonts w:ascii="Times New Roman" w:hAnsi="Times New Roman"/>
          <w:color w:val="242021"/>
          <w:spacing w:val="-1"/>
        </w:rPr>
        <w:t xml:space="preserve"> </w:t>
      </w:r>
      <w:r w:rsidRPr="00392008">
        <w:rPr>
          <w:rFonts w:ascii="Times New Roman" w:hAnsi="Times New Roman"/>
          <w:color w:val="242021"/>
        </w:rPr>
        <w:t>to</w:t>
      </w:r>
      <w:r w:rsidRPr="00392008">
        <w:rPr>
          <w:rFonts w:ascii="Times New Roman" w:hAnsi="Times New Roman"/>
          <w:color w:val="242021"/>
          <w:spacing w:val="-1"/>
        </w:rPr>
        <w:t xml:space="preserve"> </w:t>
      </w:r>
      <w:r w:rsidRPr="00392008">
        <w:rPr>
          <w:rFonts w:ascii="Times New Roman" w:hAnsi="Times New Roman"/>
          <w:color w:val="242021"/>
        </w:rPr>
        <w:t>FCC</w:t>
      </w:r>
      <w:r w:rsidRPr="00392008">
        <w:rPr>
          <w:rFonts w:ascii="Times New Roman" w:hAnsi="Times New Roman"/>
          <w:color w:val="242021"/>
          <w:spacing w:val="-1"/>
        </w:rPr>
        <w:t xml:space="preserve"> </w:t>
      </w:r>
      <w:r w:rsidRPr="00392008">
        <w:rPr>
          <w:rFonts w:ascii="Times New Roman" w:hAnsi="Times New Roman"/>
          <w:color w:val="242021"/>
        </w:rPr>
        <w:t>Headquarters</w:t>
      </w:r>
      <w:r w:rsidRPr="00392008">
        <w:rPr>
          <w:rFonts w:ascii="Times New Roman" w:hAnsi="Times New Roman"/>
          <w:color w:val="242021"/>
          <w:spacing w:val="-1"/>
        </w:rPr>
        <w:t xml:space="preserve"> </w:t>
      </w:r>
      <w:r w:rsidRPr="00392008">
        <w:rPr>
          <w:rFonts w:ascii="Times New Roman" w:hAnsi="Times New Roman"/>
          <w:color w:val="242021"/>
        </w:rPr>
        <w:t>at</w:t>
      </w:r>
      <w:r w:rsidRPr="00392008">
        <w:rPr>
          <w:rFonts w:ascii="Times New Roman" w:hAnsi="Times New Roman"/>
          <w:color w:val="242021"/>
          <w:spacing w:val="-1"/>
        </w:rPr>
        <w:t xml:space="preserve"> </w:t>
      </w:r>
      <w:r w:rsidRPr="00392008">
        <w:rPr>
          <w:rFonts w:ascii="Times New Roman" w:hAnsi="Times New Roman"/>
          <w:color w:val="242021"/>
        </w:rPr>
        <w:t>4</w:t>
      </w:r>
      <w:r w:rsidRPr="00392008">
        <w:rPr>
          <w:rFonts w:ascii="Times New Roman" w:hAnsi="Times New Roman"/>
          <w:color w:val="242021"/>
          <w:spacing w:val="-1"/>
        </w:rPr>
        <w:t>4</w:t>
      </w:r>
      <w:r w:rsidRPr="00392008">
        <w:rPr>
          <w:rFonts w:ascii="Times New Roman" w:hAnsi="Times New Roman"/>
          <w:color w:val="242021"/>
        </w:rPr>
        <w:t>5 12</w:t>
      </w:r>
      <w:r w:rsidRPr="00392008">
        <w:rPr>
          <w:rFonts w:ascii="Times New Roman" w:hAnsi="Times New Roman"/>
          <w:color w:val="242021"/>
          <w:vertAlign w:val="superscript"/>
        </w:rPr>
        <w:t>th</w:t>
      </w:r>
      <w:r w:rsidRPr="00392008">
        <w:rPr>
          <w:rFonts w:ascii="Times New Roman" w:hAnsi="Times New Roman"/>
          <w:color w:val="242021"/>
        </w:rPr>
        <w:t xml:space="preserve"> St., SW, Room TW</w:t>
      </w:r>
      <w:r w:rsidRPr="00392008">
        <w:rPr>
          <w:rFonts w:ascii="Times New Roman" w:hAnsi="Times New Roman"/>
          <w:color w:val="242021"/>
          <w:spacing w:val="-4"/>
        </w:rPr>
        <w:t>-</w:t>
      </w:r>
      <w:r w:rsidRPr="00392008">
        <w:rPr>
          <w:rFonts w:ascii="Times New Roman" w:hAnsi="Times New Roman"/>
          <w:color w:val="242021"/>
        </w:rPr>
        <w:t>A325, Washington, DC 20554.  The filing hours are 8:00 a.m. to 7:00 p.m.  All hand deliveries must be held together with rubber bands or fasteners.</w:t>
      </w:r>
      <w:r w:rsidRPr="00392008">
        <w:rPr>
          <w:rFonts w:ascii="Times New Roman" w:hAnsi="Times New Roman"/>
          <w:color w:val="242021"/>
          <w:spacing w:val="54"/>
        </w:rPr>
        <w:t xml:space="preserve"> </w:t>
      </w:r>
      <w:r w:rsidRPr="00392008">
        <w:rPr>
          <w:rFonts w:ascii="Times New Roman" w:hAnsi="Times New Roman"/>
          <w:color w:val="242021"/>
        </w:rPr>
        <w:t xml:space="preserve">Any envelopes </w:t>
      </w:r>
      <w:r>
        <w:rPr>
          <w:rFonts w:ascii="Times New Roman" w:hAnsi="Times New Roman"/>
          <w:color w:val="242021"/>
        </w:rPr>
        <w:t>or</w:t>
      </w:r>
      <w:r w:rsidRPr="00392008">
        <w:rPr>
          <w:rFonts w:ascii="Times New Roman" w:hAnsi="Times New Roman"/>
          <w:color w:val="242021"/>
        </w:rPr>
        <w:t xml:space="preserve"> boxes must be disposed of </w:t>
      </w:r>
      <w:r w:rsidRPr="00392008">
        <w:rPr>
          <w:rFonts w:ascii="Times New Roman" w:hAnsi="Times New Roman"/>
          <w:i/>
          <w:iCs/>
          <w:color w:val="242021"/>
        </w:rPr>
        <w:t>befor</w:t>
      </w:r>
      <w:r w:rsidRPr="00392008">
        <w:rPr>
          <w:rFonts w:ascii="Times New Roman" w:hAnsi="Times New Roman"/>
          <w:i/>
          <w:iCs/>
          <w:color w:val="242021"/>
        </w:rPr>
        <w:t xml:space="preserve">e </w:t>
      </w:r>
      <w:r w:rsidRPr="00392008">
        <w:rPr>
          <w:rFonts w:ascii="Times New Roman" w:hAnsi="Times New Roman"/>
          <w:color w:val="242021"/>
        </w:rPr>
        <w:t>entering</w:t>
      </w:r>
      <w:r w:rsidRPr="00392008">
        <w:rPr>
          <w:rFonts w:ascii="Times New Roman" w:hAnsi="Times New Roman"/>
          <w:color w:val="242021"/>
          <w:spacing w:val="-1"/>
        </w:rPr>
        <w:t xml:space="preserve"> </w:t>
      </w:r>
      <w:r w:rsidRPr="00392008">
        <w:rPr>
          <w:rFonts w:ascii="Times New Roman" w:hAnsi="Times New Roman"/>
          <w:color w:val="242021"/>
        </w:rPr>
        <w:t>the</w:t>
      </w:r>
      <w:r w:rsidRPr="00392008">
        <w:rPr>
          <w:rFonts w:ascii="Times New Roman" w:hAnsi="Times New Roman"/>
          <w:color w:val="242021"/>
          <w:spacing w:val="-1"/>
        </w:rPr>
        <w:t xml:space="preserve"> </w:t>
      </w:r>
      <w:r w:rsidRPr="00392008">
        <w:rPr>
          <w:rFonts w:ascii="Times New Roman" w:hAnsi="Times New Roman"/>
          <w:color w:val="242021"/>
        </w:rPr>
        <w:t>building.</w:t>
      </w:r>
      <w:r w:rsidRPr="00392008">
        <w:rPr>
          <w:rFonts w:ascii="Times New Roman" w:eastAsia="Times New Roman" w:hAnsi="Times New Roman"/>
          <w:snapToGrid w:val="0"/>
          <w:kern w:val="28"/>
        </w:rPr>
        <w:t xml:space="preserve">  </w:t>
      </w:r>
    </w:p>
    <w:p w:rsidR="00187485" w:rsidRPr="00392008" w:rsidP="00E31E29">
      <w:pPr>
        <w:pStyle w:val="ListParagraph"/>
        <w:widowControl w:val="0"/>
        <w:numPr>
          <w:ilvl w:val="0"/>
          <w:numId w:val="13"/>
        </w:numPr>
        <w:tabs>
          <w:tab w:val="left" w:pos="1540"/>
        </w:tabs>
        <w:autoSpaceDE w:val="0"/>
        <w:autoSpaceDN w:val="0"/>
        <w:adjustRightInd w:val="0"/>
        <w:spacing w:after="120" w:line="240" w:lineRule="auto"/>
        <w:ind w:left="1080" w:right="576"/>
        <w:contextualSpacing w:val="0"/>
        <w:rPr>
          <w:rFonts w:ascii="Times New Roman" w:hAnsi="Times New Roman"/>
          <w:color w:val="000000"/>
        </w:rPr>
      </w:pPr>
      <w:r w:rsidRPr="00392008">
        <w:rPr>
          <w:rFonts w:ascii="Times New Roman" w:hAnsi="Times New Roman"/>
          <w:color w:val="242021"/>
          <w:spacing w:val="-1"/>
        </w:rPr>
        <w:t>Commercial overnight mail (other than U.S. Postal Service Express Mail and Priority Mail) must be sent to 9050 Junction Drive, Annapolis Junction, MD 20701.</w:t>
      </w:r>
    </w:p>
    <w:p w:rsidR="00187485" w:rsidRPr="00392008" w:rsidP="00E31E29">
      <w:pPr>
        <w:pStyle w:val="ListParagraph"/>
        <w:widowControl w:val="0"/>
        <w:numPr>
          <w:ilvl w:val="0"/>
          <w:numId w:val="13"/>
        </w:numPr>
        <w:tabs>
          <w:tab w:val="left" w:pos="1540"/>
        </w:tabs>
        <w:autoSpaceDE w:val="0"/>
        <w:autoSpaceDN w:val="0"/>
        <w:adjustRightInd w:val="0"/>
        <w:spacing w:after="120" w:line="240" w:lineRule="auto"/>
        <w:ind w:left="1080" w:right="576"/>
        <w:contextualSpacing w:val="0"/>
        <w:rPr>
          <w:rFonts w:ascii="Times New Roman" w:hAnsi="Times New Roman"/>
          <w:color w:val="000000"/>
        </w:rPr>
      </w:pPr>
      <w:r w:rsidRPr="00392008">
        <w:rPr>
          <w:rFonts w:ascii="Times New Roman" w:hAnsi="Times New Roman"/>
          <w:color w:val="242021"/>
        </w:rPr>
        <w:t>U.S.</w:t>
      </w:r>
      <w:r w:rsidRPr="00392008">
        <w:rPr>
          <w:rFonts w:ascii="Times New Roman" w:hAnsi="Times New Roman"/>
          <w:color w:val="242021"/>
          <w:spacing w:val="-1"/>
        </w:rPr>
        <w:t xml:space="preserve"> </w:t>
      </w:r>
      <w:r w:rsidRPr="00392008">
        <w:rPr>
          <w:rFonts w:ascii="Times New Roman" w:hAnsi="Times New Roman"/>
          <w:color w:val="242021"/>
        </w:rPr>
        <w:t>Postal</w:t>
      </w:r>
      <w:r w:rsidRPr="00392008">
        <w:rPr>
          <w:rFonts w:ascii="Times New Roman" w:hAnsi="Times New Roman"/>
          <w:color w:val="242021"/>
          <w:spacing w:val="-1"/>
        </w:rPr>
        <w:t xml:space="preserve"> </w:t>
      </w:r>
      <w:r w:rsidRPr="00392008">
        <w:rPr>
          <w:rFonts w:ascii="Times New Roman" w:hAnsi="Times New Roman"/>
          <w:color w:val="242021"/>
        </w:rPr>
        <w:t>Service</w:t>
      </w:r>
      <w:r w:rsidRPr="00392008">
        <w:rPr>
          <w:rFonts w:ascii="Times New Roman" w:hAnsi="Times New Roman"/>
          <w:color w:val="242021"/>
          <w:spacing w:val="-1"/>
        </w:rPr>
        <w:t xml:space="preserve"> </w:t>
      </w:r>
      <w:r w:rsidRPr="00392008">
        <w:rPr>
          <w:rFonts w:ascii="Times New Roman" w:hAnsi="Times New Roman"/>
          <w:color w:val="242021"/>
        </w:rPr>
        <w:t>firs</w:t>
      </w:r>
      <w:r w:rsidRPr="00392008">
        <w:rPr>
          <w:rFonts w:ascii="Times New Roman" w:hAnsi="Times New Roman"/>
          <w:color w:val="242021"/>
          <w:spacing w:val="1"/>
        </w:rPr>
        <w:t>t</w:t>
      </w:r>
      <w:r w:rsidRPr="00392008">
        <w:rPr>
          <w:rFonts w:ascii="Times New Roman" w:hAnsi="Times New Roman"/>
          <w:color w:val="242021"/>
          <w:spacing w:val="-4"/>
        </w:rPr>
        <w:t>-</w:t>
      </w:r>
      <w:r w:rsidRPr="00392008">
        <w:rPr>
          <w:rFonts w:ascii="Times New Roman" w:hAnsi="Times New Roman"/>
          <w:color w:val="242021"/>
        </w:rPr>
        <w:t xml:space="preserve">class, Express, and Priority mail must be </w:t>
      </w:r>
      <w:r w:rsidRPr="00392008">
        <w:rPr>
          <w:rFonts w:ascii="Times New Roman" w:hAnsi="Times New Roman"/>
          <w:color w:val="242021"/>
        </w:rPr>
        <w:t>addressed to 445 1</w:t>
      </w:r>
      <w:r w:rsidRPr="00392008">
        <w:rPr>
          <w:rFonts w:ascii="Times New Roman" w:hAnsi="Times New Roman"/>
          <w:color w:val="242021"/>
          <w:spacing w:val="-1"/>
        </w:rPr>
        <w:t>2</w:t>
      </w:r>
      <w:r w:rsidRPr="00392008">
        <w:rPr>
          <w:rFonts w:ascii="Times New Roman" w:hAnsi="Times New Roman"/>
          <w:color w:val="242021"/>
          <w:spacing w:val="-1"/>
          <w:vertAlign w:val="superscript"/>
        </w:rPr>
        <w:t>th</w:t>
      </w:r>
      <w:r w:rsidRPr="00392008">
        <w:rPr>
          <w:rFonts w:ascii="Times New Roman" w:hAnsi="Times New Roman"/>
          <w:color w:val="242021"/>
          <w:spacing w:val="-1"/>
        </w:rPr>
        <w:t xml:space="preserve"> </w:t>
      </w:r>
      <w:r w:rsidRPr="00392008">
        <w:rPr>
          <w:rFonts w:ascii="Times New Roman" w:hAnsi="Times New Roman"/>
          <w:color w:val="242021"/>
        </w:rPr>
        <w:t>S</w:t>
      </w:r>
      <w:r w:rsidRPr="00392008">
        <w:rPr>
          <w:rFonts w:ascii="Times New Roman" w:hAnsi="Times New Roman"/>
          <w:color w:val="242021"/>
        </w:rPr>
        <w:t>treet, SW, Washington</w:t>
      </w:r>
      <w:r w:rsidRPr="00392008">
        <w:rPr>
          <w:rFonts w:ascii="Times New Roman" w:hAnsi="Times New Roman"/>
          <w:color w:val="242021"/>
        </w:rPr>
        <w:t>,</w:t>
      </w:r>
      <w:r w:rsidRPr="00392008">
        <w:rPr>
          <w:rFonts w:ascii="Times New Roman" w:hAnsi="Times New Roman"/>
          <w:color w:val="242021"/>
        </w:rPr>
        <w:t xml:space="preserve"> DC 20554.</w:t>
      </w:r>
    </w:p>
    <w:p w:rsidR="00C9296F" w:rsidRPr="00392008" w:rsidP="00E31E29">
      <w:pPr>
        <w:pStyle w:val="ParaNum"/>
        <w:numPr>
          <w:ilvl w:val="0"/>
          <w:numId w:val="0"/>
        </w:numPr>
        <w:ind w:firstLine="720"/>
        <w:rPr>
          <w:i/>
        </w:rPr>
      </w:pPr>
      <w:r w:rsidRPr="00392008">
        <w:rPr>
          <w:i/>
        </w:rPr>
        <w:t>People with Disabilities</w:t>
      </w:r>
      <w:r w:rsidRPr="00392008">
        <w:t xml:space="preserve">:  To request materials in accessible formats for people with disabilities (braille, large print, electronic files, audio format), send an e-mail to </w:t>
      </w:r>
      <w:hyperlink r:id="rId6" w:history="1">
        <w:r w:rsidRPr="00392008">
          <w:rPr>
            <w:rStyle w:val="Hyperlink"/>
            <w:iCs/>
            <w:szCs w:val="22"/>
          </w:rPr>
          <w:t>fcc504@fcc.gov</w:t>
        </w:r>
      </w:hyperlink>
      <w:r w:rsidRPr="00392008">
        <w:t xml:space="preserve"> or call the Consumer </w:t>
      </w:r>
      <w:r w:rsidRPr="00392008">
        <w:t>and</w:t>
      </w:r>
      <w:r w:rsidRPr="00392008">
        <w:t xml:space="preserve"> Governmental Affairs Bureau at 202-418-0530 (voice), 202-418-0432 (tty).</w:t>
      </w:r>
    </w:p>
    <w:p w:rsidR="00C9296F" w:rsidRPr="00392008" w:rsidP="00E31E29">
      <w:pPr>
        <w:pStyle w:val="ParaNum"/>
        <w:numPr>
          <w:ilvl w:val="0"/>
          <w:numId w:val="0"/>
        </w:numPr>
        <w:ind w:firstLine="720"/>
      </w:pPr>
      <w:r w:rsidRPr="00392008">
        <w:rPr>
          <w:i/>
        </w:rPr>
        <w:t xml:space="preserve">Ex </w:t>
      </w:r>
      <w:r w:rsidRPr="00392008">
        <w:rPr>
          <w:i/>
        </w:rPr>
        <w:t>Parte</w:t>
      </w:r>
      <w:r w:rsidRPr="00392008">
        <w:rPr>
          <w:i/>
        </w:rPr>
        <w:t xml:space="preserve"> Rules</w:t>
      </w:r>
      <w:r w:rsidRPr="00392008">
        <w:t>.</w:t>
      </w:r>
      <w:r w:rsidRPr="00392008">
        <w:rPr>
          <w:spacing w:val="53"/>
        </w:rPr>
        <w:t xml:space="preserve"> </w:t>
      </w:r>
      <w:r w:rsidRPr="00392008">
        <w:t>This</w:t>
      </w:r>
      <w:r w:rsidRPr="00392008">
        <w:rPr>
          <w:spacing w:val="-1"/>
        </w:rPr>
        <w:t xml:space="preserve"> </w:t>
      </w:r>
      <w:r w:rsidRPr="00392008">
        <w:t>proceeding</w:t>
      </w:r>
      <w:r w:rsidRPr="00392008">
        <w:rPr>
          <w:spacing w:val="-1"/>
        </w:rPr>
        <w:t xml:space="preserve"> </w:t>
      </w:r>
      <w:r w:rsidRPr="00392008">
        <w:t>shall</w:t>
      </w:r>
      <w:r w:rsidRPr="00392008">
        <w:rPr>
          <w:spacing w:val="-1"/>
        </w:rPr>
        <w:t xml:space="preserve"> </w:t>
      </w:r>
      <w:r w:rsidRPr="00392008">
        <w:t>be</w:t>
      </w:r>
      <w:r w:rsidRPr="00392008">
        <w:rPr>
          <w:spacing w:val="-1"/>
        </w:rPr>
        <w:t xml:space="preserve"> </w:t>
      </w:r>
      <w:r w:rsidRPr="00392008">
        <w:t>treated</w:t>
      </w:r>
      <w:r w:rsidRPr="00392008">
        <w:rPr>
          <w:spacing w:val="-1"/>
        </w:rPr>
        <w:t xml:space="preserve"> </w:t>
      </w:r>
      <w:r w:rsidRPr="00392008">
        <w:t>as</w:t>
      </w:r>
      <w:r w:rsidRPr="00392008">
        <w:rPr>
          <w:spacing w:val="-1"/>
        </w:rPr>
        <w:t xml:space="preserve"> </w:t>
      </w:r>
      <w:r w:rsidRPr="00392008">
        <w:t xml:space="preserve">a </w:t>
      </w:r>
      <w:r w:rsidRPr="00392008">
        <w:rPr>
          <w:spacing w:val="-1"/>
        </w:rPr>
        <w:t>“permi</w:t>
      </w:r>
      <w:r w:rsidRPr="00392008">
        <w:rPr>
          <w:spacing w:val="1"/>
        </w:rPr>
        <w:t>t</w:t>
      </w:r>
      <w:r w:rsidRPr="00392008">
        <w:rPr>
          <w:spacing w:val="-4"/>
        </w:rPr>
        <w:t>-</w:t>
      </w:r>
      <w:r w:rsidRPr="00392008">
        <w:t>bu</w:t>
      </w:r>
      <w:r w:rsidRPr="00392008">
        <w:rPr>
          <w:spacing w:val="3"/>
        </w:rPr>
        <w:t>t</w:t>
      </w:r>
      <w:r w:rsidRPr="00392008">
        <w:rPr>
          <w:spacing w:val="-4"/>
        </w:rPr>
        <w:t>-</w:t>
      </w:r>
      <w:r w:rsidRPr="00392008">
        <w:t>disclose” proceeding in accordance</w:t>
      </w:r>
      <w:r w:rsidRPr="00392008">
        <w:rPr>
          <w:spacing w:val="-1"/>
        </w:rPr>
        <w:t xml:space="preserve"> </w:t>
      </w:r>
      <w:r w:rsidRPr="00392008">
        <w:t>with</w:t>
      </w:r>
      <w:r w:rsidRPr="00392008">
        <w:rPr>
          <w:spacing w:val="-1"/>
        </w:rPr>
        <w:t xml:space="preserve"> </w:t>
      </w:r>
      <w:r w:rsidRPr="00392008">
        <w:t>the</w:t>
      </w:r>
      <w:r w:rsidRPr="00392008">
        <w:rPr>
          <w:spacing w:val="-1"/>
        </w:rPr>
        <w:t xml:space="preserve"> </w:t>
      </w:r>
      <w:r w:rsidRPr="00392008">
        <w:t xml:space="preserve">Commission’s </w:t>
      </w:r>
      <w:r w:rsidRPr="00392008">
        <w:rPr>
          <w:i/>
        </w:rPr>
        <w:t xml:space="preserve">ex </w:t>
      </w:r>
      <w:r w:rsidRPr="00392008">
        <w:rPr>
          <w:i/>
        </w:rPr>
        <w:t>parte</w:t>
      </w:r>
      <w:r w:rsidRPr="00392008">
        <w:rPr>
          <w:i/>
          <w:spacing w:val="-2"/>
        </w:rPr>
        <w:t xml:space="preserve"> </w:t>
      </w:r>
      <w:r w:rsidRPr="00392008">
        <w:t>rules</w:t>
      </w:r>
      <w:r w:rsidRPr="00392008">
        <w:rPr>
          <w:spacing w:val="-2"/>
        </w:rPr>
        <w:t>.</w:t>
      </w:r>
      <w:r>
        <w:rPr>
          <w:rStyle w:val="FootnoteReference"/>
          <w:color w:val="242021"/>
          <w:spacing w:val="-2"/>
          <w:szCs w:val="22"/>
        </w:rPr>
        <w:footnoteReference w:id="14"/>
      </w:r>
      <w:r w:rsidRPr="00392008">
        <w:rPr>
          <w:spacing w:val="-2"/>
        </w:rPr>
        <w:t xml:space="preserve">  </w:t>
      </w:r>
      <w:r w:rsidRPr="00392008">
        <w:rPr>
          <w:spacing w:val="-1"/>
        </w:rPr>
        <w:t xml:space="preserve">Persons making </w:t>
      </w:r>
      <w:r w:rsidRPr="00392008">
        <w:rPr>
          <w:i/>
          <w:spacing w:val="-1"/>
        </w:rPr>
        <w:t xml:space="preserve">ex parte </w:t>
      </w:r>
      <w:r w:rsidRPr="00392008">
        <w:rPr>
          <w:spacing w:val="-1"/>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392008">
        <w:rPr>
          <w:i/>
          <w:spacing w:val="-1"/>
        </w:rPr>
        <w:t>ex pa</w:t>
      </w:r>
      <w:r w:rsidRPr="00392008">
        <w:rPr>
          <w:i/>
          <w:spacing w:val="-1"/>
        </w:rPr>
        <w:t xml:space="preserve">rte </w:t>
      </w:r>
      <w:r w:rsidRPr="00392008">
        <w:rPr>
          <w:spacing w:val="-1"/>
        </w:rPr>
        <w:t xml:space="preserve">presentations are reminded that memoranda summarizing the presentation must (1) list all persons attending or otherwise participating in the meeting at which the </w:t>
      </w:r>
      <w:r w:rsidRPr="00392008">
        <w:rPr>
          <w:i/>
          <w:spacing w:val="-1"/>
        </w:rPr>
        <w:t xml:space="preserve">ex parte </w:t>
      </w:r>
      <w:r w:rsidRPr="00392008">
        <w:rPr>
          <w:spacing w:val="-1"/>
        </w:rPr>
        <w:t>presentation was made, and (2) summarize all data presented and arguments made du</w:t>
      </w:r>
      <w:r w:rsidRPr="00392008">
        <w:rPr>
          <w:spacing w:val="-1"/>
        </w:rPr>
        <w:t>ring the presentation.  If the presentation consisted in whole or in part of the presentation of data or arguments already reflected in the presenter’s written comments, memoranda or other filings in the proceeding, the presenter may provide citations to s</w:t>
      </w:r>
      <w:r w:rsidRPr="00392008">
        <w:rPr>
          <w:spacing w:val="-1"/>
        </w:rPr>
        <w:t>uch data or arguments in his or her prior comments, memoranda, or other filings (specifying the relevant page and/or paragraph numbers where such data or arguments can be found) in lieu of summarizing them in the memorandum.  Documents shown or given to Co</w:t>
      </w:r>
      <w:r w:rsidRPr="00392008">
        <w:rPr>
          <w:spacing w:val="-1"/>
        </w:rPr>
        <w:t xml:space="preserve">mmission staff during </w:t>
      </w:r>
      <w:r w:rsidRPr="00392008">
        <w:rPr>
          <w:i/>
          <w:spacing w:val="-1"/>
        </w:rPr>
        <w:t xml:space="preserve">ex parte </w:t>
      </w:r>
      <w:r w:rsidRPr="00392008">
        <w:rPr>
          <w:spacing w:val="-1"/>
        </w:rPr>
        <w:t xml:space="preserve">meetings are deemed to be written </w:t>
      </w:r>
      <w:r w:rsidRPr="00392008">
        <w:rPr>
          <w:i/>
          <w:spacing w:val="-1"/>
        </w:rPr>
        <w:t>ex parte</w:t>
      </w:r>
      <w:r w:rsidRPr="00392008">
        <w:rPr>
          <w:spacing w:val="-1"/>
        </w:rPr>
        <w:t xml:space="preserve"> presentations and must be filed consistent with rule 1.1206(b).</w:t>
      </w:r>
      <w:r>
        <w:rPr>
          <w:rStyle w:val="FootnoteReference"/>
          <w:szCs w:val="22"/>
        </w:rPr>
        <w:footnoteReference w:id="15"/>
      </w:r>
      <w:r w:rsidRPr="00392008">
        <w:t>  In proceedings governed by rule 1.49(f) or for which the Commission has made available a method of electronic filing</w:t>
      </w:r>
      <w:r w:rsidRPr="00392008">
        <w:t xml:space="preserve">, written </w:t>
      </w:r>
      <w:r w:rsidRPr="00392008">
        <w:rPr>
          <w:i/>
        </w:rPr>
        <w:t xml:space="preserve">ex parte </w:t>
      </w:r>
      <w:r w:rsidRPr="00392008">
        <w:t xml:space="preserve">presentations and memoranda summarizing oral </w:t>
      </w:r>
      <w:r w:rsidRPr="00392008">
        <w:rPr>
          <w:i/>
        </w:rPr>
        <w:t xml:space="preserve">ex parte </w:t>
      </w:r>
      <w:r w:rsidRPr="00392008">
        <w:t>presentations, and all attachments thereto, must be filed through the electronic comment filing system available for that proceeding, and must be filed in their native format (</w:t>
      </w:r>
      <w:r w:rsidRPr="00392008">
        <w:rPr>
          <w:i/>
        </w:rPr>
        <w:t>e.g.</w:t>
      </w:r>
      <w:r w:rsidRPr="00392008">
        <w:t>, .</w:t>
      </w:r>
      <w:r w:rsidRPr="00392008">
        <w:t>doc, .xml, .ppt, searchable .pdf).</w:t>
      </w:r>
      <w:r>
        <w:rPr>
          <w:rStyle w:val="FootnoteReference"/>
          <w:szCs w:val="22"/>
        </w:rPr>
        <w:footnoteReference w:id="16"/>
      </w:r>
      <w:r w:rsidRPr="00392008">
        <w:rPr>
          <w:spacing w:val="54"/>
        </w:rPr>
        <w:t xml:space="preserve"> </w:t>
      </w:r>
      <w:r w:rsidRPr="00392008">
        <w:rPr>
          <w:spacing w:val="54"/>
        </w:rPr>
        <w:t xml:space="preserve"> </w:t>
      </w:r>
      <w:r w:rsidRPr="00392008">
        <w:t xml:space="preserve">Participants in this proceeding should familiarize themselves with the Commission’s </w:t>
      </w:r>
      <w:r w:rsidRPr="00392008">
        <w:rPr>
          <w:i/>
        </w:rPr>
        <w:t xml:space="preserve">ex parte </w:t>
      </w:r>
      <w:r w:rsidRPr="00392008">
        <w:t>rules.</w:t>
      </w:r>
    </w:p>
    <w:p w:rsidR="00187485" w:rsidRPr="00392008" w:rsidP="00E31E29">
      <w:pPr>
        <w:pStyle w:val="ParaNum"/>
        <w:numPr>
          <w:ilvl w:val="0"/>
          <w:numId w:val="0"/>
        </w:numPr>
        <w:ind w:firstLine="720"/>
        <w:rPr>
          <w:color w:val="000000"/>
        </w:rPr>
      </w:pPr>
      <w:r w:rsidRPr="00651A8D">
        <w:rPr>
          <w:i/>
        </w:rPr>
        <w:t xml:space="preserve">Additional Information.  </w:t>
      </w:r>
      <w:r w:rsidRPr="00651A8D">
        <w:t>For</w:t>
      </w:r>
      <w:r w:rsidRPr="00651A8D">
        <w:rPr>
          <w:spacing w:val="-1"/>
        </w:rPr>
        <w:t xml:space="preserve"> </w:t>
      </w:r>
      <w:r w:rsidRPr="00651A8D">
        <w:t>further</w:t>
      </w:r>
      <w:r w:rsidRPr="00651A8D">
        <w:rPr>
          <w:spacing w:val="-1"/>
        </w:rPr>
        <w:t xml:space="preserve"> </w:t>
      </w:r>
      <w:r w:rsidRPr="00651A8D">
        <w:t>information,</w:t>
      </w:r>
      <w:r w:rsidRPr="00651A8D">
        <w:rPr>
          <w:spacing w:val="-1"/>
        </w:rPr>
        <w:t xml:space="preserve"> </w:t>
      </w:r>
      <w:r w:rsidRPr="00651A8D">
        <w:t>contact</w:t>
      </w:r>
      <w:r w:rsidRPr="00651A8D">
        <w:rPr>
          <w:spacing w:val="-1"/>
        </w:rPr>
        <w:t xml:space="preserve"> </w:t>
      </w:r>
      <w:r w:rsidRPr="00651A8D">
        <w:rPr>
          <w:spacing w:val="-1"/>
        </w:rPr>
        <w:t>Daniel Margolis</w:t>
      </w:r>
      <w:r w:rsidRPr="00651A8D">
        <w:rPr>
          <w:spacing w:val="-1"/>
        </w:rPr>
        <w:t xml:space="preserve"> of the </w:t>
      </w:r>
      <w:r w:rsidRPr="00651A8D">
        <w:t>Consumer</w:t>
      </w:r>
      <w:r w:rsidRPr="00651A8D">
        <w:rPr>
          <w:spacing w:val="-1"/>
        </w:rPr>
        <w:t xml:space="preserve"> </w:t>
      </w:r>
      <w:r w:rsidRPr="00651A8D">
        <w:t xml:space="preserve">and Governmental Affairs </w:t>
      </w:r>
      <w:r w:rsidRPr="00651A8D">
        <w:t>Bureau</w:t>
      </w:r>
      <w:r w:rsidRPr="00651A8D">
        <w:t xml:space="preserve"> at (202) 418-</w:t>
      </w:r>
      <w:r w:rsidRPr="00651A8D">
        <w:t>1377</w:t>
      </w:r>
      <w:r w:rsidRPr="00651A8D">
        <w:t xml:space="preserve"> or</w:t>
      </w:r>
      <w:r w:rsidRPr="00651A8D">
        <w:t xml:space="preserve"> </w:t>
      </w:r>
      <w:r w:rsidRPr="00651A8D">
        <w:t>Daniel.Margolis</w:t>
      </w:r>
      <w:r w:rsidRPr="00651A8D">
        <w:t>@fcc.gov</w:t>
      </w:r>
      <w:r w:rsidRPr="00651A8D">
        <w:rPr>
          <w:color w:val="2F3192"/>
        </w:rPr>
        <w:t>.</w:t>
      </w:r>
    </w:p>
    <w:p w:rsidR="00187485" w:rsidRPr="00392008" w:rsidP="00E65AEB">
      <w:pPr>
        <w:autoSpaceDE w:val="0"/>
        <w:autoSpaceDN w:val="0"/>
        <w:adjustRightInd w:val="0"/>
        <w:rPr>
          <w:color w:val="000000"/>
          <w:szCs w:val="22"/>
        </w:rPr>
      </w:pPr>
    </w:p>
    <w:p w:rsidR="0058654F" w:rsidRPr="00392008" w:rsidP="00E65AEB">
      <w:pPr>
        <w:autoSpaceDE w:val="0"/>
        <w:autoSpaceDN w:val="0"/>
        <w:adjustRightInd w:val="0"/>
        <w:jc w:val="center"/>
        <w:rPr>
          <w:b/>
          <w:color w:val="000000"/>
          <w:sz w:val="24"/>
          <w:szCs w:val="24"/>
        </w:rPr>
      </w:pPr>
      <w:r w:rsidRPr="00392008">
        <w:rPr>
          <w:b/>
          <w:color w:val="000000"/>
          <w:sz w:val="24"/>
          <w:szCs w:val="24"/>
        </w:rPr>
        <w:t>-FCC-</w:t>
      </w:r>
    </w:p>
    <w:p w:rsidR="00187485" w:rsidRPr="00392008" w:rsidP="00187485">
      <w:pPr>
        <w:spacing w:before="120" w:after="240"/>
        <w:rPr>
          <w:szCs w:val="22"/>
        </w:rPr>
        <w:sectPr w:rsidSect="00E31E29">
          <w:headerReference w:type="even" r:id="rId7"/>
          <w:headerReference w:type="default" r:id="rId8"/>
          <w:footerReference w:type="even" r:id="rId9"/>
          <w:headerReference w:type="first" r:id="rId10"/>
          <w:footerReference w:type="first" r:id="rId11"/>
          <w:pgSz w:w="12240" w:h="15840" w:code="1"/>
          <w:pgMar w:top="1440" w:right="1440" w:bottom="720" w:left="1440" w:header="720" w:footer="720" w:gutter="0"/>
          <w:pgNumType w:start="1"/>
          <w:cols w:space="720"/>
          <w:noEndnote/>
          <w:titlePg/>
        </w:sectPr>
      </w:pPr>
    </w:p>
    <w:p w:rsidR="00187485" w:rsidP="00187485">
      <w:pPr>
        <w:spacing w:before="120" w:after="240"/>
        <w:jc w:val="center"/>
        <w:rPr>
          <w:b/>
          <w:bCs/>
          <w:color w:val="242021"/>
          <w:position w:val="-1"/>
          <w:sz w:val="52"/>
          <w:szCs w:val="52"/>
        </w:rPr>
      </w:pPr>
    </w:p>
    <w:p w:rsidR="00187485" w:rsidP="00187485">
      <w:pPr>
        <w:spacing w:before="120" w:after="240"/>
        <w:jc w:val="center"/>
        <w:rPr>
          <w:b/>
          <w:bCs/>
          <w:color w:val="242021"/>
          <w:position w:val="-1"/>
          <w:sz w:val="52"/>
          <w:szCs w:val="52"/>
        </w:rPr>
      </w:pPr>
    </w:p>
    <w:p w:rsidR="00187485" w:rsidP="00187485">
      <w:pPr>
        <w:spacing w:before="120" w:after="240"/>
        <w:jc w:val="center"/>
        <w:rPr>
          <w:b/>
          <w:bCs/>
          <w:color w:val="242021"/>
          <w:position w:val="-1"/>
          <w:sz w:val="52"/>
          <w:szCs w:val="52"/>
        </w:rPr>
      </w:pPr>
    </w:p>
    <w:p w:rsidR="00187485" w:rsidP="00187485">
      <w:pPr>
        <w:spacing w:before="120" w:after="240"/>
        <w:jc w:val="center"/>
        <w:rPr>
          <w:b/>
          <w:bCs/>
          <w:color w:val="242021"/>
          <w:position w:val="-1"/>
          <w:sz w:val="52"/>
          <w:szCs w:val="52"/>
        </w:rPr>
      </w:pPr>
    </w:p>
    <w:p w:rsidR="00187485" w:rsidP="00187485">
      <w:pPr>
        <w:spacing w:before="120" w:after="240"/>
        <w:jc w:val="center"/>
        <w:rPr>
          <w:b/>
          <w:bCs/>
          <w:color w:val="242021"/>
          <w:position w:val="-1"/>
          <w:sz w:val="52"/>
          <w:szCs w:val="52"/>
        </w:rPr>
      </w:pPr>
    </w:p>
    <w:p w:rsidR="00187485" w:rsidP="00187485">
      <w:pPr>
        <w:spacing w:before="120" w:after="240"/>
        <w:jc w:val="center"/>
        <w:rPr>
          <w:b/>
          <w:bCs/>
          <w:color w:val="242021"/>
          <w:position w:val="-1"/>
          <w:sz w:val="52"/>
          <w:szCs w:val="52"/>
        </w:rPr>
      </w:pPr>
    </w:p>
    <w:p w:rsidR="006A1F49" w:rsidP="00E31E29">
      <w:pPr>
        <w:spacing w:before="120" w:after="240"/>
        <w:jc w:val="center"/>
        <w:rPr>
          <w:sz w:val="24"/>
        </w:rPr>
      </w:pPr>
      <w:r w:rsidRPr="006B66B9">
        <w:rPr>
          <w:b/>
          <w:bCs/>
          <w:color w:val="242021"/>
          <w:position w:val="-1"/>
          <w:sz w:val="52"/>
          <w:szCs w:val="52"/>
        </w:rPr>
        <w:t>ATTACHMENT</w:t>
      </w:r>
    </w:p>
    <w:sectPr w:rsidSect="00DF0810">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7485" w:rsidP="0055614C">
    <w:pPr>
      <w:pStyle w:val="Footer"/>
      <w:framePr w:wrap="around" w:vAnchor="text" w:hAnchor="margin" w:xAlign="center" w:y="1"/>
    </w:pPr>
    <w:r>
      <w:fldChar w:fldCharType="begin"/>
    </w:r>
    <w:r>
      <w:instrText xml:space="preserve">PAGE  </w:instrText>
    </w:r>
    <w:r>
      <w:fldChar w:fldCharType="separate"/>
    </w:r>
    <w:r>
      <w:fldChar w:fldCharType="end"/>
    </w:r>
  </w:p>
  <w:p w:rsidR="00187485">
    <w:pPr>
      <w:pStyle w:val="Footer"/>
    </w:pPr>
  </w:p>
  <w:p w:rsidR="00187485"/>
  <w:p w:rsidR="0018748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7485" w:rsidP="00B2036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p w:rsidR="003660E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3660ED" w:rsidP="000E05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92F3C">
      <w:r>
        <w:separator/>
      </w:r>
    </w:p>
  </w:footnote>
  <w:footnote w:type="continuationSeparator" w:id="1">
    <w:p w:rsidR="00B92F3C" w:rsidP="00C721AC">
      <w:pPr>
        <w:spacing w:before="120"/>
        <w:rPr>
          <w:sz w:val="20"/>
        </w:rPr>
      </w:pPr>
      <w:r>
        <w:rPr>
          <w:sz w:val="20"/>
        </w:rPr>
        <w:t xml:space="preserve">(Continued from previous page)  </w:t>
      </w:r>
      <w:r>
        <w:rPr>
          <w:sz w:val="20"/>
        </w:rPr>
        <w:separator/>
      </w:r>
    </w:p>
  </w:footnote>
  <w:footnote w:type="continuationNotice" w:id="2">
    <w:p w:rsidR="00B92F3C" w:rsidRPr="001A0A61" w:rsidP="001A0A61">
      <w:pPr>
        <w:pStyle w:val="Footer"/>
      </w:pPr>
    </w:p>
  </w:footnote>
  <w:footnote w:id="3">
    <w:p w:rsidR="00187485" w:rsidRPr="00E9704F" w:rsidP="00187485">
      <w:pPr>
        <w:pStyle w:val="FootnoteText"/>
      </w:pPr>
      <w:r w:rsidRPr="00E9704F">
        <w:rPr>
          <w:rStyle w:val="FootnoteReference"/>
        </w:rPr>
        <w:footnoteRef/>
      </w:r>
      <w:r w:rsidRPr="00694D8C">
        <w:rPr>
          <w:i/>
        </w:rPr>
        <w:t>Amendment</w:t>
      </w:r>
      <w:r w:rsidRPr="00694D8C">
        <w:rPr>
          <w:i/>
          <w:spacing w:val="-8"/>
        </w:rPr>
        <w:t xml:space="preserve"> </w:t>
      </w:r>
      <w:r w:rsidRPr="00694D8C">
        <w:rPr>
          <w:i/>
        </w:rPr>
        <w:t>of</w:t>
      </w:r>
      <w:r w:rsidRPr="00694D8C">
        <w:rPr>
          <w:i/>
          <w:spacing w:val="-2"/>
        </w:rPr>
        <w:t xml:space="preserve"> </w:t>
      </w:r>
      <w:r w:rsidRPr="00694D8C">
        <w:rPr>
          <w:i/>
        </w:rPr>
        <w:t>Certain</w:t>
      </w:r>
      <w:r w:rsidRPr="00694D8C">
        <w:rPr>
          <w:i/>
          <w:spacing w:val="-5"/>
        </w:rPr>
        <w:t xml:space="preserve"> </w:t>
      </w:r>
      <w:r w:rsidRPr="00694D8C">
        <w:rPr>
          <w:i/>
        </w:rPr>
        <w:t>of</w:t>
      </w:r>
      <w:r w:rsidRPr="00694D8C">
        <w:rPr>
          <w:i/>
          <w:spacing w:val="-2"/>
        </w:rPr>
        <w:t xml:space="preserve"> </w:t>
      </w:r>
      <w:r w:rsidRPr="00694D8C">
        <w:rPr>
          <w:i/>
        </w:rPr>
        <w:t>the</w:t>
      </w:r>
      <w:r w:rsidRPr="00694D8C">
        <w:rPr>
          <w:i/>
          <w:spacing w:val="-1"/>
        </w:rPr>
        <w:t xml:space="preserve"> </w:t>
      </w:r>
      <w:r w:rsidRPr="00694D8C">
        <w:rPr>
          <w:i/>
        </w:rPr>
        <w:t>Commission’s</w:t>
      </w:r>
      <w:r w:rsidRPr="00694D8C">
        <w:rPr>
          <w:i/>
          <w:spacing w:val="-11"/>
        </w:rPr>
        <w:t xml:space="preserve"> </w:t>
      </w:r>
      <w:r w:rsidRPr="00694D8C">
        <w:rPr>
          <w:i/>
        </w:rPr>
        <w:t>Part</w:t>
      </w:r>
      <w:r w:rsidRPr="00694D8C">
        <w:rPr>
          <w:i/>
          <w:spacing w:val="-4"/>
        </w:rPr>
        <w:t xml:space="preserve"> </w:t>
      </w:r>
      <w:r w:rsidRPr="00694D8C">
        <w:rPr>
          <w:i/>
        </w:rPr>
        <w:t>1</w:t>
      </w:r>
      <w:r w:rsidRPr="00694D8C">
        <w:rPr>
          <w:i/>
          <w:spacing w:val="-1"/>
        </w:rPr>
        <w:t xml:space="preserve"> </w:t>
      </w:r>
      <w:r w:rsidRPr="00694D8C">
        <w:rPr>
          <w:i/>
        </w:rPr>
        <w:t>Rules</w:t>
      </w:r>
      <w:r w:rsidRPr="00694D8C">
        <w:rPr>
          <w:i/>
          <w:spacing w:val="-3"/>
        </w:rPr>
        <w:t xml:space="preserve"> </w:t>
      </w:r>
      <w:r w:rsidRPr="00694D8C">
        <w:rPr>
          <w:i/>
        </w:rPr>
        <w:t>of</w:t>
      </w:r>
      <w:r w:rsidRPr="00694D8C">
        <w:rPr>
          <w:i/>
          <w:spacing w:val="-2"/>
        </w:rPr>
        <w:t xml:space="preserve"> </w:t>
      </w:r>
      <w:r w:rsidRPr="00694D8C">
        <w:rPr>
          <w:i/>
        </w:rPr>
        <w:t>Practice</w:t>
      </w:r>
      <w:r w:rsidRPr="00694D8C">
        <w:rPr>
          <w:i/>
          <w:spacing w:val="-6"/>
        </w:rPr>
        <w:t xml:space="preserve"> </w:t>
      </w:r>
      <w:r w:rsidRPr="00694D8C">
        <w:rPr>
          <w:i/>
        </w:rPr>
        <w:t>and</w:t>
      </w:r>
      <w:r w:rsidRPr="00694D8C">
        <w:rPr>
          <w:i/>
          <w:spacing w:val="-3"/>
        </w:rPr>
        <w:t xml:space="preserve"> </w:t>
      </w:r>
      <w:r w:rsidRPr="00694D8C">
        <w:rPr>
          <w:i/>
        </w:rPr>
        <w:t>Procedure</w:t>
      </w:r>
      <w:r w:rsidRPr="00694D8C">
        <w:rPr>
          <w:i/>
          <w:spacing w:val="-7"/>
        </w:rPr>
        <w:t xml:space="preserve"> </w:t>
      </w:r>
      <w:r w:rsidRPr="00694D8C">
        <w:rPr>
          <w:i/>
        </w:rPr>
        <w:t>and</w:t>
      </w:r>
      <w:r w:rsidRPr="00694D8C">
        <w:rPr>
          <w:i/>
          <w:spacing w:val="-3"/>
        </w:rPr>
        <w:t xml:space="preserve"> </w:t>
      </w:r>
      <w:r w:rsidRPr="00694D8C">
        <w:rPr>
          <w:i/>
        </w:rPr>
        <w:t>Part</w:t>
      </w:r>
      <w:r w:rsidRPr="00694D8C">
        <w:rPr>
          <w:i/>
          <w:spacing w:val="-4"/>
        </w:rPr>
        <w:t xml:space="preserve"> </w:t>
      </w:r>
      <w:r w:rsidRPr="00694D8C">
        <w:rPr>
          <w:i/>
        </w:rPr>
        <w:t>0</w:t>
      </w:r>
      <w:r w:rsidRPr="00694D8C">
        <w:rPr>
          <w:i/>
          <w:spacing w:val="-1"/>
        </w:rPr>
        <w:t xml:space="preserve"> </w:t>
      </w:r>
      <w:r w:rsidRPr="00694D8C">
        <w:rPr>
          <w:i/>
        </w:rPr>
        <w:t>Rules</w:t>
      </w:r>
      <w:r w:rsidRPr="00694D8C">
        <w:rPr>
          <w:i/>
          <w:spacing w:val="-3"/>
        </w:rPr>
        <w:t xml:space="preserve"> </w:t>
      </w:r>
      <w:r w:rsidRPr="00694D8C">
        <w:rPr>
          <w:i/>
        </w:rPr>
        <w:t>of Commission</w:t>
      </w:r>
      <w:r w:rsidRPr="00694D8C">
        <w:rPr>
          <w:i/>
          <w:spacing w:val="-9"/>
        </w:rPr>
        <w:t xml:space="preserve"> </w:t>
      </w:r>
      <w:r w:rsidRPr="00694D8C">
        <w:rPr>
          <w:i/>
        </w:rPr>
        <w:t>Organizatio</w:t>
      </w:r>
      <w:r w:rsidRPr="00694D8C">
        <w:rPr>
          <w:i/>
          <w:spacing w:val="2"/>
        </w:rPr>
        <w:t>n</w:t>
      </w:r>
      <w:r w:rsidRPr="00E9704F">
        <w:t>,</w:t>
      </w:r>
      <w:r w:rsidRPr="00E9704F">
        <w:rPr>
          <w:spacing w:val="-10"/>
        </w:rPr>
        <w:t xml:space="preserve"> </w:t>
      </w:r>
      <w:r w:rsidRPr="00E9704F">
        <w:t>Report</w:t>
      </w:r>
      <w:r w:rsidRPr="00E9704F">
        <w:rPr>
          <w:spacing w:val="-4"/>
        </w:rPr>
        <w:t xml:space="preserve"> </w:t>
      </w:r>
      <w:r w:rsidRPr="00E9704F">
        <w:t>and</w:t>
      </w:r>
      <w:r w:rsidRPr="00E9704F">
        <w:rPr>
          <w:spacing w:val="-2"/>
        </w:rPr>
        <w:t xml:space="preserve"> </w:t>
      </w:r>
      <w:r w:rsidRPr="00E9704F">
        <w:t>Order,</w:t>
      </w:r>
      <w:r w:rsidRPr="00E9704F">
        <w:rPr>
          <w:spacing w:val="-4"/>
        </w:rPr>
        <w:t xml:space="preserve"> </w:t>
      </w:r>
      <w:r w:rsidRPr="00E9704F">
        <w:t>26</w:t>
      </w:r>
      <w:r w:rsidRPr="00E9704F">
        <w:rPr>
          <w:spacing w:val="-1"/>
        </w:rPr>
        <w:t xml:space="preserve"> </w:t>
      </w:r>
      <w:r w:rsidRPr="00E9704F">
        <w:t>FCC</w:t>
      </w:r>
      <w:r w:rsidRPr="00E9704F">
        <w:rPr>
          <w:spacing w:val="-3"/>
        </w:rPr>
        <w:t xml:space="preserve"> </w:t>
      </w:r>
      <w:r w:rsidRPr="00E9704F">
        <w:t>Rcd</w:t>
      </w:r>
      <w:r w:rsidRPr="00E9704F">
        <w:rPr>
          <w:spacing w:val="-2"/>
        </w:rPr>
        <w:t xml:space="preserve"> </w:t>
      </w:r>
      <w:r w:rsidRPr="00E9704F">
        <w:t>1594</w:t>
      </w:r>
      <w:r w:rsidRPr="00E9704F">
        <w:rPr>
          <w:spacing w:val="-3"/>
        </w:rPr>
        <w:t xml:space="preserve"> </w:t>
      </w:r>
      <w:r w:rsidRPr="00E9704F">
        <w:t>(2011)</w:t>
      </w:r>
      <w:r w:rsidRPr="00E9704F">
        <w:rPr>
          <w:spacing w:val="-4"/>
        </w:rPr>
        <w:t xml:space="preserve"> </w:t>
      </w:r>
      <w:r w:rsidRPr="00E9704F">
        <w:t>(</w:t>
      </w:r>
      <w:r w:rsidRPr="00E9704F">
        <w:rPr>
          <w:i/>
        </w:rPr>
        <w:t>Procedure</w:t>
      </w:r>
      <w:r w:rsidRPr="00E9704F">
        <w:rPr>
          <w:i/>
          <w:spacing w:val="-9"/>
        </w:rPr>
        <w:t xml:space="preserve"> </w:t>
      </w:r>
      <w:r w:rsidRPr="00E9704F">
        <w:rPr>
          <w:i/>
        </w:rPr>
        <w:t>Orde</w:t>
      </w:r>
      <w:r w:rsidRPr="00E9704F">
        <w:rPr>
          <w:i/>
          <w:spacing w:val="-1"/>
        </w:rPr>
        <w:t>r</w:t>
      </w:r>
      <w:r w:rsidRPr="00E9704F">
        <w:rPr>
          <w:spacing w:val="1"/>
        </w:rPr>
        <w:t>)</w:t>
      </w:r>
      <w:r w:rsidRPr="00E9704F">
        <w:t>.</w:t>
      </w:r>
    </w:p>
  </w:footnote>
  <w:footnote w:id="4">
    <w:p w:rsidR="00187485" w:rsidRPr="00E9704F" w:rsidP="00187485">
      <w:pPr>
        <w:pStyle w:val="FootnoteText"/>
      </w:pPr>
      <w:r w:rsidRPr="00E9704F">
        <w:rPr>
          <w:rStyle w:val="FootnoteReference"/>
        </w:rPr>
        <w:footnoteRef/>
      </w:r>
      <w:r w:rsidRPr="00E9704F">
        <w:t xml:space="preserve"> </w:t>
      </w:r>
      <w:r w:rsidRPr="00E9704F">
        <w:rPr>
          <w:i/>
          <w:iCs/>
          <w:color w:val="242021"/>
          <w:spacing w:val="1"/>
        </w:rPr>
        <w:t>Id</w:t>
      </w:r>
      <w:r w:rsidRPr="00E9704F">
        <w:rPr>
          <w:i/>
          <w:iCs/>
          <w:color w:val="242021"/>
        </w:rPr>
        <w:t>.</w:t>
      </w:r>
      <w:r>
        <w:rPr>
          <w:i/>
          <w:iCs/>
          <w:color w:val="242021"/>
        </w:rPr>
        <w:t xml:space="preserve"> </w:t>
      </w:r>
      <w:r w:rsidRPr="00E9704F">
        <w:rPr>
          <w:color w:val="242021"/>
        </w:rPr>
        <w:t>at</w:t>
      </w:r>
      <w:r>
        <w:rPr>
          <w:color w:val="242021"/>
        </w:rPr>
        <w:t xml:space="preserve"> </w:t>
      </w:r>
      <w:r w:rsidRPr="00E9704F">
        <w:rPr>
          <w:color w:val="242021"/>
        </w:rPr>
        <w:t>159</w:t>
      </w:r>
      <w:r w:rsidRPr="00E9704F">
        <w:rPr>
          <w:color w:val="242021"/>
          <w:spacing w:val="1"/>
        </w:rPr>
        <w:t>4</w:t>
      </w:r>
      <w:r w:rsidRPr="00E9704F">
        <w:rPr>
          <w:color w:val="242021"/>
          <w:spacing w:val="-2"/>
        </w:rPr>
        <w:t>-</w:t>
      </w:r>
      <w:r w:rsidRPr="00E9704F">
        <w:rPr>
          <w:color w:val="242021"/>
          <w:spacing w:val="1"/>
        </w:rPr>
        <w:t>95</w:t>
      </w:r>
      <w:r w:rsidRPr="00E9704F">
        <w:rPr>
          <w:color w:val="242021"/>
        </w:rPr>
        <w:t>,</w:t>
      </w:r>
      <w:r w:rsidRPr="00E9704F">
        <w:rPr>
          <w:color w:val="242021"/>
          <w:spacing w:val="-8"/>
        </w:rPr>
        <w:t xml:space="preserve"> </w:t>
      </w:r>
      <w:r w:rsidRPr="00E9704F">
        <w:rPr>
          <w:color w:val="242021"/>
        </w:rPr>
        <w:t>para.</w:t>
      </w:r>
      <w:r w:rsidRPr="00E9704F">
        <w:rPr>
          <w:color w:val="242021"/>
          <w:spacing w:val="-3"/>
        </w:rPr>
        <w:t xml:space="preserve"> </w:t>
      </w:r>
      <w:r w:rsidRPr="00E9704F">
        <w:rPr>
          <w:color w:val="242021"/>
        </w:rPr>
        <w:t>1.</w:t>
      </w:r>
    </w:p>
  </w:footnote>
  <w:footnote w:id="5">
    <w:p w:rsidR="00187485" w:rsidRPr="00E9704F" w:rsidP="00187485">
      <w:pPr>
        <w:pStyle w:val="FootnoteText"/>
      </w:pPr>
      <w:r w:rsidRPr="00E9704F">
        <w:rPr>
          <w:rStyle w:val="FootnoteReference"/>
        </w:rPr>
        <w:footnoteRef/>
      </w:r>
      <w:r w:rsidRPr="00E9704F">
        <w:t xml:space="preserve"> </w:t>
      </w:r>
      <w:r w:rsidRPr="00E9704F">
        <w:rPr>
          <w:i/>
          <w:iCs/>
        </w:rPr>
        <w:t>Id.</w:t>
      </w:r>
      <w:r>
        <w:rPr>
          <w:i/>
          <w:iCs/>
        </w:rPr>
        <w:t xml:space="preserve"> </w:t>
      </w:r>
      <w:r w:rsidRPr="00E9704F">
        <w:t>at</w:t>
      </w:r>
      <w:r>
        <w:t xml:space="preserve"> </w:t>
      </w:r>
      <w:r w:rsidRPr="00E9704F">
        <w:t>1604, para. 23.</w:t>
      </w:r>
    </w:p>
  </w:footnote>
  <w:footnote w:id="6">
    <w:p w:rsidR="00187485" w:rsidRPr="00E9704F" w:rsidP="00187485">
      <w:pPr>
        <w:pStyle w:val="FootnoteText"/>
      </w:pPr>
      <w:r w:rsidRPr="00E9704F">
        <w:rPr>
          <w:rStyle w:val="FootnoteReference"/>
        </w:rPr>
        <w:footnoteRef/>
      </w:r>
      <w:r w:rsidRPr="00E9704F">
        <w:t xml:space="preserve"> </w:t>
      </w:r>
      <w:r w:rsidRPr="00E9704F">
        <w:rPr>
          <w:i/>
          <w:iCs/>
          <w:color w:val="242021"/>
          <w:spacing w:val="1"/>
        </w:rPr>
        <w:t>Id</w:t>
      </w:r>
      <w:r w:rsidRPr="00E9704F">
        <w:rPr>
          <w:color w:val="242021"/>
        </w:rPr>
        <w:t>.</w:t>
      </w:r>
    </w:p>
  </w:footnote>
  <w:footnote w:id="7">
    <w:p w:rsidR="00187485" w:rsidRPr="00E9704F" w:rsidP="00187485">
      <w:pPr>
        <w:pStyle w:val="FootnoteText"/>
      </w:pPr>
      <w:r w:rsidRPr="00E9704F">
        <w:rPr>
          <w:rStyle w:val="FootnoteReference"/>
        </w:rPr>
        <w:footnoteRef/>
      </w:r>
      <w:r w:rsidRPr="00E9704F">
        <w:t xml:space="preserve"> </w:t>
      </w:r>
      <w:r w:rsidRPr="00E9704F">
        <w:rPr>
          <w:i/>
          <w:iCs/>
          <w:color w:val="242021"/>
          <w:spacing w:val="1"/>
        </w:rPr>
        <w:t>Id</w:t>
      </w:r>
      <w:r w:rsidRPr="00E9704F">
        <w:rPr>
          <w:color w:val="242021"/>
        </w:rPr>
        <w:t>.</w:t>
      </w:r>
      <w:r w:rsidRPr="00E9704F">
        <w:rPr>
          <w:color w:val="242021"/>
          <w:spacing w:val="-1"/>
        </w:rPr>
        <w:t xml:space="preserve"> </w:t>
      </w:r>
      <w:r w:rsidRPr="00E9704F">
        <w:rPr>
          <w:color w:val="242021"/>
        </w:rPr>
        <w:t xml:space="preserve">at </w:t>
      </w:r>
      <w:r w:rsidRPr="00E9704F">
        <w:t>1604</w:t>
      </w:r>
      <w:r w:rsidRPr="00E9704F">
        <w:rPr>
          <w:color w:val="242021"/>
        </w:rPr>
        <w:t>,</w:t>
      </w:r>
      <w:r w:rsidRPr="00E9704F">
        <w:rPr>
          <w:color w:val="242021"/>
          <w:spacing w:val="-3"/>
        </w:rPr>
        <w:t xml:space="preserve"> </w:t>
      </w:r>
      <w:r w:rsidRPr="00E9704F">
        <w:rPr>
          <w:color w:val="242021"/>
        </w:rPr>
        <w:t>para.</w:t>
      </w:r>
      <w:r w:rsidRPr="00E9704F">
        <w:rPr>
          <w:color w:val="242021"/>
          <w:spacing w:val="-3"/>
        </w:rPr>
        <w:t xml:space="preserve"> </w:t>
      </w:r>
      <w:r w:rsidRPr="00E9704F">
        <w:rPr>
          <w:color w:val="242021"/>
        </w:rPr>
        <w:t>24.</w:t>
      </w:r>
    </w:p>
  </w:footnote>
  <w:footnote w:id="8">
    <w:p w:rsidR="00187485" w:rsidRPr="00E9704F" w:rsidP="00187485">
      <w:pPr>
        <w:pStyle w:val="FootnoteText"/>
      </w:pPr>
      <w:r w:rsidRPr="00E9704F">
        <w:rPr>
          <w:rStyle w:val="FootnoteReference"/>
        </w:rPr>
        <w:footnoteRef/>
      </w:r>
      <w:r w:rsidRPr="00E9704F">
        <w:t xml:space="preserve"> </w:t>
      </w:r>
      <w:r w:rsidRPr="00E9704F">
        <w:rPr>
          <w:i/>
          <w:iCs/>
          <w:color w:val="242021"/>
        </w:rPr>
        <w:t>Termination</w:t>
      </w:r>
      <w:r w:rsidRPr="00E9704F">
        <w:rPr>
          <w:i/>
          <w:iCs/>
          <w:color w:val="242021"/>
          <w:spacing w:val="-9"/>
        </w:rPr>
        <w:t xml:space="preserve"> </w:t>
      </w:r>
      <w:r w:rsidRPr="00E9704F">
        <w:rPr>
          <w:i/>
          <w:iCs/>
          <w:color w:val="242021"/>
        </w:rPr>
        <w:t>of</w:t>
      </w:r>
      <w:r w:rsidRPr="00E9704F">
        <w:rPr>
          <w:i/>
          <w:iCs/>
          <w:color w:val="242021"/>
          <w:spacing w:val="-1"/>
        </w:rPr>
        <w:t xml:space="preserve"> </w:t>
      </w:r>
      <w:r w:rsidRPr="00E9704F">
        <w:rPr>
          <w:i/>
          <w:iCs/>
          <w:color w:val="242021"/>
        </w:rPr>
        <w:t>Certain</w:t>
      </w:r>
      <w:r w:rsidRPr="00E9704F">
        <w:rPr>
          <w:i/>
          <w:iCs/>
          <w:color w:val="242021"/>
          <w:spacing w:val="-5"/>
        </w:rPr>
        <w:t xml:space="preserve"> </w:t>
      </w:r>
      <w:r w:rsidRPr="00E9704F">
        <w:rPr>
          <w:i/>
          <w:iCs/>
          <w:color w:val="242021"/>
        </w:rPr>
        <w:t>Proceedings</w:t>
      </w:r>
      <w:r w:rsidRPr="00E9704F">
        <w:rPr>
          <w:i/>
          <w:iCs/>
          <w:color w:val="242021"/>
          <w:spacing w:val="-9"/>
        </w:rPr>
        <w:t xml:space="preserve"> </w:t>
      </w:r>
      <w:r w:rsidRPr="00E9704F">
        <w:rPr>
          <w:i/>
          <w:iCs/>
          <w:color w:val="242021"/>
        </w:rPr>
        <w:t>as</w:t>
      </w:r>
      <w:r w:rsidRPr="00E9704F">
        <w:rPr>
          <w:i/>
          <w:iCs/>
          <w:color w:val="242021"/>
          <w:spacing w:val="-1"/>
        </w:rPr>
        <w:t xml:space="preserve"> </w:t>
      </w:r>
      <w:r w:rsidRPr="00E9704F">
        <w:rPr>
          <w:i/>
          <w:iCs/>
          <w:color w:val="242021"/>
        </w:rPr>
        <w:t>Dormant</w:t>
      </w:r>
      <w:r w:rsidRPr="00E9704F">
        <w:rPr>
          <w:color w:val="242021"/>
        </w:rPr>
        <w:t>,</w:t>
      </w:r>
      <w:r w:rsidRPr="00E9704F">
        <w:rPr>
          <w:color w:val="242021"/>
          <w:spacing w:val="-8"/>
        </w:rPr>
        <w:t xml:space="preserve"> </w:t>
      </w:r>
      <w:r w:rsidRPr="00E9704F">
        <w:rPr>
          <w:color w:val="242021"/>
        </w:rPr>
        <w:t>Order,</w:t>
      </w:r>
      <w:r w:rsidRPr="00E9704F">
        <w:rPr>
          <w:color w:val="242021"/>
          <w:spacing w:val="-5"/>
        </w:rPr>
        <w:t xml:space="preserve"> </w:t>
      </w:r>
      <w:r w:rsidRPr="00E9704F">
        <w:rPr>
          <w:color w:val="242021"/>
        </w:rPr>
        <w:t>26</w:t>
      </w:r>
      <w:r w:rsidRPr="00E9704F">
        <w:rPr>
          <w:color w:val="242021"/>
          <w:spacing w:val="-2"/>
        </w:rPr>
        <w:t xml:space="preserve"> </w:t>
      </w:r>
      <w:r w:rsidRPr="00E9704F">
        <w:rPr>
          <w:color w:val="242021"/>
        </w:rPr>
        <w:t>FCC</w:t>
      </w:r>
      <w:r w:rsidRPr="00E9704F">
        <w:rPr>
          <w:color w:val="242021"/>
          <w:spacing w:val="-4"/>
        </w:rPr>
        <w:t xml:space="preserve"> </w:t>
      </w:r>
      <w:r w:rsidRPr="00E9704F">
        <w:rPr>
          <w:color w:val="242021"/>
        </w:rPr>
        <w:t>Rcd</w:t>
      </w:r>
      <w:r w:rsidRPr="00E9704F">
        <w:rPr>
          <w:color w:val="242021"/>
          <w:spacing w:val="-3"/>
        </w:rPr>
        <w:t xml:space="preserve"> </w:t>
      </w:r>
      <w:r w:rsidRPr="00E9704F">
        <w:rPr>
          <w:color w:val="242021"/>
        </w:rPr>
        <w:t>15312</w:t>
      </w:r>
      <w:r w:rsidRPr="00E9704F">
        <w:rPr>
          <w:color w:val="242021"/>
          <w:spacing w:val="-5"/>
        </w:rPr>
        <w:t xml:space="preserve"> </w:t>
      </w:r>
      <w:r w:rsidRPr="00E9704F">
        <w:rPr>
          <w:color w:val="242021"/>
        </w:rPr>
        <w:t>(CGB</w:t>
      </w:r>
      <w:r w:rsidRPr="00E9704F">
        <w:rPr>
          <w:color w:val="242021"/>
          <w:spacing w:val="-5"/>
        </w:rPr>
        <w:t xml:space="preserve"> </w:t>
      </w:r>
      <w:r w:rsidRPr="00E9704F">
        <w:rPr>
          <w:color w:val="242021"/>
        </w:rPr>
        <w:t>2011).</w:t>
      </w:r>
    </w:p>
  </w:footnote>
  <w:footnote w:id="9">
    <w:p w:rsidR="00187485" w:rsidP="00187485">
      <w:pPr>
        <w:pStyle w:val="FootnoteText"/>
      </w:pPr>
      <w:r>
        <w:rPr>
          <w:rStyle w:val="FootnoteReference"/>
        </w:rPr>
        <w:footnoteRef/>
      </w:r>
      <w:r>
        <w:t xml:space="preserve"> </w:t>
      </w:r>
      <w:r w:rsidRPr="00C10B9D">
        <w:rPr>
          <w:i/>
        </w:rPr>
        <w:t>Procedure Order</w:t>
      </w:r>
      <w:r>
        <w:t>, 26 FCC Rcd at 1604, para. 24.</w:t>
      </w:r>
    </w:p>
  </w:footnote>
  <w:footnote w:id="10">
    <w:p w:rsidR="00187485" w:rsidP="00187485">
      <w:pPr>
        <w:pStyle w:val="FootnoteText"/>
      </w:pPr>
      <w:r>
        <w:rPr>
          <w:rStyle w:val="FootnoteReference"/>
        </w:rPr>
        <w:footnoteRef/>
      </w:r>
      <w:r>
        <w:t xml:space="preserve"> </w:t>
      </w:r>
      <w:r w:rsidRPr="008868E5">
        <w:rPr>
          <w:i/>
        </w:rPr>
        <w:t>See</w:t>
      </w:r>
      <w:r>
        <w:t xml:space="preserve"> </w:t>
      </w:r>
      <w:r w:rsidRPr="00E9704F">
        <w:rPr>
          <w:i/>
          <w:color w:val="242021"/>
        </w:rPr>
        <w:t>Consumer &amp; Governmental Affairs Bureau Seeks Comment on Termination of Certain Proceedings as Dormant</w:t>
      </w:r>
      <w:r w:rsidRPr="00E9704F">
        <w:rPr>
          <w:color w:val="242021"/>
        </w:rPr>
        <w:t>, 27 FCC Rcd 1613</w:t>
      </w:r>
      <w:r w:rsidRPr="00E9704F">
        <w:rPr>
          <w:color w:val="242021"/>
        </w:rPr>
        <w:t xml:space="preserve"> (CGB</w:t>
      </w:r>
      <w:r w:rsidRPr="00E9704F">
        <w:rPr>
          <w:color w:val="242021"/>
          <w:spacing w:val="-5"/>
        </w:rPr>
        <w:t xml:space="preserve"> </w:t>
      </w:r>
      <w:r w:rsidRPr="00E9704F">
        <w:rPr>
          <w:color w:val="242021"/>
        </w:rPr>
        <w:t>2012)</w:t>
      </w:r>
      <w:r>
        <w:rPr>
          <w:color w:val="242021"/>
        </w:rPr>
        <w:t>;</w:t>
      </w:r>
      <w:r w:rsidRPr="008868E5">
        <w:rPr>
          <w:i/>
          <w:iCs/>
          <w:color w:val="242021"/>
        </w:rPr>
        <w:t xml:space="preserve"> </w:t>
      </w:r>
      <w:r w:rsidRPr="00E9704F">
        <w:rPr>
          <w:i/>
          <w:iCs/>
          <w:color w:val="242021"/>
        </w:rPr>
        <w:t>Termination</w:t>
      </w:r>
      <w:r w:rsidRPr="00E9704F">
        <w:rPr>
          <w:i/>
          <w:iCs/>
          <w:color w:val="242021"/>
          <w:spacing w:val="-9"/>
        </w:rPr>
        <w:t xml:space="preserve"> </w:t>
      </w:r>
      <w:r w:rsidRPr="00E9704F">
        <w:rPr>
          <w:i/>
          <w:iCs/>
          <w:color w:val="242021"/>
        </w:rPr>
        <w:t>of</w:t>
      </w:r>
      <w:r w:rsidRPr="00E9704F">
        <w:rPr>
          <w:i/>
          <w:iCs/>
          <w:color w:val="242021"/>
          <w:spacing w:val="-1"/>
        </w:rPr>
        <w:t xml:space="preserve"> </w:t>
      </w:r>
      <w:r w:rsidRPr="00E9704F">
        <w:rPr>
          <w:i/>
          <w:iCs/>
          <w:color w:val="242021"/>
        </w:rPr>
        <w:t>Certain</w:t>
      </w:r>
      <w:r w:rsidRPr="00E9704F">
        <w:rPr>
          <w:i/>
          <w:iCs/>
          <w:color w:val="242021"/>
          <w:spacing w:val="-5"/>
        </w:rPr>
        <w:t xml:space="preserve"> </w:t>
      </w:r>
      <w:r w:rsidRPr="00E9704F">
        <w:rPr>
          <w:i/>
          <w:iCs/>
          <w:color w:val="242021"/>
        </w:rPr>
        <w:t>Proceedings</w:t>
      </w:r>
      <w:r w:rsidRPr="00E9704F">
        <w:rPr>
          <w:i/>
          <w:iCs/>
          <w:color w:val="242021"/>
          <w:spacing w:val="-9"/>
        </w:rPr>
        <w:t xml:space="preserve"> </w:t>
      </w:r>
      <w:r w:rsidRPr="00E9704F">
        <w:rPr>
          <w:i/>
          <w:iCs/>
          <w:color w:val="242021"/>
        </w:rPr>
        <w:t>as</w:t>
      </w:r>
      <w:r w:rsidRPr="00E9704F">
        <w:rPr>
          <w:i/>
          <w:iCs/>
          <w:color w:val="242021"/>
          <w:spacing w:val="-1"/>
        </w:rPr>
        <w:t xml:space="preserve"> </w:t>
      </w:r>
      <w:r w:rsidRPr="00E9704F">
        <w:rPr>
          <w:i/>
          <w:iCs/>
          <w:color w:val="242021"/>
        </w:rPr>
        <w:t>Dormant</w:t>
      </w:r>
      <w:r w:rsidRPr="00E9704F">
        <w:rPr>
          <w:color w:val="242021"/>
        </w:rPr>
        <w:t>,</w:t>
      </w:r>
      <w:r w:rsidRPr="00E9704F">
        <w:rPr>
          <w:color w:val="242021"/>
          <w:spacing w:val="-8"/>
        </w:rPr>
        <w:t xml:space="preserve"> </w:t>
      </w:r>
      <w:r w:rsidRPr="00E9704F">
        <w:rPr>
          <w:color w:val="242021"/>
        </w:rPr>
        <w:t>Order</w:t>
      </w:r>
      <w:r w:rsidRPr="00E9704F">
        <w:t xml:space="preserve">, 27 FCC Rcd 11284 </w:t>
      </w:r>
      <w:r w:rsidRPr="00E9704F">
        <w:rPr>
          <w:color w:val="242021"/>
        </w:rPr>
        <w:t>(CGB</w:t>
      </w:r>
      <w:r w:rsidRPr="00E9704F">
        <w:rPr>
          <w:color w:val="242021"/>
          <w:spacing w:val="-5"/>
        </w:rPr>
        <w:t xml:space="preserve"> </w:t>
      </w:r>
      <w:r w:rsidRPr="00E9704F">
        <w:rPr>
          <w:color w:val="242021"/>
        </w:rPr>
        <w:t>2012)</w:t>
      </w:r>
      <w:r>
        <w:rPr>
          <w:color w:val="242021"/>
        </w:rPr>
        <w:t>;</w:t>
      </w:r>
      <w:r w:rsidRPr="008868E5">
        <w:rPr>
          <w:i/>
          <w:color w:val="242021"/>
        </w:rPr>
        <w:t xml:space="preserve"> </w:t>
      </w:r>
      <w:r w:rsidRPr="00E9704F">
        <w:rPr>
          <w:i/>
          <w:color w:val="242021"/>
        </w:rPr>
        <w:t>Consumer &amp; Governmental Affairs Bureau Seeks Comment on Termination of Certain Proceedings as Dormant</w:t>
      </w:r>
      <w:r w:rsidRPr="00E9704F">
        <w:rPr>
          <w:color w:val="242021"/>
        </w:rPr>
        <w:t>, 29 FCC Rcd 1604 (CGB</w:t>
      </w:r>
      <w:r w:rsidRPr="00E9704F">
        <w:rPr>
          <w:color w:val="242021"/>
          <w:spacing w:val="-5"/>
        </w:rPr>
        <w:t xml:space="preserve"> </w:t>
      </w:r>
      <w:r w:rsidRPr="00E9704F">
        <w:rPr>
          <w:color w:val="242021"/>
        </w:rPr>
        <w:t>2014)</w:t>
      </w:r>
      <w:r>
        <w:rPr>
          <w:color w:val="242021"/>
        </w:rPr>
        <w:t xml:space="preserve">; </w:t>
      </w:r>
      <w:r w:rsidRPr="00E9704F">
        <w:rPr>
          <w:i/>
          <w:iCs/>
          <w:color w:val="242021"/>
        </w:rPr>
        <w:t>Termination</w:t>
      </w:r>
      <w:r w:rsidRPr="00E9704F">
        <w:rPr>
          <w:i/>
          <w:iCs/>
          <w:color w:val="242021"/>
          <w:spacing w:val="-9"/>
        </w:rPr>
        <w:t xml:space="preserve"> </w:t>
      </w:r>
      <w:r w:rsidRPr="00E9704F">
        <w:rPr>
          <w:i/>
          <w:iCs/>
          <w:color w:val="242021"/>
        </w:rPr>
        <w:t>of</w:t>
      </w:r>
      <w:r w:rsidRPr="00E9704F">
        <w:rPr>
          <w:i/>
          <w:iCs/>
          <w:color w:val="242021"/>
          <w:spacing w:val="-1"/>
        </w:rPr>
        <w:t xml:space="preserve"> </w:t>
      </w:r>
      <w:r w:rsidRPr="00E9704F">
        <w:rPr>
          <w:i/>
          <w:iCs/>
          <w:color w:val="242021"/>
        </w:rPr>
        <w:t>Certain</w:t>
      </w:r>
      <w:r w:rsidRPr="00E9704F">
        <w:rPr>
          <w:i/>
          <w:iCs/>
          <w:color w:val="242021"/>
          <w:spacing w:val="-5"/>
        </w:rPr>
        <w:t xml:space="preserve"> </w:t>
      </w:r>
      <w:r w:rsidRPr="00E9704F">
        <w:rPr>
          <w:i/>
          <w:iCs/>
          <w:color w:val="242021"/>
        </w:rPr>
        <w:t>Proceedings</w:t>
      </w:r>
      <w:r w:rsidRPr="00E9704F">
        <w:rPr>
          <w:i/>
          <w:iCs/>
          <w:color w:val="242021"/>
          <w:spacing w:val="-9"/>
        </w:rPr>
        <w:t xml:space="preserve"> </w:t>
      </w:r>
      <w:r w:rsidRPr="00E9704F">
        <w:rPr>
          <w:i/>
          <w:iCs/>
          <w:color w:val="242021"/>
        </w:rPr>
        <w:t>as</w:t>
      </w:r>
      <w:r w:rsidRPr="00E9704F">
        <w:rPr>
          <w:i/>
          <w:iCs/>
          <w:color w:val="242021"/>
          <w:spacing w:val="-1"/>
        </w:rPr>
        <w:t xml:space="preserve"> </w:t>
      </w:r>
      <w:r w:rsidRPr="00E9704F">
        <w:rPr>
          <w:i/>
          <w:iCs/>
          <w:color w:val="242021"/>
        </w:rPr>
        <w:t>Dormant</w:t>
      </w:r>
      <w:r w:rsidRPr="00E9704F">
        <w:rPr>
          <w:color w:val="242021"/>
          <w:spacing w:val="-8"/>
        </w:rPr>
        <w:t xml:space="preserve">, </w:t>
      </w:r>
      <w:r w:rsidRPr="00E9704F">
        <w:rPr>
          <w:color w:val="242021"/>
        </w:rPr>
        <w:t>Order, 29 FCC Rcd 11017 (CGB 2014)</w:t>
      </w:r>
      <w:r>
        <w:rPr>
          <w:color w:val="242021"/>
        </w:rPr>
        <w:t xml:space="preserve">; </w:t>
      </w:r>
      <w:r w:rsidRPr="00E9704F">
        <w:rPr>
          <w:i/>
        </w:rPr>
        <w:t>Consumer &amp; Governmental Affairs Bureau Seeks Comment on Termination of Certain Proceedings as Dormant</w:t>
      </w:r>
      <w:r w:rsidRPr="00E9704F">
        <w:t>, 29 FCC Rcd 11168 (CGB 2014)</w:t>
      </w:r>
      <w:r>
        <w:t xml:space="preserve">; </w:t>
      </w:r>
      <w:r w:rsidRPr="00E9704F">
        <w:rPr>
          <w:i/>
        </w:rPr>
        <w:t>Termination of Certain Proceedings as Dormant</w:t>
      </w:r>
      <w:r w:rsidRPr="00E9704F">
        <w:t>, Order, 29 FCC Rcd</w:t>
      </w:r>
      <w:r w:rsidRPr="00E9704F">
        <w:t xml:space="preserve"> 16059 (CGB 2014)</w:t>
      </w:r>
      <w:r>
        <w:t xml:space="preserve">; </w:t>
      </w:r>
      <w:r w:rsidRPr="00E9704F">
        <w:rPr>
          <w:i/>
        </w:rPr>
        <w:t>Consumer &amp; Governmental Affairs Bureau Seeks Comment on Termination of Certain Proceedings as Dormant</w:t>
      </w:r>
      <w:r w:rsidRPr="00E9704F">
        <w:t>,</w:t>
      </w:r>
      <w:r>
        <w:t xml:space="preserve"> 31 FCC Rcd 1205 (CGB 2016); </w:t>
      </w:r>
      <w:r w:rsidRPr="00E9704F">
        <w:rPr>
          <w:i/>
        </w:rPr>
        <w:t>Termination of Certain Proceedings as Dormant</w:t>
      </w:r>
      <w:r w:rsidRPr="00E9704F">
        <w:t xml:space="preserve">, Order, </w:t>
      </w:r>
      <w:r>
        <w:t>31 FCC Rcd 7584 (CGB 2016)</w:t>
      </w:r>
      <w:r>
        <w:t xml:space="preserve">; </w:t>
      </w:r>
      <w:r w:rsidRPr="002260F7">
        <w:rPr>
          <w:i/>
        </w:rPr>
        <w:t xml:space="preserve">Consumer &amp; Governmental </w:t>
      </w:r>
      <w:r w:rsidRPr="002260F7">
        <w:rPr>
          <w:i/>
        </w:rPr>
        <w:t>Affairs Bureau Seeks Comment on Termination of Certain Proceedings as Dormant</w:t>
      </w:r>
      <w:r>
        <w:t>, 32</w:t>
      </w:r>
      <w:r>
        <w:t xml:space="preserve"> FCC Rcd 369 (CGB 2017</w:t>
      </w:r>
      <w:r>
        <w:t xml:space="preserve">); </w:t>
      </w:r>
      <w:r w:rsidRPr="002260F7">
        <w:rPr>
          <w:i/>
        </w:rPr>
        <w:t>Termination of Certain Proceedings as Dormant</w:t>
      </w:r>
      <w:r>
        <w:t xml:space="preserve">, </w:t>
      </w:r>
      <w:r>
        <w:t xml:space="preserve">Order, </w:t>
      </w:r>
      <w:r>
        <w:t>33</w:t>
      </w:r>
      <w:r>
        <w:t xml:space="preserve"> FCC Rcd 53 (CGB 2018</w:t>
      </w:r>
      <w:r>
        <w:t>)</w:t>
      </w:r>
      <w:r>
        <w:t>.</w:t>
      </w:r>
    </w:p>
  </w:footnote>
  <w:footnote w:id="11">
    <w:p w:rsidR="00187485" w:rsidRPr="00E9704F" w:rsidP="00187485">
      <w:pPr>
        <w:pStyle w:val="FootnoteText"/>
      </w:pPr>
      <w:r w:rsidRPr="000D48A2">
        <w:rPr>
          <w:rStyle w:val="FootnoteReference"/>
        </w:rPr>
        <w:footnoteRef/>
      </w:r>
      <w:r w:rsidRPr="000D48A2">
        <w:t xml:space="preserve"> </w:t>
      </w:r>
      <w:r w:rsidRPr="000D48A2">
        <w:rPr>
          <w:color w:val="242021"/>
        </w:rPr>
        <w:t>The</w:t>
      </w:r>
      <w:r w:rsidRPr="000D48A2">
        <w:rPr>
          <w:color w:val="242021"/>
          <w:spacing w:val="-2"/>
        </w:rPr>
        <w:t xml:space="preserve"> </w:t>
      </w:r>
      <w:r w:rsidRPr="000D48A2">
        <w:rPr>
          <w:color w:val="242021"/>
        </w:rPr>
        <w:t>list</w:t>
      </w:r>
      <w:r w:rsidRPr="000D48A2">
        <w:rPr>
          <w:color w:val="242021"/>
          <w:spacing w:val="-1"/>
        </w:rPr>
        <w:t xml:space="preserve"> </w:t>
      </w:r>
      <w:r w:rsidRPr="000D48A2">
        <w:rPr>
          <w:color w:val="242021"/>
        </w:rPr>
        <w:t>of</w:t>
      </w:r>
      <w:r w:rsidRPr="000D48A2">
        <w:rPr>
          <w:color w:val="242021"/>
          <w:spacing w:val="-1"/>
        </w:rPr>
        <w:t xml:space="preserve"> </w:t>
      </w:r>
      <w:r w:rsidRPr="000D48A2">
        <w:rPr>
          <w:color w:val="242021"/>
        </w:rPr>
        <w:t>proceedings</w:t>
      </w:r>
      <w:r w:rsidRPr="000D48A2">
        <w:rPr>
          <w:color w:val="242021"/>
          <w:spacing w:val="-9"/>
        </w:rPr>
        <w:t xml:space="preserve"> </w:t>
      </w:r>
      <w:r w:rsidRPr="000D48A2">
        <w:rPr>
          <w:color w:val="242021"/>
        </w:rPr>
        <w:t>is sorted</w:t>
      </w:r>
      <w:r w:rsidRPr="000D48A2">
        <w:rPr>
          <w:color w:val="242021"/>
          <w:spacing w:val="-4"/>
        </w:rPr>
        <w:t xml:space="preserve"> </w:t>
      </w:r>
      <w:r w:rsidRPr="000D48A2">
        <w:rPr>
          <w:color w:val="242021"/>
        </w:rPr>
        <w:t>by</w:t>
      </w:r>
      <w:r w:rsidRPr="000D48A2">
        <w:rPr>
          <w:color w:val="242021"/>
          <w:spacing w:val="-1"/>
        </w:rPr>
        <w:t xml:space="preserve"> </w:t>
      </w:r>
      <w:r w:rsidRPr="000D48A2">
        <w:rPr>
          <w:color w:val="242021"/>
        </w:rPr>
        <w:t>responsible</w:t>
      </w:r>
      <w:r w:rsidRPr="000D48A2">
        <w:rPr>
          <w:color w:val="242021"/>
          <w:spacing w:val="-8"/>
        </w:rPr>
        <w:t xml:space="preserve"> </w:t>
      </w:r>
      <w:r w:rsidRPr="000D48A2">
        <w:rPr>
          <w:color w:val="242021"/>
        </w:rPr>
        <w:t xml:space="preserve">Bureau or Office </w:t>
      </w:r>
      <w:r w:rsidRPr="000D48A2">
        <w:rPr>
          <w:color w:val="242021"/>
        </w:rPr>
        <w:t>and Proceeding Number.</w:t>
      </w:r>
      <w:r w:rsidRPr="00E9704F">
        <w:rPr>
          <w:color w:val="242021"/>
        </w:rPr>
        <w:t xml:space="preserve"> </w:t>
      </w:r>
    </w:p>
  </w:footnote>
  <w:footnote w:id="12">
    <w:p w:rsidR="00187485" w:rsidRPr="00E9704F" w:rsidP="00187485">
      <w:pPr>
        <w:pStyle w:val="FootnoteText"/>
      </w:pPr>
      <w:r w:rsidRPr="00E9704F">
        <w:rPr>
          <w:rStyle w:val="FootnoteReference"/>
        </w:rPr>
        <w:footnoteRef/>
      </w:r>
      <w:r w:rsidRPr="00E9704F">
        <w:rPr>
          <w:i/>
          <w:iCs/>
          <w:color w:val="242021"/>
        </w:rPr>
        <w:t>See</w:t>
      </w:r>
      <w:r w:rsidRPr="00E9704F">
        <w:rPr>
          <w:i/>
          <w:iCs/>
          <w:color w:val="242021"/>
          <w:spacing w:val="-2"/>
        </w:rPr>
        <w:t xml:space="preserve"> </w:t>
      </w:r>
      <w:r w:rsidRPr="00E9704F">
        <w:rPr>
          <w:i/>
          <w:iCs/>
          <w:color w:val="242021"/>
        </w:rPr>
        <w:t>Procedure</w:t>
      </w:r>
      <w:r w:rsidRPr="00E9704F">
        <w:rPr>
          <w:i/>
          <w:iCs/>
          <w:color w:val="242021"/>
          <w:spacing w:val="-7"/>
        </w:rPr>
        <w:t xml:space="preserve"> </w:t>
      </w:r>
      <w:r w:rsidRPr="00E9704F">
        <w:rPr>
          <w:i/>
          <w:iCs/>
          <w:color w:val="242021"/>
        </w:rPr>
        <w:t>Orde</w:t>
      </w:r>
      <w:r w:rsidRPr="00E9704F">
        <w:rPr>
          <w:i/>
          <w:iCs/>
          <w:color w:val="242021"/>
          <w:spacing w:val="-1"/>
        </w:rPr>
        <w:t>r</w:t>
      </w:r>
      <w:r w:rsidRPr="00E9704F">
        <w:rPr>
          <w:color w:val="242021"/>
        </w:rPr>
        <w:t>,</w:t>
      </w:r>
      <w:r w:rsidRPr="00E9704F">
        <w:rPr>
          <w:color w:val="242021"/>
          <w:spacing w:val="-4"/>
        </w:rPr>
        <w:t xml:space="preserve"> </w:t>
      </w:r>
      <w:r w:rsidRPr="00E9704F">
        <w:rPr>
          <w:color w:val="242021"/>
        </w:rPr>
        <w:t>26</w:t>
      </w:r>
      <w:r w:rsidRPr="00E9704F">
        <w:rPr>
          <w:color w:val="242021"/>
          <w:spacing w:val="-1"/>
        </w:rPr>
        <w:t xml:space="preserve"> </w:t>
      </w:r>
      <w:r w:rsidRPr="00E9704F">
        <w:rPr>
          <w:color w:val="242021"/>
        </w:rPr>
        <w:t>FCC</w:t>
      </w:r>
      <w:r w:rsidRPr="00E9704F">
        <w:rPr>
          <w:color w:val="242021"/>
          <w:spacing w:val="-3"/>
        </w:rPr>
        <w:t xml:space="preserve"> </w:t>
      </w:r>
      <w:r w:rsidRPr="00E9704F">
        <w:rPr>
          <w:color w:val="242021"/>
        </w:rPr>
        <w:t>Rcd</w:t>
      </w:r>
      <w:r w:rsidRPr="00E9704F">
        <w:rPr>
          <w:color w:val="242021"/>
          <w:spacing w:val="-2"/>
        </w:rPr>
        <w:t xml:space="preserve"> </w:t>
      </w:r>
      <w:r w:rsidRPr="00E9704F">
        <w:rPr>
          <w:color w:val="242021"/>
        </w:rPr>
        <w:t>at 160</w:t>
      </w:r>
      <w:r w:rsidRPr="00E9704F">
        <w:rPr>
          <w:color w:val="242021"/>
          <w:spacing w:val="1"/>
        </w:rPr>
        <w:t>4</w:t>
      </w:r>
      <w:r w:rsidRPr="00E9704F">
        <w:rPr>
          <w:color w:val="242021"/>
        </w:rPr>
        <w:t>,</w:t>
      </w:r>
      <w:r w:rsidRPr="00E9704F">
        <w:rPr>
          <w:color w:val="242021"/>
          <w:spacing w:val="-3"/>
        </w:rPr>
        <w:t xml:space="preserve"> </w:t>
      </w:r>
      <w:r w:rsidRPr="00E9704F">
        <w:rPr>
          <w:color w:val="242021"/>
        </w:rPr>
        <w:t>para.</w:t>
      </w:r>
      <w:r w:rsidRPr="00E9704F">
        <w:rPr>
          <w:color w:val="242021"/>
          <w:spacing w:val="-3"/>
        </w:rPr>
        <w:t xml:space="preserve"> </w:t>
      </w:r>
      <w:r w:rsidRPr="00E9704F">
        <w:rPr>
          <w:color w:val="242021"/>
        </w:rPr>
        <w:t>24,</w:t>
      </w:r>
      <w:r w:rsidRPr="00E9704F">
        <w:rPr>
          <w:color w:val="242021"/>
          <w:spacing w:val="-2"/>
        </w:rPr>
        <w:t xml:space="preserve"> </w:t>
      </w:r>
      <w:r w:rsidRPr="00E9704F">
        <w:rPr>
          <w:color w:val="242021"/>
        </w:rPr>
        <w:t>n.76.</w:t>
      </w:r>
    </w:p>
  </w:footnote>
  <w:footnote w:id="13">
    <w:p w:rsidR="00187485" w:rsidRPr="00E9704F" w:rsidP="00187485">
      <w:pPr>
        <w:autoSpaceDE w:val="0"/>
        <w:autoSpaceDN w:val="0"/>
        <w:adjustRightInd w:val="0"/>
        <w:spacing w:after="120"/>
        <w:ind w:right="-20"/>
        <w:rPr>
          <w:color w:val="242021"/>
          <w:spacing w:val="1"/>
          <w:sz w:val="20"/>
        </w:rPr>
      </w:pPr>
      <w:r w:rsidRPr="00E9704F">
        <w:rPr>
          <w:rStyle w:val="FootnoteReference"/>
        </w:rPr>
        <w:footnoteRef/>
      </w:r>
      <w:r w:rsidRPr="00E9704F">
        <w:t xml:space="preserve"> </w:t>
      </w:r>
      <w:r w:rsidRPr="00E9704F">
        <w:rPr>
          <w:color w:val="242021"/>
          <w:sz w:val="20"/>
        </w:rPr>
        <w:t>47</w:t>
      </w:r>
      <w:r w:rsidRPr="00E9704F">
        <w:rPr>
          <w:color w:val="242021"/>
          <w:spacing w:val="-1"/>
          <w:sz w:val="20"/>
        </w:rPr>
        <w:t xml:space="preserve"> </w:t>
      </w:r>
      <w:r w:rsidRPr="00E9704F">
        <w:rPr>
          <w:color w:val="242021"/>
          <w:sz w:val="20"/>
        </w:rPr>
        <w:t>C.F.R.</w:t>
      </w:r>
      <w:r w:rsidRPr="00E9704F">
        <w:rPr>
          <w:color w:val="242021"/>
          <w:spacing w:val="-4"/>
          <w:sz w:val="20"/>
        </w:rPr>
        <w:t xml:space="preserve"> </w:t>
      </w:r>
      <w:r w:rsidRPr="00E9704F">
        <w:rPr>
          <w:color w:val="242021"/>
          <w:spacing w:val="1"/>
          <w:sz w:val="20"/>
        </w:rPr>
        <w:t>§</w:t>
      </w:r>
      <w:r w:rsidRPr="00E9704F">
        <w:rPr>
          <w:color w:val="242021"/>
          <w:sz w:val="20"/>
        </w:rPr>
        <w:t>§</w:t>
      </w:r>
      <w:r w:rsidRPr="00E9704F">
        <w:rPr>
          <w:color w:val="242021"/>
          <w:spacing w:val="-1"/>
          <w:sz w:val="20"/>
        </w:rPr>
        <w:t xml:space="preserve"> </w:t>
      </w:r>
      <w:r w:rsidRPr="00E9704F">
        <w:rPr>
          <w:color w:val="242021"/>
          <w:spacing w:val="1"/>
          <w:sz w:val="20"/>
        </w:rPr>
        <w:t>1.415</w:t>
      </w:r>
      <w:r w:rsidRPr="00E9704F">
        <w:rPr>
          <w:color w:val="242021"/>
          <w:sz w:val="20"/>
        </w:rPr>
        <w:t>,</w:t>
      </w:r>
      <w:r w:rsidRPr="00E9704F">
        <w:rPr>
          <w:color w:val="242021"/>
          <w:spacing w:val="-4"/>
          <w:sz w:val="20"/>
        </w:rPr>
        <w:t xml:space="preserve"> </w:t>
      </w:r>
      <w:r w:rsidRPr="00E9704F">
        <w:rPr>
          <w:color w:val="242021"/>
          <w:spacing w:val="1"/>
          <w:sz w:val="20"/>
        </w:rPr>
        <w:t>1.419.</w:t>
      </w:r>
    </w:p>
    <w:p w:rsidR="00187485" w:rsidRPr="00E9704F" w:rsidP="00187485">
      <w:pPr>
        <w:autoSpaceDE w:val="0"/>
        <w:autoSpaceDN w:val="0"/>
        <w:adjustRightInd w:val="0"/>
        <w:spacing w:after="120"/>
        <w:ind w:right="-20"/>
        <w:jc w:val="center"/>
      </w:pPr>
    </w:p>
  </w:footnote>
  <w:footnote w:id="14">
    <w:p w:rsidR="00187485" w:rsidRPr="00E8103D" w:rsidP="00187485">
      <w:pPr>
        <w:pStyle w:val="FootnoteText"/>
        <w:rPr>
          <w:color w:val="242021"/>
        </w:rPr>
      </w:pPr>
      <w:r w:rsidRPr="00E9704F">
        <w:rPr>
          <w:rStyle w:val="FootnoteReference"/>
        </w:rPr>
        <w:footnoteRef/>
      </w:r>
      <w:r w:rsidRPr="00E9704F">
        <w:t xml:space="preserve"> </w:t>
      </w:r>
      <w:r w:rsidRPr="00E9704F">
        <w:rPr>
          <w:i/>
          <w:iCs/>
          <w:color w:val="242021"/>
          <w:spacing w:val="1"/>
        </w:rPr>
        <w:t>Se</w:t>
      </w:r>
      <w:r w:rsidRPr="00E9704F">
        <w:rPr>
          <w:i/>
          <w:iCs/>
          <w:color w:val="242021"/>
        </w:rPr>
        <w:t>e</w:t>
      </w:r>
      <w:r w:rsidRPr="00E9704F">
        <w:rPr>
          <w:i/>
          <w:iCs/>
          <w:color w:val="242021"/>
          <w:spacing w:val="-2"/>
        </w:rPr>
        <w:t xml:space="preserve"> </w:t>
      </w:r>
      <w:r w:rsidRPr="00E9704F">
        <w:rPr>
          <w:color w:val="242021"/>
          <w:spacing w:val="1"/>
        </w:rPr>
        <w:t>4</w:t>
      </w:r>
      <w:r w:rsidRPr="00E9704F">
        <w:rPr>
          <w:color w:val="242021"/>
        </w:rPr>
        <w:t>7</w:t>
      </w:r>
      <w:r w:rsidRPr="00E9704F">
        <w:rPr>
          <w:color w:val="242021"/>
          <w:spacing w:val="-2"/>
        </w:rPr>
        <w:t xml:space="preserve"> </w:t>
      </w:r>
      <w:r w:rsidRPr="00E9704F">
        <w:rPr>
          <w:color w:val="242021"/>
          <w:spacing w:val="1"/>
        </w:rPr>
        <w:t>C.F.R</w:t>
      </w:r>
      <w:r w:rsidRPr="00E9704F">
        <w:rPr>
          <w:color w:val="242021"/>
        </w:rPr>
        <w:t>.</w:t>
      </w:r>
      <w:r w:rsidRPr="00E9704F">
        <w:rPr>
          <w:color w:val="242021"/>
          <w:spacing w:val="-5"/>
        </w:rPr>
        <w:t xml:space="preserve"> </w:t>
      </w:r>
      <w:r w:rsidRPr="00E9704F">
        <w:rPr>
          <w:color w:val="242021"/>
          <w:spacing w:val="1"/>
        </w:rPr>
        <w:t>§</w:t>
      </w:r>
      <w:r w:rsidRPr="00E9704F">
        <w:rPr>
          <w:color w:val="242021"/>
        </w:rPr>
        <w:t>§</w:t>
      </w:r>
      <w:r w:rsidRPr="00E9704F">
        <w:rPr>
          <w:color w:val="242021"/>
          <w:spacing w:val="-2"/>
        </w:rPr>
        <w:t xml:space="preserve"> </w:t>
      </w:r>
      <w:r w:rsidRPr="00E9704F">
        <w:rPr>
          <w:color w:val="242021"/>
          <w:spacing w:val="1"/>
        </w:rPr>
        <w:t>1.120</w:t>
      </w:r>
      <w:r w:rsidRPr="00E9704F">
        <w:rPr>
          <w:color w:val="242021"/>
        </w:rPr>
        <w:t>0</w:t>
      </w:r>
      <w:r w:rsidRPr="00E9704F">
        <w:rPr>
          <w:color w:val="242021"/>
          <w:spacing w:val="-4"/>
        </w:rPr>
        <w:t xml:space="preserve"> </w:t>
      </w:r>
      <w:r w:rsidRPr="00E9704F">
        <w:rPr>
          <w:i/>
          <w:iCs/>
          <w:color w:val="242021"/>
          <w:spacing w:val="-1"/>
        </w:rPr>
        <w:t>e</w:t>
      </w:r>
      <w:r w:rsidRPr="00E9704F">
        <w:rPr>
          <w:i/>
          <w:iCs/>
          <w:color w:val="242021"/>
        </w:rPr>
        <w:t>t</w:t>
      </w:r>
      <w:r w:rsidRPr="00E9704F">
        <w:rPr>
          <w:i/>
          <w:iCs/>
          <w:color w:val="242021"/>
          <w:spacing w:val="-1"/>
        </w:rPr>
        <w:t xml:space="preserve"> se</w:t>
      </w:r>
      <w:r w:rsidRPr="00E9704F">
        <w:rPr>
          <w:i/>
          <w:iCs/>
          <w:color w:val="242021"/>
          <w:spacing w:val="1"/>
        </w:rPr>
        <w:t>q</w:t>
      </w:r>
      <w:r w:rsidRPr="00E9704F">
        <w:rPr>
          <w:color w:val="242021"/>
        </w:rPr>
        <w:t>.</w:t>
      </w:r>
    </w:p>
  </w:footnote>
  <w:footnote w:id="15">
    <w:p w:rsidR="00187485" w:rsidP="00187485">
      <w:pPr>
        <w:pStyle w:val="FootnoteText"/>
      </w:pPr>
      <w:r>
        <w:rPr>
          <w:rStyle w:val="FootnoteReference"/>
        </w:rPr>
        <w:footnoteRef/>
      </w:r>
      <w:r>
        <w:t xml:space="preserve"> 47 C.F.R. § 1.1206(b).</w:t>
      </w:r>
    </w:p>
  </w:footnote>
  <w:footnote w:id="16">
    <w:p w:rsidR="00187485" w:rsidP="00187485">
      <w:pPr>
        <w:pStyle w:val="FootnoteText"/>
      </w:pPr>
      <w:r>
        <w:rPr>
          <w:rStyle w:val="FootnoteReference"/>
        </w:rPr>
        <w:footnoteRef/>
      </w:r>
      <w:r>
        <w:t xml:space="preserve"> 47 C.F.R. § 1.49(f).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7485">
    <w:pPr>
      <w:pStyle w:val="Header"/>
    </w:pPr>
  </w:p>
  <w:p w:rsidR="0018748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1E29" w:rsidRPr="00E31E29" w:rsidP="00E31E29">
    <w:pPr>
      <w:pStyle w:val="Header"/>
      <w:ind w:firstLine="0"/>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7485" w:rsidRPr="00B338A9" w:rsidP="00E31E29">
    <w:pPr>
      <w:pStyle w:val="Header"/>
      <w:ind w:firstLine="0"/>
    </w:pPr>
    <w:r>
      <w:rPr>
        <w:b w:val="0"/>
        <w:noProof/>
      </w:rPr>
      <mc:AlternateContent>
        <mc:Choice Requires="wps">
          <w:drawing>
            <wp:anchor distT="0" distB="0" distL="114300" distR="114300" simplePos="0" relativeHeight="251658240" behindDoc="0" locked="0" layoutInCell="0" allowOverlap="1">
              <wp:simplePos x="0" y="0"/>
              <wp:positionH relativeFrom="margin">
                <wp:posOffset>-66675</wp:posOffset>
              </wp:positionH>
              <wp:positionV relativeFrom="paragraph">
                <wp:posOffset>681990</wp:posOffset>
              </wp:positionV>
              <wp:extent cx="3108960" cy="640080"/>
              <wp:effectExtent l="0" t="0" r="0" b="7620"/>
              <wp:wrapNone/>
              <wp:docPr id="4"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87485" w:rsidP="00D47505">
                          <w:pPr>
                            <w:rPr>
                              <w:rFonts w:ascii="Arial" w:hAnsi="Arial"/>
                              <w:b/>
                            </w:rPr>
                          </w:pPr>
                          <w:r>
                            <w:rPr>
                              <w:rFonts w:ascii="Arial" w:hAnsi="Arial"/>
                              <w:b/>
                            </w:rPr>
                            <w:t>Federal Communications Commission</w:t>
                          </w:r>
                        </w:p>
                        <w:p w:rsidR="0018748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87485" w:rsidP="00D47505">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3.7pt;margin-left:-5.2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187485" w:rsidP="00D47505">
                    <w:pPr>
                      <w:rPr>
                        <w:rFonts w:ascii="Arial" w:hAnsi="Arial"/>
                        <w:b/>
                      </w:rPr>
                    </w:pPr>
                    <w:r>
                      <w:rPr>
                        <w:rFonts w:ascii="Arial" w:hAnsi="Arial"/>
                        <w:b/>
                      </w:rPr>
                      <w:t>Federal Communications Commission</w:t>
                    </w:r>
                  </w:p>
                  <w:p w:rsidR="0018748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87485" w:rsidP="00D47505">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1" name="Picture 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00994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187485" w:rsidP="00B338A9">
    <w:pPr>
      <w:pStyle w:val="Header"/>
    </w:pPr>
    <w:r>
      <w:rPr>
        <w:b w:val="0"/>
        <w:noProof/>
      </w:rPr>
      <mc:AlternateContent>
        <mc:Choice Requires="wps">
          <w:drawing>
            <wp:anchor distT="0" distB="0" distL="114300" distR="114300" simplePos="0" relativeHeight="251662336" behindDoc="0" locked="0" layoutInCell="0" allowOverlap="1">
              <wp:simplePos x="0" y="0"/>
              <wp:positionH relativeFrom="column">
                <wp:posOffset>3381375</wp:posOffset>
              </wp:positionH>
              <wp:positionV relativeFrom="paragraph">
                <wp:posOffset>130810</wp:posOffset>
              </wp:positionV>
              <wp:extent cx="2640965" cy="447675"/>
              <wp:effectExtent l="0" t="0" r="6985" b="9525"/>
              <wp:wrapNone/>
              <wp:docPr id="7"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87485" w:rsidP="00D47505">
                          <w:pPr>
                            <w:spacing w:before="40"/>
                            <w:jc w:val="right"/>
                            <w:rPr>
                              <w:rFonts w:ascii="Arial" w:hAnsi="Arial"/>
                              <w:b/>
                              <w:sz w:val="16"/>
                            </w:rPr>
                          </w:pPr>
                          <w:r>
                            <w:rPr>
                              <w:rFonts w:ascii="Arial" w:hAnsi="Arial"/>
                              <w:b/>
                              <w:sz w:val="16"/>
                            </w:rPr>
                            <w:t>News Media Information 202 / 418-0500</w:t>
                          </w:r>
                        </w:p>
                        <w:p w:rsidR="00187485" w:rsidP="00D47505">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187485" w:rsidP="00B338A9">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0" type="#_x0000_t202" style="width:207.95pt;height:35.25pt;margin-top:10.3pt;margin-left:266.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187485" w:rsidP="00D47505">
                    <w:pPr>
                      <w:spacing w:before="40"/>
                      <w:jc w:val="right"/>
                      <w:rPr>
                        <w:rFonts w:ascii="Arial" w:hAnsi="Arial"/>
                        <w:b/>
                        <w:sz w:val="16"/>
                      </w:rPr>
                    </w:pPr>
                    <w:r>
                      <w:rPr>
                        <w:rFonts w:ascii="Arial" w:hAnsi="Arial"/>
                        <w:b/>
                        <w:sz w:val="16"/>
                      </w:rPr>
                      <w:t>News Media Information 202 / 418-0500</w:t>
                    </w:r>
                  </w:p>
                  <w:p w:rsidR="00187485" w:rsidP="00D47505">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187485" w:rsidP="00B338A9">
                    <w:pPr>
                      <w:jc w:val="right"/>
                    </w:pPr>
                    <w:r>
                      <w:rPr>
                        <w:rFonts w:ascii="Arial" w:hAnsi="Arial"/>
                        <w:b/>
                        <w:sz w:val="16"/>
                      </w:rPr>
                      <w:t>TTY: 1-888-835-5322</w:t>
                    </w:r>
                  </w:p>
                </w:txbxContent>
              </v:textbox>
            </v:shape>
          </w:pict>
        </mc:Fallback>
      </mc:AlternateContent>
    </w: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643890</wp:posOffset>
              </wp:positionV>
              <wp:extent cx="5943600" cy="0"/>
              <wp:effectExtent l="0" t="0" r="0" b="0"/>
              <wp:wrapNone/>
              <wp:docPr id="5"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0.7pt" to="884.8pt,50.7pt" o:allowincell="f">
              <w10:wrap anchorx="margin"/>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13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13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E31E29" w:rsidP="00E31E29">
    <w:pPr>
      <w:pStyle w:val="Header"/>
      <w:ind w:firstLine="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D801057"/>
    <w:multiLevelType w:val="hybridMultilevel"/>
    <w:tmpl w:val="A9A81A62"/>
    <w:lvl w:ilvl="0">
      <w:start w:val="1"/>
      <w:numFmt w:val="bullet"/>
      <w:lvlText w:val=""/>
      <w:lvlJc w:val="left"/>
      <w:pPr>
        <w:ind w:left="2260" w:hanging="360"/>
      </w:pPr>
      <w:rPr>
        <w:rFonts w:ascii="Wingdings" w:hAnsi="Wingdings" w:hint="default"/>
        <w:sz w:val="22"/>
        <w:szCs w:val="22"/>
      </w:rPr>
    </w:lvl>
    <w:lvl w:ilvl="1" w:tentative="1">
      <w:start w:val="1"/>
      <w:numFmt w:val="bullet"/>
      <w:lvlText w:val="o"/>
      <w:lvlJc w:val="left"/>
      <w:pPr>
        <w:ind w:left="2980" w:hanging="360"/>
      </w:pPr>
      <w:rPr>
        <w:rFonts w:ascii="Courier New" w:hAnsi="Courier New" w:cs="Courier New" w:hint="default"/>
      </w:rPr>
    </w:lvl>
    <w:lvl w:ilvl="2" w:tentative="1">
      <w:start w:val="1"/>
      <w:numFmt w:val="bullet"/>
      <w:lvlText w:val=""/>
      <w:lvlJc w:val="left"/>
      <w:pPr>
        <w:ind w:left="3700" w:hanging="360"/>
      </w:pPr>
      <w:rPr>
        <w:rFonts w:ascii="Wingdings" w:hAnsi="Wingdings" w:hint="default"/>
      </w:rPr>
    </w:lvl>
    <w:lvl w:ilvl="3" w:tentative="1">
      <w:start w:val="1"/>
      <w:numFmt w:val="bullet"/>
      <w:lvlText w:val=""/>
      <w:lvlJc w:val="left"/>
      <w:pPr>
        <w:ind w:left="4420" w:hanging="360"/>
      </w:pPr>
      <w:rPr>
        <w:rFonts w:ascii="Symbol" w:hAnsi="Symbol" w:hint="default"/>
      </w:rPr>
    </w:lvl>
    <w:lvl w:ilvl="4" w:tentative="1">
      <w:start w:val="1"/>
      <w:numFmt w:val="bullet"/>
      <w:lvlText w:val="o"/>
      <w:lvlJc w:val="left"/>
      <w:pPr>
        <w:ind w:left="5140" w:hanging="360"/>
      </w:pPr>
      <w:rPr>
        <w:rFonts w:ascii="Courier New" w:hAnsi="Courier New" w:cs="Courier New" w:hint="default"/>
      </w:rPr>
    </w:lvl>
    <w:lvl w:ilvl="5" w:tentative="1">
      <w:start w:val="1"/>
      <w:numFmt w:val="bullet"/>
      <w:lvlText w:val=""/>
      <w:lvlJc w:val="left"/>
      <w:pPr>
        <w:ind w:left="5860" w:hanging="360"/>
      </w:pPr>
      <w:rPr>
        <w:rFonts w:ascii="Wingdings" w:hAnsi="Wingdings" w:hint="default"/>
      </w:rPr>
    </w:lvl>
    <w:lvl w:ilvl="6" w:tentative="1">
      <w:start w:val="1"/>
      <w:numFmt w:val="bullet"/>
      <w:lvlText w:val=""/>
      <w:lvlJc w:val="left"/>
      <w:pPr>
        <w:ind w:left="6580" w:hanging="360"/>
      </w:pPr>
      <w:rPr>
        <w:rFonts w:ascii="Symbol" w:hAnsi="Symbol" w:hint="default"/>
      </w:rPr>
    </w:lvl>
    <w:lvl w:ilvl="7" w:tentative="1">
      <w:start w:val="1"/>
      <w:numFmt w:val="bullet"/>
      <w:lvlText w:val="o"/>
      <w:lvlJc w:val="left"/>
      <w:pPr>
        <w:ind w:left="7300" w:hanging="360"/>
      </w:pPr>
      <w:rPr>
        <w:rFonts w:ascii="Courier New" w:hAnsi="Courier New" w:cs="Courier New" w:hint="default"/>
      </w:rPr>
    </w:lvl>
    <w:lvl w:ilvl="8" w:tentative="1">
      <w:start w:val="1"/>
      <w:numFmt w:val="bullet"/>
      <w:lvlText w:val=""/>
      <w:lvlJc w:val="left"/>
      <w:pPr>
        <w:ind w:left="802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2695BE4"/>
    <w:multiLevelType w:val="hybridMultilevel"/>
    <w:tmpl w:val="D682D48A"/>
    <w:lvl w:ilvl="0">
      <w:start w:val="1"/>
      <w:numFmt w:val="bullet"/>
      <w:lvlText w:val=""/>
      <w:lvlJc w:val="left"/>
      <w:pPr>
        <w:ind w:left="1530" w:hanging="360"/>
      </w:pPr>
      <w:rPr>
        <w:rFonts w:ascii="Wingdings" w:hAnsi="Wingdings" w:hint="default"/>
        <w:sz w:val="22"/>
        <w:szCs w:val="22"/>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561364D9"/>
    <w:multiLevelType w:val="hybridMultilevel"/>
    <w:tmpl w:val="659A4B9E"/>
    <w:lvl w:ilvl="0">
      <w:start w:val="1"/>
      <w:numFmt w:val="bullet"/>
      <w:lvlText w:val=""/>
      <w:lvlJc w:val="left"/>
      <w:pPr>
        <w:ind w:left="720" w:hanging="360"/>
      </w:pPr>
      <w:rPr>
        <w:rFonts w:ascii="Symbol" w:hAnsi="Symbol" w:hint="default"/>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1">
    <w:nsid w:val="6AFA5647"/>
    <w:multiLevelType w:val="hybridMultilevel"/>
    <w:tmpl w:val="42C619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6"/>
  </w:num>
  <w:num w:numId="5">
    <w:abstractNumId w:val="4"/>
  </w:num>
  <w:num w:numId="6">
    <w:abstractNumId w:val="1"/>
  </w:num>
  <w:num w:numId="7">
    <w:abstractNumId w:val="8"/>
  </w:num>
  <w:num w:numId="8">
    <w:abstractNumId w:val="9"/>
  </w:num>
  <w:num w:numId="9">
    <w:abstractNumId w:val="2"/>
  </w:num>
  <w:num w:numId="10">
    <w:abstractNumId w:val="7"/>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formsDesig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E29"/>
    <w:rsid w:val="000D48A2"/>
    <w:rsid w:val="000E05FE"/>
    <w:rsid w:val="00187485"/>
    <w:rsid w:val="002260F7"/>
    <w:rsid w:val="00305ADE"/>
    <w:rsid w:val="003660ED"/>
    <w:rsid w:val="00392008"/>
    <w:rsid w:val="0055614C"/>
    <w:rsid w:val="0058654F"/>
    <w:rsid w:val="00651A8D"/>
    <w:rsid w:val="00694D8C"/>
    <w:rsid w:val="006A1F49"/>
    <w:rsid w:val="006B66B9"/>
    <w:rsid w:val="007F413A"/>
    <w:rsid w:val="008868E5"/>
    <w:rsid w:val="00894D8D"/>
    <w:rsid w:val="00AD4F49"/>
    <w:rsid w:val="00B20363"/>
    <w:rsid w:val="00B338A9"/>
    <w:rsid w:val="00C10B9D"/>
    <w:rsid w:val="00C9296F"/>
    <w:rsid w:val="00D216CD"/>
    <w:rsid w:val="00D25FB5"/>
    <w:rsid w:val="00D47505"/>
    <w:rsid w:val="00E31E29"/>
    <w:rsid w:val="00E445FD"/>
    <w:rsid w:val="00E65AEB"/>
    <w:rsid w:val="00E8103D"/>
    <w:rsid w:val="00E970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DF72D994-C7B9-4194-BDE5-4DE9EEFF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E29"/>
    <w:pPr>
      <w:widowControl w:val="0"/>
    </w:pPr>
    <w:rPr>
      <w:snapToGrid w:val="0"/>
      <w:kern w:val="28"/>
      <w:sz w:val="22"/>
    </w:rPr>
  </w:style>
  <w:style w:type="paragraph" w:styleId="Heading1">
    <w:name w:val="heading 1"/>
    <w:basedOn w:val="Normal"/>
    <w:next w:val="ParaNum"/>
    <w:qFormat/>
    <w:rsid w:val="00E31E2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31E29"/>
    <w:pPr>
      <w:keepNext/>
      <w:numPr>
        <w:ilvl w:val="1"/>
        <w:numId w:val="3"/>
      </w:numPr>
      <w:spacing w:after="120"/>
      <w:outlineLvl w:val="1"/>
    </w:pPr>
    <w:rPr>
      <w:b/>
    </w:rPr>
  </w:style>
  <w:style w:type="paragraph" w:styleId="Heading3">
    <w:name w:val="heading 3"/>
    <w:basedOn w:val="Normal"/>
    <w:next w:val="ParaNum"/>
    <w:qFormat/>
    <w:rsid w:val="00E31E29"/>
    <w:pPr>
      <w:keepNext/>
      <w:numPr>
        <w:ilvl w:val="2"/>
        <w:numId w:val="3"/>
      </w:numPr>
      <w:tabs>
        <w:tab w:val="left" w:pos="2160"/>
      </w:tabs>
      <w:spacing w:after="120"/>
      <w:outlineLvl w:val="2"/>
    </w:pPr>
    <w:rPr>
      <w:b/>
    </w:rPr>
  </w:style>
  <w:style w:type="paragraph" w:styleId="Heading4">
    <w:name w:val="heading 4"/>
    <w:basedOn w:val="Normal"/>
    <w:next w:val="ParaNum"/>
    <w:qFormat/>
    <w:rsid w:val="00E31E29"/>
    <w:pPr>
      <w:keepNext/>
      <w:numPr>
        <w:ilvl w:val="3"/>
        <w:numId w:val="3"/>
      </w:numPr>
      <w:tabs>
        <w:tab w:val="left" w:pos="2880"/>
      </w:tabs>
      <w:spacing w:after="120"/>
      <w:outlineLvl w:val="3"/>
    </w:pPr>
    <w:rPr>
      <w:b/>
    </w:rPr>
  </w:style>
  <w:style w:type="paragraph" w:styleId="Heading5">
    <w:name w:val="heading 5"/>
    <w:basedOn w:val="Normal"/>
    <w:next w:val="ParaNum"/>
    <w:qFormat/>
    <w:rsid w:val="00E31E2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31E29"/>
    <w:pPr>
      <w:numPr>
        <w:ilvl w:val="5"/>
        <w:numId w:val="3"/>
      </w:numPr>
      <w:tabs>
        <w:tab w:val="left" w:pos="4320"/>
      </w:tabs>
      <w:spacing w:after="120"/>
      <w:outlineLvl w:val="5"/>
    </w:pPr>
    <w:rPr>
      <w:b/>
    </w:rPr>
  </w:style>
  <w:style w:type="paragraph" w:styleId="Heading7">
    <w:name w:val="heading 7"/>
    <w:basedOn w:val="Normal"/>
    <w:next w:val="ParaNum"/>
    <w:qFormat/>
    <w:rsid w:val="00E31E2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31E2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31E2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E31E2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E31E29"/>
  </w:style>
  <w:style w:type="paragraph" w:customStyle="1" w:styleId="ParaNum">
    <w:name w:val="ParaNum"/>
    <w:basedOn w:val="Normal"/>
    <w:rsid w:val="00E31E29"/>
    <w:pPr>
      <w:numPr>
        <w:numId w:val="2"/>
      </w:numPr>
      <w:tabs>
        <w:tab w:val="clear" w:pos="1080"/>
        <w:tab w:val="num" w:pos="1440"/>
      </w:tabs>
      <w:spacing w:after="120"/>
    </w:pPr>
  </w:style>
  <w:style w:type="paragraph" w:styleId="EndnoteText">
    <w:name w:val="endnote text"/>
    <w:basedOn w:val="Normal"/>
    <w:semiHidden/>
    <w:rsid w:val="00E31E29"/>
    <w:rPr>
      <w:sz w:val="20"/>
    </w:rPr>
  </w:style>
  <w:style w:type="character" w:styleId="EndnoteReference">
    <w:name w:val="endnote reference"/>
    <w:semiHidden/>
    <w:rsid w:val="00E31E29"/>
    <w:rPr>
      <w:vertAlign w:val="superscript"/>
    </w:rPr>
  </w:style>
  <w:style w:type="paragraph" w:styleId="FootnoteText">
    <w:name w:val="footnote text"/>
    <w:link w:val="FootnoteTextChar"/>
    <w:rsid w:val="00E31E29"/>
    <w:pPr>
      <w:spacing w:after="120"/>
    </w:pPr>
  </w:style>
  <w:style w:type="character" w:styleId="FootnoteReference">
    <w:name w:val="footnote reference"/>
    <w:rsid w:val="00E31E29"/>
    <w:rPr>
      <w:rFonts w:ascii="Times New Roman" w:hAnsi="Times New Roman"/>
      <w:dstrike w:val="0"/>
      <w:color w:val="auto"/>
      <w:sz w:val="22"/>
      <w:vertAlign w:val="superscript"/>
    </w:rPr>
  </w:style>
  <w:style w:type="paragraph" w:styleId="TOC1">
    <w:name w:val="toc 1"/>
    <w:basedOn w:val="Normal"/>
    <w:next w:val="Normal"/>
    <w:uiPriority w:val="39"/>
    <w:rsid w:val="00E31E2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31E29"/>
    <w:pPr>
      <w:tabs>
        <w:tab w:val="left" w:pos="720"/>
        <w:tab w:val="right" w:leader="dot" w:pos="9360"/>
      </w:tabs>
      <w:suppressAutoHyphens/>
      <w:ind w:left="720" w:right="720" w:hanging="360"/>
    </w:pPr>
    <w:rPr>
      <w:noProof/>
    </w:rPr>
  </w:style>
  <w:style w:type="paragraph" w:styleId="TOC3">
    <w:name w:val="toc 3"/>
    <w:basedOn w:val="Normal"/>
    <w:next w:val="Normal"/>
    <w:semiHidden/>
    <w:rsid w:val="00E31E2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31E2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31E2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31E2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31E2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31E2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31E2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31E29"/>
    <w:pPr>
      <w:tabs>
        <w:tab w:val="right" w:pos="9360"/>
      </w:tabs>
      <w:suppressAutoHyphens/>
    </w:pPr>
  </w:style>
  <w:style w:type="character" w:customStyle="1" w:styleId="EquationCaption">
    <w:name w:val="_Equation Caption"/>
    <w:rsid w:val="00E31E29"/>
  </w:style>
  <w:style w:type="paragraph" w:styleId="Header">
    <w:name w:val="header"/>
    <w:basedOn w:val="Normal"/>
    <w:autoRedefine/>
    <w:rsid w:val="00E31E29"/>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E31E29"/>
    <w:pPr>
      <w:tabs>
        <w:tab w:val="center" w:pos="4320"/>
        <w:tab w:val="right" w:pos="8640"/>
      </w:tabs>
    </w:pPr>
  </w:style>
  <w:style w:type="character" w:styleId="PageNumber">
    <w:name w:val="page number"/>
    <w:basedOn w:val="DefaultParagraphFont"/>
    <w:rsid w:val="00E31E29"/>
  </w:style>
  <w:style w:type="paragraph" w:styleId="BlockText">
    <w:name w:val="Block Text"/>
    <w:basedOn w:val="Normal"/>
    <w:rsid w:val="00E31E29"/>
    <w:pPr>
      <w:spacing w:after="240"/>
      <w:ind w:left="1440" w:right="1440"/>
    </w:pPr>
  </w:style>
  <w:style w:type="paragraph" w:customStyle="1" w:styleId="Paratitle">
    <w:name w:val="Para title"/>
    <w:basedOn w:val="Normal"/>
    <w:rsid w:val="00E31E29"/>
    <w:pPr>
      <w:tabs>
        <w:tab w:val="center" w:pos="9270"/>
      </w:tabs>
      <w:spacing w:after="240"/>
    </w:pPr>
    <w:rPr>
      <w:spacing w:val="-2"/>
    </w:rPr>
  </w:style>
  <w:style w:type="paragraph" w:customStyle="1" w:styleId="Bullet">
    <w:name w:val="Bullet"/>
    <w:basedOn w:val="Normal"/>
    <w:rsid w:val="00E31E29"/>
    <w:pPr>
      <w:numPr>
        <w:numId w:val="1"/>
      </w:numPr>
      <w:tabs>
        <w:tab w:val="clear" w:pos="360"/>
        <w:tab w:val="left" w:pos="2160"/>
      </w:tabs>
      <w:spacing w:after="220"/>
      <w:ind w:left="2160" w:hanging="720"/>
    </w:pPr>
  </w:style>
  <w:style w:type="paragraph" w:customStyle="1" w:styleId="TableFormat">
    <w:name w:val="TableFormat"/>
    <w:basedOn w:val="Bullet"/>
    <w:rsid w:val="00E31E29"/>
    <w:pPr>
      <w:numPr>
        <w:numId w:val="0"/>
      </w:numPr>
      <w:tabs>
        <w:tab w:val="clear" w:pos="2160"/>
        <w:tab w:val="left" w:pos="5040"/>
      </w:tabs>
      <w:ind w:left="5040" w:hanging="3600"/>
    </w:pPr>
  </w:style>
  <w:style w:type="paragraph" w:customStyle="1" w:styleId="TOCTitle">
    <w:name w:val="TOC Title"/>
    <w:basedOn w:val="Normal"/>
    <w:rsid w:val="00E31E2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31E29"/>
    <w:pPr>
      <w:jc w:val="center"/>
    </w:pPr>
    <w:rPr>
      <w:rFonts w:ascii="Times New Roman Bold" w:hAnsi="Times New Roman Bold"/>
      <w:b/>
      <w:bCs/>
      <w:caps/>
      <w:szCs w:val="22"/>
    </w:rPr>
  </w:style>
  <w:style w:type="character" w:styleId="Hyperlink">
    <w:name w:val="Hyperlink"/>
    <w:rsid w:val="00E31E29"/>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E31E29"/>
    <w:rPr>
      <w:snapToGrid w:val="0"/>
      <w:kern w:val="28"/>
      <w:sz w:val="22"/>
    </w:rPr>
  </w:style>
  <w:style w:type="character" w:customStyle="1" w:styleId="FootnoteTextChar">
    <w:name w:val="Footnote Text Char"/>
    <w:basedOn w:val="DefaultParagraphFont"/>
    <w:link w:val="FootnoteText"/>
    <w:locked/>
    <w:rsid w:val="00187485"/>
  </w:style>
  <w:style w:type="paragraph" w:styleId="ListParagraph">
    <w:name w:val="List Paragraph"/>
    <w:basedOn w:val="Normal"/>
    <w:uiPriority w:val="34"/>
    <w:qFormat/>
    <w:rsid w:val="00187485"/>
    <w:pPr>
      <w:widowControl/>
      <w:spacing w:after="200" w:line="276" w:lineRule="auto"/>
      <w:ind w:left="720"/>
      <w:contextualSpacing/>
    </w:pPr>
    <w:rPr>
      <w:rFonts w:asciiTheme="minorHAnsi" w:eastAsiaTheme="minorEastAsia" w:hAnsiTheme="minorHAnsi"/>
      <w:snapToGrid/>
      <w:kern w:val="0"/>
      <w:szCs w:val="22"/>
    </w:rPr>
  </w:style>
  <w:style w:type="character" w:customStyle="1" w:styleId="UnresolvedMention1">
    <w:name w:val="Unresolved Mention1"/>
    <w:basedOn w:val="DefaultParagraphFont"/>
    <w:uiPriority w:val="99"/>
    <w:semiHidden/>
    <w:unhideWhenUsed/>
    <w:rsid w:val="00305A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2.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3.xml" /><Relationship Id="rId15" Type="http://schemas.openxmlformats.org/officeDocument/2006/relationships/footer" Target="footer4.xml" /><Relationship Id="rId16" Type="http://schemas.openxmlformats.org/officeDocument/2006/relationships/header" Target="header6.xml" /><Relationship Id="rId17" Type="http://schemas.openxmlformats.org/officeDocument/2006/relationships/footer" Target="footer5.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