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516E1" w:rsidRPr="001C5198" w:rsidP="00C516E1">
      <w:pPr>
        <w:jc w:val="center"/>
        <w:rPr>
          <w:b/>
        </w:rPr>
      </w:pPr>
      <w:r w:rsidRPr="001C5198">
        <w:rPr>
          <w:b/>
          <w:kern w:val="0"/>
          <w:szCs w:val="22"/>
        </w:rPr>
        <w:t>Before</w:t>
      </w:r>
      <w:r w:rsidRPr="001C5198">
        <w:rPr>
          <w:b/>
        </w:rPr>
        <w:t xml:space="preserve"> the</w:t>
      </w:r>
    </w:p>
    <w:p w:rsidR="00C516E1" w:rsidRPr="001C5198" w:rsidP="00C516E1">
      <w:pPr>
        <w:pStyle w:val="StyleBoldCentered"/>
        <w:rPr>
          <w:rFonts w:ascii="Times New Roman" w:hAnsi="Times New Roman"/>
        </w:rPr>
      </w:pPr>
      <w:r w:rsidRPr="001C5198">
        <w:rPr>
          <w:rFonts w:ascii="Times New Roman" w:hAnsi="Times New Roman"/>
        </w:rPr>
        <w:t>F</w:t>
      </w:r>
      <w:r w:rsidRPr="001C5198">
        <w:rPr>
          <w:rFonts w:ascii="Times New Roman" w:hAnsi="Times New Roman"/>
          <w:caps w:val="0"/>
        </w:rPr>
        <w:t>ederal Communications Commission</w:t>
      </w:r>
    </w:p>
    <w:p w:rsidR="00C516E1" w:rsidRPr="001C5198" w:rsidP="00C516E1">
      <w:pPr>
        <w:pStyle w:val="StyleBoldCentered"/>
        <w:rPr>
          <w:rFonts w:ascii="Times New Roman" w:hAnsi="Times New Roman"/>
        </w:rPr>
      </w:pPr>
      <w:r w:rsidRPr="001C5198">
        <w:rPr>
          <w:rFonts w:ascii="Times New Roman" w:hAnsi="Times New Roman"/>
          <w:caps w:val="0"/>
        </w:rPr>
        <w:t>Washington, D.C. 20554</w:t>
      </w:r>
    </w:p>
    <w:p w:rsidR="004C2EE3" w:rsidRPr="00587EED"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934DE3" w:rsidRPr="005E2BA4" w:rsidP="00934DE3">
            <w:pPr>
              <w:widowControl/>
              <w:ind w:right="-18"/>
            </w:pPr>
            <w:r w:rsidRPr="005E2BA4">
              <w:t>In the Matter of</w:t>
            </w:r>
          </w:p>
          <w:p w:rsidR="00934DE3" w:rsidRPr="005E2BA4" w:rsidP="00934DE3">
            <w:pPr>
              <w:widowControl/>
              <w:ind w:right="-18"/>
            </w:pPr>
          </w:p>
          <w:p w:rsidR="00934DE3" w:rsidRPr="005E2BA4" w:rsidP="00934DE3">
            <w:pPr>
              <w:widowControl/>
              <w:ind w:right="-18"/>
            </w:pPr>
            <w:r w:rsidRPr="005E2BA4">
              <w:t>KAXT, LLC</w:t>
            </w:r>
          </w:p>
          <w:p w:rsidR="00934DE3" w:rsidRPr="005E2BA4" w:rsidP="00934DE3">
            <w:pPr>
              <w:widowControl/>
              <w:ind w:right="-18"/>
            </w:pPr>
            <w:r w:rsidRPr="005E2BA4">
              <w:t>(Assignor)</w:t>
            </w:r>
          </w:p>
          <w:p w:rsidR="00934DE3" w:rsidRPr="005E2BA4" w:rsidP="00934DE3">
            <w:pPr>
              <w:widowControl/>
              <w:ind w:right="-18"/>
            </w:pPr>
          </w:p>
          <w:p w:rsidR="00934DE3" w:rsidRPr="005E2BA4" w:rsidP="00934DE3">
            <w:pPr>
              <w:widowControl/>
              <w:ind w:right="-18"/>
            </w:pPr>
            <w:r w:rsidRPr="005E2BA4">
              <w:t>and</w:t>
            </w:r>
          </w:p>
          <w:p w:rsidR="00934DE3" w:rsidRPr="005E2BA4" w:rsidP="00934DE3">
            <w:pPr>
              <w:widowControl/>
              <w:ind w:right="-18"/>
            </w:pPr>
          </w:p>
          <w:p w:rsidR="00934DE3" w:rsidRPr="005E2BA4" w:rsidP="00934DE3">
            <w:pPr>
              <w:widowControl/>
              <w:ind w:right="-18"/>
            </w:pPr>
            <w:r w:rsidRPr="005E2BA4">
              <w:t>OTA Broadcasting (SFO), LLC</w:t>
            </w:r>
          </w:p>
          <w:p w:rsidR="00934DE3" w:rsidRPr="005E2BA4" w:rsidP="00934DE3">
            <w:pPr>
              <w:widowControl/>
              <w:ind w:right="-18"/>
            </w:pPr>
            <w:r w:rsidRPr="005E2BA4">
              <w:t>(Assignee)</w:t>
            </w:r>
          </w:p>
          <w:p w:rsidR="00934DE3" w:rsidRPr="005E2BA4" w:rsidP="00934DE3">
            <w:pPr>
              <w:widowControl/>
              <w:ind w:right="-18"/>
            </w:pPr>
          </w:p>
          <w:p w:rsidR="00934DE3" w:rsidRPr="005E2BA4" w:rsidP="00934DE3">
            <w:pPr>
              <w:widowControl/>
              <w:ind w:right="-18"/>
            </w:pPr>
            <w:r w:rsidRPr="005E2BA4">
              <w:t>For Consent to Assign the License of Class A Television Station KAXT-CD, San Francisco-San Jose, California</w:t>
            </w:r>
          </w:p>
          <w:p w:rsidR="00934DE3" w:rsidRPr="005E2BA4" w:rsidP="00934DE3">
            <w:pPr>
              <w:widowControl/>
              <w:ind w:right="-18"/>
            </w:pPr>
          </w:p>
          <w:p w:rsidR="00934DE3" w:rsidRPr="005E2BA4" w:rsidP="00934DE3">
            <w:pPr>
              <w:widowControl/>
              <w:ind w:right="-18"/>
            </w:pPr>
            <w:r w:rsidRPr="005E2BA4">
              <w:t xml:space="preserve">In re Application of </w:t>
            </w:r>
          </w:p>
          <w:p w:rsidR="00934DE3" w:rsidRPr="005E2BA4" w:rsidP="00934DE3">
            <w:pPr>
              <w:widowControl/>
              <w:ind w:right="-18"/>
            </w:pPr>
          </w:p>
          <w:p w:rsidR="00934DE3" w:rsidRPr="005E2BA4" w:rsidP="00934DE3">
            <w:pPr>
              <w:widowControl/>
              <w:ind w:right="-18"/>
            </w:pPr>
            <w:r w:rsidRPr="005E2BA4">
              <w:t>OTA Broadcasting (SFO), LLC</w:t>
            </w:r>
          </w:p>
          <w:p w:rsidR="00934DE3" w:rsidRPr="005E2BA4" w:rsidP="00934DE3">
            <w:pPr>
              <w:widowControl/>
              <w:ind w:right="-18"/>
            </w:pPr>
          </w:p>
          <w:p w:rsidR="00934DE3" w:rsidRPr="005E2BA4" w:rsidP="00934DE3">
            <w:pPr>
              <w:widowControl/>
              <w:ind w:right="-18"/>
            </w:pPr>
            <w:r w:rsidRPr="005E2BA4">
              <w:t>For Renewal of the License of Class A</w:t>
            </w:r>
          </w:p>
          <w:p w:rsidR="004C2EE3" w:rsidRPr="005E2BA4" w:rsidP="00934DE3">
            <w:pPr>
              <w:widowControl/>
              <w:ind w:right="-18"/>
            </w:pPr>
            <w:r w:rsidRPr="005E2BA4">
              <w:t>Television Station KAXT-CD, San Francisco-San Jose, California</w:t>
            </w:r>
          </w:p>
        </w:tc>
        <w:tc>
          <w:tcPr>
            <w:tcW w:w="630" w:type="dxa"/>
          </w:tcPr>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4C2E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p w:rsidR="00934DE3" w:rsidRPr="005E2BA4">
            <w:pPr>
              <w:tabs>
                <w:tab w:val="center" w:pos="4680"/>
              </w:tabs>
              <w:suppressAutoHyphens/>
            </w:pPr>
            <w:r w:rsidRPr="005E2BA4">
              <w:t>)</w:t>
            </w:r>
          </w:p>
        </w:tc>
        <w:tc>
          <w:tcPr>
            <w:tcW w:w="4248" w:type="dxa"/>
          </w:tcPr>
          <w:p w:rsidR="004C2EE3" w:rsidRPr="005E2BA4">
            <w:pPr>
              <w:tabs>
                <w:tab w:val="center" w:pos="4680"/>
              </w:tabs>
              <w:suppressAutoHyphens/>
            </w:pPr>
          </w:p>
          <w:p w:rsidR="004C2EE3" w:rsidRPr="005E2BA4">
            <w:pPr>
              <w:pStyle w:val="TOAHeading"/>
              <w:tabs>
                <w:tab w:val="center" w:pos="4680"/>
                <w:tab w:val="clear" w:pos="9360"/>
              </w:tabs>
            </w:pPr>
          </w:p>
          <w:p w:rsidR="00934DE3" w:rsidRPr="005E2BA4" w:rsidP="00934DE3">
            <w:pPr>
              <w:widowControl/>
            </w:pPr>
            <w:r w:rsidRPr="005E2BA4">
              <w:t>Facility ID No. 37689</w:t>
            </w:r>
          </w:p>
          <w:p w:rsidR="00934DE3" w:rsidRPr="005E2BA4" w:rsidP="00934DE3">
            <w:pPr>
              <w:widowControl/>
            </w:pPr>
          </w:p>
          <w:p w:rsidR="00934DE3" w:rsidRPr="005E2BA4" w:rsidP="00934DE3">
            <w:pPr>
              <w:widowControl/>
            </w:pPr>
          </w:p>
          <w:p w:rsidR="00934DE3" w:rsidRPr="005E2BA4" w:rsidP="00934DE3">
            <w:pPr>
              <w:widowControl/>
            </w:pPr>
          </w:p>
          <w:p w:rsidR="00F66B62" w:rsidRPr="005E2BA4" w:rsidP="00934DE3">
            <w:pPr>
              <w:widowControl/>
            </w:pPr>
          </w:p>
          <w:p w:rsidR="003749F3" w:rsidP="00934DE3">
            <w:pPr>
              <w:widowControl/>
            </w:pPr>
          </w:p>
          <w:p w:rsidR="003749F3" w:rsidP="00934DE3">
            <w:pPr>
              <w:widowControl/>
            </w:pPr>
          </w:p>
          <w:p w:rsidR="003749F3" w:rsidP="00934DE3">
            <w:pPr>
              <w:widowControl/>
            </w:pPr>
          </w:p>
          <w:p w:rsidR="00934DE3" w:rsidRPr="005E2BA4" w:rsidP="00934DE3">
            <w:pPr>
              <w:widowControl/>
            </w:pPr>
            <w:r w:rsidRPr="005E2BA4">
              <w:t>File No. BALDTA-20130211ACT</w:t>
            </w:r>
          </w:p>
          <w:p w:rsidR="00934DE3" w:rsidRPr="005E2BA4" w:rsidP="00934DE3">
            <w:pPr>
              <w:widowControl/>
            </w:pPr>
            <w:r w:rsidRPr="005E2BA4">
              <w:br/>
            </w:r>
          </w:p>
          <w:p w:rsidR="00D15B59" w:rsidRPr="005E2BA4" w:rsidP="00934DE3">
            <w:pPr>
              <w:widowControl/>
            </w:pPr>
          </w:p>
          <w:p w:rsidR="00D15B59" w:rsidRPr="005E2BA4" w:rsidP="00934DE3">
            <w:pPr>
              <w:widowControl/>
            </w:pPr>
          </w:p>
          <w:p w:rsidR="00D15B59" w:rsidRPr="005E2BA4" w:rsidP="00934DE3">
            <w:pPr>
              <w:widowControl/>
            </w:pPr>
          </w:p>
          <w:p w:rsidR="00F66B62" w:rsidP="00934DE3">
            <w:pPr>
              <w:widowControl/>
            </w:pPr>
          </w:p>
          <w:p w:rsidR="003749F3" w:rsidP="00934DE3">
            <w:pPr>
              <w:widowControl/>
            </w:pPr>
          </w:p>
          <w:p w:rsidR="00D15B59" w:rsidRPr="005E2BA4" w:rsidP="00934DE3">
            <w:pPr>
              <w:widowControl/>
            </w:pPr>
            <w:r w:rsidRPr="005E2BA4">
              <w:t>File No. BRDTA-20140731ANH</w:t>
            </w:r>
          </w:p>
          <w:p w:rsidR="004C2EE3" w:rsidRPr="005E2BA4" w:rsidP="005E2BA4">
            <w:pPr>
              <w:widowControl/>
            </w:pPr>
          </w:p>
        </w:tc>
      </w:tr>
    </w:tbl>
    <w:p w:rsidR="004C2EE3" w:rsidRPr="00587EED" w:rsidP="0070224F"/>
    <w:p w:rsidR="00841AB1" w:rsidRPr="005E2BA4" w:rsidP="00F021FA">
      <w:pPr>
        <w:pStyle w:val="StyleBoldCentered"/>
      </w:pPr>
      <w:r w:rsidRPr="005E2BA4">
        <w:t>MEMORANDUM OPINION AND ORDER</w:t>
      </w:r>
    </w:p>
    <w:p w:rsidR="004C2EE3" w:rsidRPr="005E2BA4">
      <w:pPr>
        <w:tabs>
          <w:tab w:val="left" w:pos="-720"/>
        </w:tabs>
        <w:suppressAutoHyphens/>
        <w:spacing w:line="227" w:lineRule="auto"/>
      </w:pPr>
    </w:p>
    <w:p w:rsidR="004C2EE3" w:rsidRPr="00C25BA9" w:rsidP="00133F79">
      <w:pPr>
        <w:tabs>
          <w:tab w:val="left" w:pos="720"/>
          <w:tab w:val="right" w:pos="9360"/>
        </w:tabs>
        <w:suppressAutoHyphens/>
        <w:spacing w:line="227" w:lineRule="auto"/>
        <w:rPr>
          <w:b/>
        </w:rPr>
      </w:pPr>
      <w:r w:rsidRPr="00C25BA9">
        <w:rPr>
          <w:b/>
        </w:rPr>
        <w:t xml:space="preserve">Adopted:  </w:t>
      </w:r>
      <w:r w:rsidRPr="00C25BA9" w:rsidR="00C25BA9">
        <w:rPr>
          <w:b/>
        </w:rPr>
        <w:t>September 18, 2018</w:t>
      </w:r>
      <w:r w:rsidRPr="00C25BA9">
        <w:rPr>
          <w:b/>
        </w:rPr>
        <w:tab/>
      </w:r>
      <w:r w:rsidRPr="00C25BA9" w:rsidR="00822CE0">
        <w:rPr>
          <w:b/>
        </w:rPr>
        <w:t>Released</w:t>
      </w:r>
      <w:r w:rsidRPr="00C25BA9">
        <w:rPr>
          <w:b/>
        </w:rPr>
        <w:t>:</w:t>
      </w:r>
      <w:r w:rsidRPr="00C25BA9" w:rsidR="00822CE0">
        <w:rPr>
          <w:b/>
        </w:rPr>
        <w:t xml:space="preserve"> </w:t>
      </w:r>
      <w:r w:rsidRPr="00C25BA9">
        <w:rPr>
          <w:b/>
        </w:rPr>
        <w:t xml:space="preserve"> </w:t>
      </w:r>
      <w:r w:rsidRPr="00C25BA9" w:rsidR="00C25BA9">
        <w:rPr>
          <w:b/>
        </w:rPr>
        <w:t>September 18, 2018</w:t>
      </w:r>
    </w:p>
    <w:p w:rsidR="00822CE0" w:rsidRPr="00C25BA9">
      <w:pPr>
        <w:rPr>
          <w:b/>
        </w:rPr>
      </w:pPr>
    </w:p>
    <w:p w:rsidR="004C2EE3" w:rsidRPr="005E2BA4">
      <w:r w:rsidRPr="00587EED">
        <w:t xml:space="preserve">By </w:t>
      </w:r>
      <w:r w:rsidRPr="00587EED" w:rsidR="0061479B">
        <w:t>the Chief, Video Division, Media Bureau</w:t>
      </w:r>
      <w:r w:rsidRPr="005E2BA4">
        <w:t>:</w:t>
      </w:r>
    </w:p>
    <w:p w:rsidR="00412FC5" w:rsidRPr="00587EED" w:rsidP="00412FC5"/>
    <w:p w:rsidR="002C00E8" w:rsidRPr="005E2BA4" w:rsidP="002C00E8">
      <w:pPr>
        <w:pStyle w:val="Heading1"/>
      </w:pPr>
      <w:r w:rsidRPr="005E2BA4">
        <w:t>INTRODUCTION</w:t>
      </w:r>
    </w:p>
    <w:p w:rsidR="00CF0D26" w:rsidRPr="005E2BA4" w:rsidP="006D3388">
      <w:pPr>
        <w:pStyle w:val="ParaNum"/>
      </w:pPr>
      <w:r>
        <w:t>T</w:t>
      </w:r>
      <w:r w:rsidRPr="005E2BA4" w:rsidR="00934DE3">
        <w:t>he Commission</w:t>
      </w:r>
      <w:r w:rsidRPr="005E2BA4" w:rsidR="0060510E">
        <w:t xml:space="preserve">, Chief, Video Division, Media Bureau, </w:t>
      </w:r>
      <w:r w:rsidRPr="005E2BA4" w:rsidR="00934DE3">
        <w:t xml:space="preserve">has before it </w:t>
      </w:r>
      <w:r w:rsidRPr="005E2BA4">
        <w:t>a Petition for Reconsideration</w:t>
      </w:r>
      <w:r w:rsidRPr="005E2BA4" w:rsidR="00934DE3">
        <w:t xml:space="preserve"> filed by Nalini </w:t>
      </w:r>
      <w:r w:rsidRPr="005E2BA4" w:rsidR="00934DE3">
        <w:t>Kapur</w:t>
      </w:r>
      <w:r w:rsidRPr="005E2BA4" w:rsidR="00934DE3">
        <w:t xml:space="preserve">, Rishi </w:t>
      </w:r>
      <w:r w:rsidRPr="005E2BA4" w:rsidR="00934DE3">
        <w:t>Kapur</w:t>
      </w:r>
      <w:r w:rsidRPr="005E2BA4" w:rsidR="00934DE3">
        <w:t xml:space="preserve">, and Ravi </w:t>
      </w:r>
      <w:r w:rsidRPr="005E2BA4" w:rsidR="00934DE3">
        <w:t>Kapur</w:t>
      </w:r>
      <w:r w:rsidRPr="005E2BA4" w:rsidR="00934DE3">
        <w:t xml:space="preserve"> (the “</w:t>
      </w:r>
      <w:r w:rsidRPr="005E2BA4" w:rsidR="00934DE3">
        <w:t>Kapurs</w:t>
      </w:r>
      <w:r w:rsidRPr="005E2BA4" w:rsidR="00934DE3">
        <w:t>”</w:t>
      </w:r>
      <w:r w:rsidRPr="005E2BA4" w:rsidR="00F35BCA">
        <w:t xml:space="preserve"> or “Petitioners”</w:t>
      </w:r>
      <w:r w:rsidRPr="005E2BA4" w:rsidR="00934DE3">
        <w:t>),</w:t>
      </w:r>
      <w:r>
        <w:rPr>
          <w:rStyle w:val="FootnoteReference"/>
        </w:rPr>
        <w:footnoteReference w:id="3"/>
      </w:r>
      <w:r w:rsidRPr="005E2BA4" w:rsidR="00934DE3">
        <w:rPr>
          <w:rStyle w:val="FootnoteReference"/>
        </w:rPr>
        <w:t xml:space="preserve"> </w:t>
      </w:r>
      <w:r w:rsidRPr="005E2BA4" w:rsidR="00934DE3">
        <w:t xml:space="preserve">seeking review of </w:t>
      </w:r>
      <w:r w:rsidRPr="005E2BA4">
        <w:t xml:space="preserve">a </w:t>
      </w:r>
      <w:r w:rsidRPr="005E2BA4" w:rsidR="0006516E">
        <w:t xml:space="preserve">November 3, 2017, </w:t>
      </w:r>
      <w:r w:rsidRPr="005E2BA4">
        <w:t>Commission decision</w:t>
      </w:r>
      <w:r>
        <w:rPr>
          <w:rStyle w:val="FootnoteReference"/>
        </w:rPr>
        <w:footnoteReference w:id="4"/>
      </w:r>
      <w:r w:rsidRPr="005E2BA4">
        <w:t xml:space="preserve"> </w:t>
      </w:r>
      <w:r w:rsidRPr="005E2BA4" w:rsidR="001C6050">
        <w:t xml:space="preserve">denying an </w:t>
      </w:r>
      <w:r w:rsidR="00177032">
        <w:t>A</w:t>
      </w:r>
      <w:r w:rsidRPr="005E2BA4" w:rsidR="001C6050">
        <w:t xml:space="preserve">pplication for </w:t>
      </w:r>
      <w:r w:rsidR="00177032">
        <w:t>R</w:t>
      </w:r>
      <w:r w:rsidRPr="005E2BA4" w:rsidR="001C6050">
        <w:t xml:space="preserve">eview </w:t>
      </w:r>
      <w:r>
        <w:t xml:space="preserve">of multiple </w:t>
      </w:r>
      <w:r w:rsidRPr="005E2BA4" w:rsidR="006D3388">
        <w:t>Video Division</w:t>
      </w:r>
      <w:r>
        <w:t xml:space="preserve"> decisions that relate to the sale of </w:t>
      </w:r>
      <w:r w:rsidRPr="00417F07">
        <w:t>station KAXT-CD, San Francisco-San Jose, California to OTA Broadcasting (SFO), LLC (“OTA”)</w:t>
      </w:r>
      <w:r w:rsidR="001B3311">
        <w:t xml:space="preserve"> (“Assignment Application”)</w:t>
      </w:r>
      <w:r>
        <w:t xml:space="preserve">. </w:t>
      </w:r>
      <w:r w:rsidR="001B3311">
        <w:t xml:space="preserve"> </w:t>
      </w:r>
      <w:r>
        <w:t>Specifically, the Video Division denied</w:t>
      </w:r>
      <w:r w:rsidRPr="005E2BA4" w:rsidR="007832D3">
        <w:t xml:space="preserve"> </w:t>
      </w:r>
      <w:r w:rsidRPr="005E2BA4" w:rsidR="00E648B5">
        <w:t xml:space="preserve">both a </w:t>
      </w:r>
      <w:r w:rsidR="001B3311">
        <w:t>P</w:t>
      </w:r>
      <w:r w:rsidRPr="005E2BA4" w:rsidR="007832D3">
        <w:t xml:space="preserve">etition for </w:t>
      </w:r>
      <w:r w:rsidR="001B3311">
        <w:t>F</w:t>
      </w:r>
      <w:r w:rsidRPr="005E2BA4" w:rsidR="00E648B5">
        <w:t xml:space="preserve">urther </w:t>
      </w:r>
      <w:r w:rsidR="001B3311">
        <w:t>R</w:t>
      </w:r>
      <w:r w:rsidRPr="005E2BA4" w:rsidR="007832D3">
        <w:t xml:space="preserve">econsideration </w:t>
      </w:r>
      <w:r w:rsidR="002C77BF">
        <w:t xml:space="preserve">of </w:t>
      </w:r>
      <w:r w:rsidR="001B3311">
        <w:t xml:space="preserve">grant of the Assignment Application </w:t>
      </w:r>
      <w:r w:rsidRPr="005E2BA4" w:rsidR="007832D3">
        <w:t xml:space="preserve">and a separate </w:t>
      </w:r>
      <w:r w:rsidR="001B3311">
        <w:t>P</w:t>
      </w:r>
      <w:r w:rsidRPr="005E2BA4" w:rsidR="007832D3">
        <w:t xml:space="preserve">etition for </w:t>
      </w:r>
      <w:r w:rsidR="001B3311">
        <w:t>R</w:t>
      </w:r>
      <w:r w:rsidRPr="005E2BA4" w:rsidR="007832D3">
        <w:t>econsideration</w:t>
      </w:r>
      <w:r w:rsidR="001B3311">
        <w:t xml:space="preserve"> of</w:t>
      </w:r>
      <w:r w:rsidRPr="005E2BA4" w:rsidR="007832D3">
        <w:t xml:space="preserve"> </w:t>
      </w:r>
      <w:r w:rsidRPr="005E2BA4" w:rsidR="00A07D58">
        <w:t xml:space="preserve">the license renewal </w:t>
      </w:r>
      <w:r w:rsidRPr="005E2BA4" w:rsidR="007832D3">
        <w:t>for KAXT-CD</w:t>
      </w:r>
      <w:r w:rsidRPr="005E2BA4" w:rsidR="00495100">
        <w:t xml:space="preserve"> (“Renewal </w:t>
      </w:r>
      <w:r w:rsidRPr="005E2BA4" w:rsidR="00495100">
        <w:t>Application”)</w:t>
      </w:r>
      <w:r w:rsidRPr="005E2BA4" w:rsidR="007832D3">
        <w:t>.</w:t>
      </w:r>
      <w:r>
        <w:rPr>
          <w:rStyle w:val="FootnoteReference"/>
        </w:rPr>
        <w:footnoteReference w:id="5"/>
      </w:r>
      <w:r w:rsidRPr="005E2BA4" w:rsidR="006D3388">
        <w:t xml:space="preserve"> </w:t>
      </w:r>
      <w:r w:rsidRPr="005E2BA4" w:rsidR="0006516E">
        <w:t xml:space="preserve"> </w:t>
      </w:r>
      <w:r w:rsidRPr="005E2BA4" w:rsidR="007832D3">
        <w:t xml:space="preserve">Pursuant to </w:t>
      </w:r>
      <w:r>
        <w:t>S</w:t>
      </w:r>
      <w:r w:rsidRPr="005E2BA4" w:rsidR="00A9410A">
        <w:t>ection 1.106</w:t>
      </w:r>
      <w:r w:rsidRPr="005E2BA4" w:rsidR="007832D3">
        <w:t>(p) of the Commission’s rules,</w:t>
      </w:r>
      <w:r>
        <w:rPr>
          <w:rStyle w:val="FootnoteReference"/>
        </w:rPr>
        <w:footnoteReference w:id="6"/>
      </w:r>
      <w:r w:rsidRPr="005E2BA4" w:rsidR="007832D3">
        <w:rPr>
          <w:rStyle w:val="FootnoteReference"/>
        </w:rPr>
        <w:t xml:space="preserve"> </w:t>
      </w:r>
      <w:r w:rsidRPr="005E2BA4" w:rsidR="007832D3">
        <w:t xml:space="preserve">we </w:t>
      </w:r>
      <w:r w:rsidRPr="005E2BA4" w:rsidR="006B4787">
        <w:t>dismiss</w:t>
      </w:r>
      <w:r w:rsidR="00DA46BF">
        <w:t xml:space="preserve"> </w:t>
      </w:r>
      <w:r w:rsidR="002C77BF">
        <w:t>t</w:t>
      </w:r>
      <w:r w:rsidRPr="005E2BA4" w:rsidR="007832D3">
        <w:t xml:space="preserve">his latest </w:t>
      </w:r>
      <w:r w:rsidR="001B3311">
        <w:t>P</w:t>
      </w:r>
      <w:r w:rsidRPr="005E2BA4" w:rsidR="007832D3">
        <w:t xml:space="preserve">etition for </w:t>
      </w:r>
      <w:r w:rsidR="001B3311">
        <w:t>R</w:t>
      </w:r>
      <w:r w:rsidRPr="005E2BA4" w:rsidR="007832D3">
        <w:t xml:space="preserve">econsideration.  </w:t>
      </w:r>
    </w:p>
    <w:p w:rsidR="00934DE3" w:rsidRPr="005E2BA4" w:rsidP="00934DE3">
      <w:pPr>
        <w:pStyle w:val="Heading1"/>
      </w:pPr>
      <w:r w:rsidRPr="005E2BA4">
        <w:t>BACKGROUND</w:t>
      </w:r>
    </w:p>
    <w:p w:rsidR="006B4787" w:rsidRPr="005E2BA4" w:rsidP="009A05D3">
      <w:pPr>
        <w:pStyle w:val="ParaNum"/>
      </w:pPr>
      <w:r w:rsidRPr="005E2BA4">
        <w:t xml:space="preserve">Other than new allegations regarding the </w:t>
      </w:r>
      <w:r w:rsidR="00324856">
        <w:t xml:space="preserve">Political File </w:t>
      </w:r>
      <w:r w:rsidRPr="005E2BA4">
        <w:t>practices of OTA, t</w:t>
      </w:r>
      <w:r w:rsidRPr="005E2BA4">
        <w:t xml:space="preserve">he issues raised by the </w:t>
      </w:r>
      <w:r w:rsidRPr="005E2BA4">
        <w:t>Kapurs</w:t>
      </w:r>
      <w:r w:rsidRPr="005E2BA4">
        <w:t xml:space="preserve"> are a reprise of an ongoing dispute </w:t>
      </w:r>
      <w:r w:rsidR="001B3311">
        <w:t xml:space="preserve">between the </w:t>
      </w:r>
      <w:r w:rsidR="001B3311">
        <w:t>Kapurs</w:t>
      </w:r>
      <w:r w:rsidR="001B3311">
        <w:t xml:space="preserve"> and </w:t>
      </w:r>
      <w:r w:rsidR="002C77BF">
        <w:t xml:space="preserve">both </w:t>
      </w:r>
      <w:r w:rsidR="001B3311">
        <w:t xml:space="preserve">OTA and the majority members of KAXT, LLC, the previous licensee, that </w:t>
      </w:r>
      <w:r w:rsidRPr="005E2BA4">
        <w:t>stem</w:t>
      </w:r>
      <w:r w:rsidR="001B3311">
        <w:t xml:space="preserve"> originally from the allegation that the sale to OTA was </w:t>
      </w:r>
      <w:r w:rsidR="001B3311">
        <w:rPr>
          <w:i/>
        </w:rPr>
        <w:t>ultra vires</w:t>
      </w:r>
      <w:r w:rsidRPr="005E2BA4">
        <w:t>.</w:t>
      </w:r>
      <w:r>
        <w:rPr>
          <w:rStyle w:val="FootnoteReference"/>
        </w:rPr>
        <w:footnoteReference w:id="7"/>
      </w:r>
      <w:r w:rsidRPr="005E2BA4" w:rsidR="009A05D3">
        <w:t xml:space="preserve">  The </w:t>
      </w:r>
      <w:r w:rsidRPr="005E2BA4" w:rsidR="009A05D3">
        <w:t>Kapurs</w:t>
      </w:r>
      <w:r w:rsidRPr="005E2BA4" w:rsidR="009A05D3">
        <w:t xml:space="preserve"> re-assert arguments made below: </w:t>
      </w:r>
      <w:r w:rsidR="00CC0D50">
        <w:t xml:space="preserve"> </w:t>
      </w:r>
      <w:r w:rsidRPr="005E2BA4" w:rsidR="009A05D3">
        <w:t xml:space="preserve">that OTA threatened the </w:t>
      </w:r>
      <w:r w:rsidRPr="005E2BA4" w:rsidR="009A05D3">
        <w:t>Kapurs</w:t>
      </w:r>
      <w:r w:rsidRPr="005E2BA4" w:rsidR="009A05D3">
        <w:t xml:space="preserve"> with </w:t>
      </w:r>
      <w:r w:rsidR="00D04D69">
        <w:t xml:space="preserve">“punishing </w:t>
      </w:r>
      <w:r w:rsidRPr="005E2BA4" w:rsidR="009A05D3">
        <w:t>litigation” in a letter from OTA’s counsel</w:t>
      </w:r>
      <w:r w:rsidR="00D04D69">
        <w:t xml:space="preserve"> unless they withdrew their pleadings</w:t>
      </w:r>
      <w:r w:rsidRPr="005E2BA4" w:rsidR="009A05D3">
        <w:t>;</w:t>
      </w:r>
      <w:r>
        <w:rPr>
          <w:rStyle w:val="FootnoteReference"/>
        </w:rPr>
        <w:footnoteReference w:id="8"/>
      </w:r>
      <w:r w:rsidRPr="005E2BA4" w:rsidR="009A05D3">
        <w:t xml:space="preserve">  that OTA has continued to omit pending character allegations in its applications even after a March 2015</w:t>
      </w:r>
      <w:r w:rsidR="002C77BF">
        <w:t>,</w:t>
      </w:r>
      <w:r w:rsidRPr="005E2BA4" w:rsidR="009A05D3">
        <w:t xml:space="preserve"> admonishment by staff;</w:t>
      </w:r>
      <w:r>
        <w:rPr>
          <w:rStyle w:val="FootnoteReference"/>
        </w:rPr>
        <w:footnoteReference w:id="9"/>
      </w:r>
      <w:r w:rsidRPr="005E2BA4" w:rsidR="009A05D3">
        <w:t xml:space="preserve">  that OTA actively collaborated with the controlling members of KAXT, LLC, against the </w:t>
      </w:r>
      <w:r w:rsidRPr="005E2BA4" w:rsidR="009A05D3">
        <w:t>Kapurs</w:t>
      </w:r>
      <w:r w:rsidRPr="005E2BA4" w:rsidR="009A05D3">
        <w:t xml:space="preserve"> during arbitration of a contractual dispute;</w:t>
      </w:r>
      <w:r>
        <w:rPr>
          <w:rStyle w:val="FootnoteReference"/>
        </w:rPr>
        <w:footnoteReference w:id="10"/>
      </w:r>
      <w:r w:rsidRPr="005E2BA4" w:rsidR="009A05D3">
        <w:t xml:space="preserve">  that OTA misrepresented to the Commission by not certifying “Yes” as to whether a felon is a party to the assignor’s portion of the Application;</w:t>
      </w:r>
      <w:r>
        <w:rPr>
          <w:rStyle w:val="FootnoteReference"/>
        </w:rPr>
        <w:footnoteReference w:id="11"/>
      </w:r>
      <w:r w:rsidRPr="005E2BA4" w:rsidR="009A05D3">
        <w:t xml:space="preserve">  and that Lawyer, the alleged felon, was not properly insulated.</w:t>
      </w:r>
      <w:r>
        <w:rPr>
          <w:rStyle w:val="FootnoteReference"/>
        </w:rPr>
        <w:footnoteReference w:id="12"/>
      </w:r>
    </w:p>
    <w:p w:rsidR="00960524" w:rsidP="005E2BA4">
      <w:pPr>
        <w:pStyle w:val="ParaNum"/>
      </w:pPr>
      <w:r w:rsidRPr="005E2BA4">
        <w:t xml:space="preserve">On January 18, 2017, the Media Bureau issued </w:t>
      </w:r>
      <w:r w:rsidRPr="005E2BA4" w:rsidR="008F4C1A">
        <w:t xml:space="preserve">the </w:t>
      </w:r>
      <w:r w:rsidRPr="005E2BA4" w:rsidR="008F4C1A">
        <w:rPr>
          <w:i/>
        </w:rPr>
        <w:t>2017 Consent Decree</w:t>
      </w:r>
      <w:r w:rsidRPr="005E2BA4" w:rsidR="008F4C1A">
        <w:t>,</w:t>
      </w:r>
      <w:r>
        <w:rPr>
          <w:rStyle w:val="FootnoteReference"/>
        </w:rPr>
        <w:footnoteReference w:id="13"/>
      </w:r>
      <w:r w:rsidR="00CC0D50">
        <w:rPr>
          <w:rStyle w:val="FootnoteReference"/>
        </w:rPr>
        <w:t xml:space="preserve"> </w:t>
      </w:r>
      <w:r w:rsidRPr="005E2BA4" w:rsidR="008F4C1A">
        <w:t xml:space="preserve">which settled an investigation “relating to the maintenance of Political Files for public inspection, which commenced with the receipt of a complaint, dated November 2, 2016, from Ash </w:t>
      </w:r>
      <w:r w:rsidRPr="005E2BA4" w:rsidR="008F4C1A">
        <w:t>Kalra</w:t>
      </w:r>
      <w:r w:rsidRPr="005E2BA4" w:rsidR="008F4C1A">
        <w:t>.”</w:t>
      </w:r>
      <w:r>
        <w:rPr>
          <w:rStyle w:val="FootnoteReference"/>
        </w:rPr>
        <w:footnoteReference w:id="14"/>
      </w:r>
      <w:r w:rsidR="000E270B">
        <w:t xml:space="preserve">  O</w:t>
      </w:r>
      <w:r w:rsidRPr="005E2BA4" w:rsidR="008F4C1A">
        <w:t xml:space="preserve">n July 12, 2017, the </w:t>
      </w:r>
      <w:r w:rsidRPr="005E2BA4" w:rsidR="008F4C1A">
        <w:t>Kapurs</w:t>
      </w:r>
      <w:r w:rsidRPr="005E2BA4" w:rsidR="008F4C1A">
        <w:t xml:space="preserve"> filed a </w:t>
      </w:r>
      <w:r w:rsidRPr="00587EED" w:rsidR="008F4C1A">
        <w:t xml:space="preserve">pleading in that proceeding entitled </w:t>
      </w:r>
      <w:r w:rsidRPr="00587EED" w:rsidR="002A1ED4">
        <w:t>“Submission of New Material Evidence Concerning the Political File Practices of OTA Broadcasting (SFO), LLC</w:t>
      </w:r>
      <w:r w:rsidRPr="00587EED" w:rsidR="00174D00">
        <w:t>,</w:t>
      </w:r>
      <w:r w:rsidRPr="00587EED" w:rsidR="008C20BC">
        <w:t>”</w:t>
      </w:r>
      <w:r>
        <w:rPr>
          <w:rStyle w:val="FootnoteReference"/>
        </w:rPr>
        <w:footnoteReference w:id="15"/>
      </w:r>
      <w:r w:rsidR="000E270B">
        <w:t xml:space="preserve"> a</w:t>
      </w:r>
      <w:r w:rsidRPr="00587EED" w:rsidR="002A1ED4">
        <w:t xml:space="preserve">rguing that additional </w:t>
      </w:r>
      <w:r w:rsidRPr="00587EED" w:rsidR="003117AB">
        <w:t xml:space="preserve">evidence that had come to light vitiated the </w:t>
      </w:r>
      <w:r w:rsidRPr="005E2BA4" w:rsidR="003117AB">
        <w:rPr>
          <w:i/>
        </w:rPr>
        <w:t>2017 Consent Decree</w:t>
      </w:r>
      <w:r w:rsidRPr="005E2BA4" w:rsidR="0068584B">
        <w:t>.</w:t>
      </w:r>
      <w:r>
        <w:rPr>
          <w:rStyle w:val="FootnoteReference"/>
        </w:rPr>
        <w:footnoteReference w:id="16"/>
      </w:r>
      <w:r w:rsidRPr="005E2BA4" w:rsidR="00934DE3">
        <w:t xml:space="preserve"> </w:t>
      </w:r>
      <w:r w:rsidRPr="005E2BA4" w:rsidR="00B04D5A">
        <w:t xml:space="preserve"> </w:t>
      </w:r>
      <w:r w:rsidRPr="005E2BA4" w:rsidR="0033238F">
        <w:t>Th</w:t>
      </w:r>
      <w:r w:rsidR="00634391">
        <w:t xml:space="preserve">ough raised ostensibly in the consent decree proceeding, the </w:t>
      </w:r>
      <w:r w:rsidR="00634391">
        <w:t>Kapurs</w:t>
      </w:r>
      <w:r w:rsidRPr="005E2BA4" w:rsidR="0033238F">
        <w:t xml:space="preserve"> argue here that the additional evidence cited in their July 12, 2017</w:t>
      </w:r>
      <w:r w:rsidR="00634391">
        <w:t>, filing</w:t>
      </w:r>
      <w:r w:rsidRPr="005E2BA4" w:rsidR="0033238F">
        <w:t xml:space="preserve"> was not procedurally barred </w:t>
      </w:r>
      <w:r w:rsidRPr="005E2BA4" w:rsidR="008C20BC">
        <w:t>from</w:t>
      </w:r>
      <w:r w:rsidR="00B333CA">
        <w:t xml:space="preserve"> being</w:t>
      </w:r>
      <w:r w:rsidRPr="005E2BA4" w:rsidR="008C20BC">
        <w:t xml:space="preserve"> raised in t</w:t>
      </w:r>
      <w:r w:rsidR="00B333CA">
        <w:t xml:space="preserve">he instant proceeding </w:t>
      </w:r>
      <w:r w:rsidRPr="005E2BA4" w:rsidR="0033238F">
        <w:t xml:space="preserve">since the </w:t>
      </w:r>
      <w:r w:rsidR="00D95B55">
        <w:t>P</w:t>
      </w:r>
      <w:r w:rsidRPr="005E2BA4" w:rsidR="0033238F">
        <w:t xml:space="preserve">olitical </w:t>
      </w:r>
      <w:r w:rsidR="00D95B55">
        <w:t>F</w:t>
      </w:r>
      <w:r w:rsidRPr="005E2BA4" w:rsidR="0033238F">
        <w:t xml:space="preserve">ile violations occurred after </w:t>
      </w:r>
      <w:r w:rsidRPr="005E2BA4" w:rsidR="008C20BC">
        <w:t xml:space="preserve">the due date for filing the subsequently denied </w:t>
      </w:r>
      <w:r w:rsidR="00634391">
        <w:t>A</w:t>
      </w:r>
      <w:r w:rsidRPr="005E2BA4" w:rsidR="008C20BC">
        <w:t xml:space="preserve">pplication for </w:t>
      </w:r>
      <w:r w:rsidR="00634391">
        <w:t>R</w:t>
      </w:r>
      <w:r w:rsidRPr="005E2BA4" w:rsidR="008C20BC">
        <w:t>eview.</w:t>
      </w:r>
      <w:r>
        <w:rPr>
          <w:rStyle w:val="FootnoteReference"/>
        </w:rPr>
        <w:footnoteReference w:id="17"/>
      </w:r>
      <w:r w:rsidR="000E270B">
        <w:t xml:space="preserve">  </w:t>
      </w:r>
      <w:r w:rsidRPr="005E2BA4" w:rsidR="008C20BC">
        <w:t xml:space="preserve">As they have requested </w:t>
      </w:r>
      <w:r w:rsidRPr="005E2BA4" w:rsidR="008C20BC">
        <w:t xml:space="preserve">throughout the instant proceeding, </w:t>
      </w:r>
      <w:r w:rsidR="00281060">
        <w:t xml:space="preserve">the </w:t>
      </w:r>
      <w:r w:rsidR="00281060">
        <w:t>Kapurs</w:t>
      </w:r>
      <w:r w:rsidR="00281060">
        <w:t xml:space="preserve">’ seek a hearing on </w:t>
      </w:r>
      <w:r w:rsidRPr="005E2BA4" w:rsidR="008C20BC">
        <w:t xml:space="preserve">OTA’s character qualifications.  In addition to the violations underlying the </w:t>
      </w:r>
      <w:r w:rsidRPr="005E2BA4" w:rsidR="008C20BC">
        <w:rPr>
          <w:i/>
        </w:rPr>
        <w:t>2017 Consent Decree</w:t>
      </w:r>
      <w:r w:rsidRPr="005E2BA4" w:rsidR="008C20BC">
        <w:t xml:space="preserve">, the </w:t>
      </w:r>
      <w:r w:rsidRPr="005E2BA4" w:rsidR="008C20BC">
        <w:t>Kapurs</w:t>
      </w:r>
      <w:r w:rsidRPr="005E2BA4" w:rsidR="008C20BC">
        <w:t xml:space="preserve"> also cite </w:t>
      </w:r>
      <w:r w:rsidRPr="00587EED" w:rsidR="00A62FD5">
        <w:t xml:space="preserve">OTA’s failure to amend its online public inspection file </w:t>
      </w:r>
      <w:r w:rsidRPr="00587EED" w:rsidR="008C20BC">
        <w:t xml:space="preserve">to include certain materials </w:t>
      </w:r>
      <w:r w:rsidRPr="00587EED" w:rsidR="008A69EC">
        <w:t xml:space="preserve">relevant to the </w:t>
      </w:r>
      <w:r w:rsidR="00634391">
        <w:t>P</w:t>
      </w:r>
      <w:r w:rsidRPr="00587EED" w:rsidR="008A69EC">
        <w:t xml:space="preserve">olitical </w:t>
      </w:r>
      <w:r w:rsidR="00634391">
        <w:t>F</w:t>
      </w:r>
      <w:r w:rsidRPr="00587EED" w:rsidR="008A69EC">
        <w:t>ile investigation</w:t>
      </w:r>
      <w:r w:rsidRPr="00587EED" w:rsidR="00A62FD5">
        <w:t>.</w:t>
      </w:r>
      <w:r>
        <w:rPr>
          <w:rStyle w:val="FootnoteReference"/>
        </w:rPr>
        <w:footnoteReference w:id="18"/>
      </w:r>
      <w:r w:rsidRPr="005E2BA4" w:rsidR="00F038CA">
        <w:rPr>
          <w:rStyle w:val="FootnoteReference"/>
        </w:rPr>
        <w:t xml:space="preserve"> </w:t>
      </w:r>
      <w:r w:rsidRPr="00587EED" w:rsidR="00F038CA">
        <w:t xml:space="preserve"> </w:t>
      </w:r>
    </w:p>
    <w:p w:rsidR="00D5619A" w:rsidP="00D5619A">
      <w:pPr>
        <w:pStyle w:val="ParaNum"/>
      </w:pPr>
      <w:r w:rsidRPr="005E2BA4">
        <w:t xml:space="preserve">OTA responds that the Petition does not identify any errors of fact or law warranting reconsideration of the </w:t>
      </w:r>
      <w:r w:rsidRPr="005E2BA4">
        <w:rPr>
          <w:i/>
        </w:rPr>
        <w:t>Commission MO&amp;O</w:t>
      </w:r>
      <w:r w:rsidRPr="00587EED">
        <w:t xml:space="preserve">, and the </w:t>
      </w:r>
      <w:r w:rsidRPr="00587EED">
        <w:t>Kapurs</w:t>
      </w:r>
      <w:r w:rsidRPr="00587EED">
        <w:t>’ repeated filing of meritless challenges in order to obtain leverage in their ongoing dispute with their former business partners constitutes a textbook example of abuse of process.</w:t>
      </w:r>
      <w:r>
        <w:rPr>
          <w:rStyle w:val="FootnoteReference"/>
        </w:rPr>
        <w:footnoteReference w:id="19"/>
      </w:r>
      <w:r w:rsidRPr="00587EED">
        <w:t xml:space="preserve">  The </w:t>
      </w:r>
      <w:r w:rsidRPr="00587EED">
        <w:t>Kapurs</w:t>
      </w:r>
      <w:r w:rsidRPr="00587EED">
        <w:t xml:space="preserve"> ask the Commission to put an end to this abuse by imposing sanctions to prohibit repetitive</w:t>
      </w:r>
      <w:r>
        <w:t xml:space="preserve"> pleadings</w:t>
      </w:r>
      <w:r w:rsidRPr="00587EED">
        <w:t>,</w:t>
      </w:r>
      <w:r>
        <w:t xml:space="preserve"> consistent with precedent.</w:t>
      </w:r>
      <w:r>
        <w:rPr>
          <w:rStyle w:val="FootnoteReference"/>
        </w:rPr>
        <w:footnoteReference w:id="20"/>
      </w:r>
    </w:p>
    <w:p w:rsidR="00356508" w:rsidRPr="005E2BA4" w:rsidP="00934DE3">
      <w:pPr>
        <w:pStyle w:val="ParaNum"/>
      </w:pPr>
      <w:r w:rsidRPr="005E2BA4">
        <w:t xml:space="preserve">OTA does contend that </w:t>
      </w:r>
      <w:r w:rsidRPr="005E2BA4">
        <w:t>with regard to</w:t>
      </w:r>
      <w:r w:rsidRPr="005E2BA4">
        <w:t xml:space="preserve"> whether the “new” evidence regarding the Station’s maintenance of its political broadcasting file was unavailable at the time of the adoption of the Commission MO&amp;O, </w:t>
      </w:r>
      <w:r w:rsidRPr="005E2BA4" w:rsidR="008C05C7">
        <w:t xml:space="preserve">the </w:t>
      </w:r>
      <w:r w:rsidRPr="005E2BA4" w:rsidR="008C05C7">
        <w:t>Kapurs</w:t>
      </w:r>
      <w:r w:rsidRPr="005E2BA4" w:rsidR="008C05C7">
        <w:t xml:space="preserve"> </w:t>
      </w:r>
      <w:r w:rsidRPr="005E2BA4" w:rsidR="0009252F">
        <w:t xml:space="preserve">not only </w:t>
      </w:r>
      <w:r w:rsidRPr="005E2BA4" w:rsidR="008C05C7">
        <w:t xml:space="preserve">had the opportunity to present these facts </w:t>
      </w:r>
      <w:r w:rsidRPr="005E2BA4" w:rsidR="0009252F">
        <w:t xml:space="preserve">but </w:t>
      </w:r>
      <w:r w:rsidRPr="005E2BA4" w:rsidR="008C05C7">
        <w:t xml:space="preserve">in fact did so through </w:t>
      </w:r>
      <w:r w:rsidRPr="005E2BA4" w:rsidR="00475A2D">
        <w:t>multiple filings, incl</w:t>
      </w:r>
      <w:r w:rsidRPr="005E2BA4" w:rsidR="00080151">
        <w:t>u</w:t>
      </w:r>
      <w:r w:rsidRPr="005E2BA4" w:rsidR="00475A2D">
        <w:t xml:space="preserve">ding </w:t>
      </w:r>
      <w:r w:rsidRPr="005E2BA4" w:rsidR="008C05C7">
        <w:t xml:space="preserve">the </w:t>
      </w:r>
      <w:r w:rsidRPr="00587EED" w:rsidR="008C05C7">
        <w:t>Kapurs</w:t>
      </w:r>
      <w:r w:rsidRPr="00587EED" w:rsidR="008C05C7">
        <w:t xml:space="preserve"> July 12, 2017 Submission.</w:t>
      </w:r>
      <w:r w:rsidRPr="00587EED" w:rsidR="00AD382C">
        <w:t xml:space="preserve">  OTA also points out that the </w:t>
      </w:r>
      <w:r w:rsidRPr="00587EED" w:rsidR="00AD382C">
        <w:t>Kapurs</w:t>
      </w:r>
      <w:r w:rsidRPr="00587EED" w:rsidR="00AD382C">
        <w:t xml:space="preserve"> never sought to supplement or amend their Application for Review itself, even though the Commission has authority to consider supplemental filings that rely on new facts.</w:t>
      </w:r>
      <w:r w:rsidRPr="00587EED" w:rsidR="001834B9">
        <w:t xml:space="preserve">  OTA </w:t>
      </w:r>
      <w:r w:rsidRPr="00587EED" w:rsidR="00AD382C">
        <w:t xml:space="preserve">further </w:t>
      </w:r>
      <w:r w:rsidRPr="00587EED" w:rsidR="001834B9">
        <w:t xml:space="preserve">argues that the Media Bureau’s Policy Division should consider </w:t>
      </w:r>
      <w:r w:rsidRPr="00587EED" w:rsidR="00AD382C">
        <w:t>such evidence in</w:t>
      </w:r>
      <w:r w:rsidRPr="00587EED" w:rsidR="001834B9">
        <w:t xml:space="preserve"> the first instance</w:t>
      </w:r>
      <w:r w:rsidRPr="00587EED" w:rsidR="00AD382C">
        <w:t>,</w:t>
      </w:r>
      <w:r w:rsidRPr="00587EED" w:rsidR="001834B9">
        <w:t xml:space="preserve"> and </w:t>
      </w:r>
      <w:r w:rsidRPr="00587EED" w:rsidR="00AD382C">
        <w:t xml:space="preserve">it </w:t>
      </w:r>
      <w:r w:rsidRPr="00587EED" w:rsidR="001834B9">
        <w:t xml:space="preserve">should not be the basis for reconsideration of the </w:t>
      </w:r>
      <w:r w:rsidRPr="005E2BA4" w:rsidR="001834B9">
        <w:rPr>
          <w:i/>
        </w:rPr>
        <w:t>Commission MO&amp;O.</w:t>
      </w:r>
      <w:r w:rsidRPr="00587EED" w:rsidR="001834B9">
        <w:t xml:space="preserve">  OTA points out that the Petition </w:t>
      </w:r>
      <w:r w:rsidRPr="00587EED" w:rsidR="00AD382C">
        <w:t xml:space="preserve">did not </w:t>
      </w:r>
      <w:r w:rsidRPr="00587EED" w:rsidR="003366A9">
        <w:t>identify</w:t>
      </w:r>
      <w:r w:rsidRPr="00587EED" w:rsidR="00AD382C">
        <w:t xml:space="preserve"> a single instance where the Commission disapproved a license assignment, or refused to renew a license, </w:t>
      </w:r>
      <w:r w:rsidRPr="00587EED" w:rsidR="00AD382C">
        <w:t>on the basis of</w:t>
      </w:r>
      <w:r w:rsidRPr="00587EED" w:rsidR="00AD382C">
        <w:t xml:space="preserve"> such </w:t>
      </w:r>
      <w:r w:rsidR="00634391">
        <w:t>P</w:t>
      </w:r>
      <w:r w:rsidRPr="00587EED" w:rsidR="00AD382C">
        <w:t xml:space="preserve">olitical </w:t>
      </w:r>
      <w:r w:rsidR="00634391">
        <w:t>F</w:t>
      </w:r>
      <w:r w:rsidRPr="00587EED" w:rsidR="00AD382C">
        <w:t>ile allegations.</w:t>
      </w:r>
      <w:r>
        <w:rPr>
          <w:rStyle w:val="FootnoteReference"/>
        </w:rPr>
        <w:footnoteReference w:id="21"/>
      </w:r>
    </w:p>
    <w:p w:rsidR="00934DE3" w:rsidRPr="005E2BA4" w:rsidP="00934DE3">
      <w:pPr>
        <w:pStyle w:val="ParaNum"/>
      </w:pPr>
      <w:r>
        <w:t xml:space="preserve">The </w:t>
      </w:r>
      <w:r w:rsidRPr="005E2BA4" w:rsidR="006E2F2D">
        <w:t>Kapurs</w:t>
      </w:r>
      <w:r w:rsidRPr="005E2BA4" w:rsidR="006E2F2D">
        <w:t xml:space="preserve"> </w:t>
      </w:r>
      <w:r>
        <w:t>reply</w:t>
      </w:r>
      <w:r w:rsidRPr="005E2BA4" w:rsidR="006E2F2D">
        <w:t xml:space="preserve"> that OTA did not address the merits of the </w:t>
      </w:r>
      <w:r>
        <w:t xml:space="preserve">alleged </w:t>
      </w:r>
      <w:r w:rsidRPr="005E2BA4" w:rsidR="006E2F2D">
        <w:t xml:space="preserve">new facts, and </w:t>
      </w:r>
      <w:r w:rsidRPr="005E2BA4" w:rsidR="004035B4">
        <w:t xml:space="preserve">that </w:t>
      </w:r>
      <w:r w:rsidRPr="005E2BA4" w:rsidR="006E2F2D">
        <w:t>its failure to defend itself means that the fact of record stand</w:t>
      </w:r>
      <w:r w:rsidR="00C25BA9">
        <w:t>s</w:t>
      </w:r>
      <w:r w:rsidRPr="005E2BA4" w:rsidR="006E2F2D">
        <w:t xml:space="preserve"> undisputed.</w:t>
      </w:r>
      <w:r>
        <w:rPr>
          <w:rStyle w:val="FootnoteReference"/>
        </w:rPr>
        <w:footnoteReference w:id="22"/>
      </w:r>
      <w:r w:rsidRPr="005E2BA4" w:rsidR="006E2F2D">
        <w:t xml:space="preserve"> </w:t>
      </w:r>
      <w:r w:rsidRPr="005E2BA4" w:rsidR="006E01EF">
        <w:t xml:space="preserve"> </w:t>
      </w:r>
      <w:r w:rsidRPr="005E2BA4" w:rsidR="00900F07">
        <w:t xml:space="preserve">They </w:t>
      </w:r>
      <w:r>
        <w:t xml:space="preserve">argue that the issue is not the </w:t>
      </w:r>
      <w:r w:rsidR="00634391">
        <w:t>P</w:t>
      </w:r>
      <w:r>
        <w:t xml:space="preserve">olitical </w:t>
      </w:r>
      <w:r w:rsidR="00634391">
        <w:t>F</w:t>
      </w:r>
      <w:r>
        <w:t xml:space="preserve">ile violations in isolation, but the </w:t>
      </w:r>
      <w:r w:rsidRPr="005E2BA4" w:rsidR="00900F07">
        <w:t xml:space="preserve">willful and repeated violations </w:t>
      </w:r>
      <w:r w:rsidRPr="005E2BA4" w:rsidR="00C3677B">
        <w:t>of</w:t>
      </w:r>
      <w:r>
        <w:t xml:space="preserve"> both the rules and the Act</w:t>
      </w:r>
      <w:r w:rsidRPr="005E2BA4" w:rsidR="00900F07">
        <w:t>.</w:t>
      </w:r>
      <w:r>
        <w:rPr>
          <w:rStyle w:val="FootnoteReference"/>
        </w:rPr>
        <w:footnoteReference w:id="23"/>
      </w:r>
    </w:p>
    <w:p w:rsidR="00934DE3" w:rsidRPr="005E2BA4" w:rsidP="00934DE3">
      <w:pPr>
        <w:pStyle w:val="Heading1"/>
      </w:pPr>
      <w:r w:rsidRPr="005E2BA4">
        <w:t>DISCUSSION</w:t>
      </w:r>
    </w:p>
    <w:p w:rsidR="00A5005D" w:rsidP="007E437F">
      <w:pPr>
        <w:pStyle w:val="ParaNum"/>
        <w:widowControl/>
      </w:pPr>
      <w:r w:rsidRPr="00587EED">
        <w:t>Section 1.106(p) of the Commission’s rules permits the delegated authority to dismiss or deny a petition for reconsideration of a Commission action if it does not warrant consideration.  Examples of such warrantless petitions for reconsideration provided in the rule section include, among others, petitions that (1) fail to identify any material error, omission; (</w:t>
      </w:r>
      <w:r w:rsidR="00AE153B">
        <w:t>2</w:t>
      </w:r>
      <w:r w:rsidRPr="00587EED">
        <w:t>) rely on facts or arguments that have been fully considered and rejected by the Commission within the same proceeding</w:t>
      </w:r>
      <w:r w:rsidR="00CC0D50">
        <w:t>; or (3) </w:t>
      </w:r>
      <w:r w:rsidR="00AE153B">
        <w:t>relate to matters outside the scope of the order for which reconsideration is sought</w:t>
      </w:r>
      <w:r w:rsidRPr="00587EED">
        <w:t>.</w:t>
      </w:r>
      <w:r>
        <w:rPr>
          <w:rStyle w:val="FootnoteReference"/>
        </w:rPr>
        <w:footnoteReference w:id="24"/>
      </w:r>
    </w:p>
    <w:p w:rsidR="008475F9" w:rsidP="006B4787">
      <w:pPr>
        <w:pStyle w:val="ParaNum"/>
      </w:pPr>
      <w:r>
        <w:t>With the exception of</w:t>
      </w:r>
      <w:r>
        <w:t xml:space="preserve"> the allegations </w:t>
      </w:r>
      <w:r w:rsidR="001C4A7D">
        <w:t>concerning Political File violations</w:t>
      </w:r>
      <w:r>
        <w:t>, all of the allegations raised in the Petition</w:t>
      </w:r>
      <w:r w:rsidR="00DA46BF">
        <w:t xml:space="preserve"> have been raised before the delegated authority and the Commission and have been </w:t>
      </w:r>
      <w:r w:rsidR="00C315BE">
        <w:t xml:space="preserve">fully considered and </w:t>
      </w:r>
      <w:r w:rsidR="00DA46BF">
        <w:t>rejected</w:t>
      </w:r>
      <w:r w:rsidR="00C315BE">
        <w:t xml:space="preserve"> in this proceed</w:t>
      </w:r>
      <w:r w:rsidR="00DA2858">
        <w:t>ing</w:t>
      </w:r>
      <w:r w:rsidR="00DA46BF">
        <w:t>.</w:t>
      </w:r>
      <w:r w:rsidR="00DD2F97">
        <w:t xml:space="preserve">  For example,</w:t>
      </w:r>
      <w:r w:rsidR="001528DE">
        <w:t xml:space="preserve"> </w:t>
      </w:r>
      <w:r w:rsidR="0028397F">
        <w:t xml:space="preserve">the </w:t>
      </w:r>
      <w:r w:rsidR="0028397F">
        <w:t>Kapurs</w:t>
      </w:r>
      <w:r w:rsidR="0028397F">
        <w:t xml:space="preserve"> </w:t>
      </w:r>
      <w:r w:rsidR="00270267">
        <w:t xml:space="preserve">request </w:t>
      </w:r>
      <w:r w:rsidR="007B135A">
        <w:t>re</w:t>
      </w:r>
      <w:r w:rsidR="00270267">
        <w:t>consideration of the Commission’s resci</w:t>
      </w:r>
      <w:r w:rsidR="007B135A">
        <w:t xml:space="preserve">ssion of the Division admonishment of OTA for failing to amend its filings to report the character allegations that the </w:t>
      </w:r>
      <w:r w:rsidR="007B135A">
        <w:t>Kapurs</w:t>
      </w:r>
      <w:r w:rsidR="007B135A">
        <w:t xml:space="preserve"> had made against OTA.</w:t>
      </w:r>
      <w:r>
        <w:rPr>
          <w:rStyle w:val="FootnoteReference"/>
        </w:rPr>
        <w:footnoteReference w:id="25"/>
      </w:r>
      <w:r w:rsidR="007B135A">
        <w:t xml:space="preserve">  However, th</w:t>
      </w:r>
      <w:r w:rsidR="008A3880">
        <w:t>ese arguments</w:t>
      </w:r>
      <w:r w:rsidR="00E0243D">
        <w:t xml:space="preserve"> </w:t>
      </w:r>
      <w:r w:rsidR="001C4A7D">
        <w:t xml:space="preserve">previously </w:t>
      </w:r>
      <w:r w:rsidR="00751DD9">
        <w:t>have been fully considered and rejected by the Commission.</w:t>
      </w:r>
      <w:r>
        <w:rPr>
          <w:rStyle w:val="FootnoteReference"/>
        </w:rPr>
        <w:footnoteReference w:id="26"/>
      </w:r>
      <w:r w:rsidR="00DD2F97">
        <w:t xml:space="preserve">  The </w:t>
      </w:r>
      <w:r w:rsidR="00DD2F97">
        <w:t>Kapurs</w:t>
      </w:r>
      <w:r w:rsidR="00DD2F97">
        <w:t xml:space="preserve"> also argue </w:t>
      </w:r>
      <w:r w:rsidR="00DD2F97">
        <w:rPr>
          <w:snapToGrid/>
        </w:rPr>
        <w:t>th</w:t>
      </w:r>
      <w:r w:rsidR="009C0B44">
        <w:rPr>
          <w:snapToGrid/>
        </w:rPr>
        <w:t>at</w:t>
      </w:r>
      <w:r w:rsidR="00031488">
        <w:rPr>
          <w:snapToGrid/>
        </w:rPr>
        <w:t xml:space="preserve"> the </w:t>
      </w:r>
      <w:r w:rsidR="00031488">
        <w:rPr>
          <w:i/>
          <w:snapToGrid/>
        </w:rPr>
        <w:t>Commission MO&amp;O</w:t>
      </w:r>
      <w:r w:rsidR="009C0B44">
        <w:rPr>
          <w:snapToGrid/>
        </w:rPr>
        <w:t xml:space="preserve"> </w:t>
      </w:r>
      <w:r w:rsidR="00031488">
        <w:rPr>
          <w:snapToGrid/>
        </w:rPr>
        <w:t>warrants reconsideration because, contrary to the findings of the Commission</w:t>
      </w:r>
      <w:r w:rsidR="00AB7E7F">
        <w:rPr>
          <w:snapToGrid/>
        </w:rPr>
        <w:t>,</w:t>
      </w:r>
      <w:r w:rsidR="00031488">
        <w:rPr>
          <w:snapToGrid/>
        </w:rPr>
        <w:t xml:space="preserve"> </w:t>
      </w:r>
      <w:r w:rsidR="009C0B44">
        <w:rPr>
          <w:snapToGrid/>
        </w:rPr>
        <w:t xml:space="preserve">publicly available documents regarding the felony conviction of an OTA officer were </w:t>
      </w:r>
      <w:r w:rsidR="00031488">
        <w:rPr>
          <w:snapToGrid/>
        </w:rPr>
        <w:t xml:space="preserve">not </w:t>
      </w:r>
      <w:r w:rsidR="009C0B44">
        <w:rPr>
          <w:snapToGrid/>
        </w:rPr>
        <w:t xml:space="preserve">sufficient to demonstrate that the </w:t>
      </w:r>
      <w:r w:rsidR="009C0B44">
        <w:rPr>
          <w:snapToGrid/>
        </w:rPr>
        <w:t>Kapurs</w:t>
      </w:r>
      <w:r w:rsidR="009C0B44">
        <w:rPr>
          <w:snapToGrid/>
        </w:rPr>
        <w:t xml:space="preserve"> should have known </w:t>
      </w:r>
      <w:r w:rsidR="00031488">
        <w:rPr>
          <w:snapToGrid/>
        </w:rPr>
        <w:t>of that felony</w:t>
      </w:r>
      <w:r w:rsidR="00C41030">
        <w:rPr>
          <w:snapToGrid/>
        </w:rPr>
        <w:t xml:space="preserve"> in a timely manner</w:t>
      </w:r>
      <w:r w:rsidR="00031488">
        <w:rPr>
          <w:snapToGrid/>
        </w:rPr>
        <w:t>.</w:t>
      </w:r>
      <w:r>
        <w:rPr>
          <w:rStyle w:val="FootnoteReference"/>
          <w:snapToGrid/>
        </w:rPr>
        <w:footnoteReference w:id="27"/>
      </w:r>
      <w:r w:rsidR="00031488">
        <w:rPr>
          <w:snapToGrid/>
        </w:rPr>
        <w:t xml:space="preserve">  </w:t>
      </w:r>
      <w:r w:rsidR="008A3880">
        <w:rPr>
          <w:snapToGrid/>
        </w:rPr>
        <w:t>Again, the Commission rejected this argument.</w:t>
      </w:r>
      <w:r>
        <w:rPr>
          <w:rStyle w:val="FootnoteReference"/>
          <w:snapToGrid/>
        </w:rPr>
        <w:footnoteReference w:id="28"/>
      </w:r>
      <w:r w:rsidR="009012C0">
        <w:rPr>
          <w:snapToGrid/>
        </w:rPr>
        <w:t xml:space="preserve"> </w:t>
      </w:r>
      <w:r w:rsidR="00E0243D">
        <w:rPr>
          <w:snapToGrid/>
        </w:rPr>
        <w:t xml:space="preserve"> </w:t>
      </w:r>
      <w:r w:rsidR="001C4A7D">
        <w:rPr>
          <w:snapToGrid/>
        </w:rPr>
        <w:t>A</w:t>
      </w:r>
      <w:r w:rsidR="00031488">
        <w:t xml:space="preserve">ccordingly, </w:t>
      </w:r>
      <w:r w:rsidR="00A46582">
        <w:t xml:space="preserve">we find that the Petitioners fail to identify </w:t>
      </w:r>
      <w:r w:rsidR="000A4BD8">
        <w:t xml:space="preserve">any </w:t>
      </w:r>
      <w:r w:rsidR="00DA46BF">
        <w:t>material error</w:t>
      </w:r>
      <w:r w:rsidR="000A4BD8">
        <w:t>,</w:t>
      </w:r>
      <w:r w:rsidR="00DA46BF">
        <w:t xml:space="preserve"> omission</w:t>
      </w:r>
      <w:r w:rsidR="000A4BD8">
        <w:t>, or reason warranting reconsideration of</w:t>
      </w:r>
      <w:r w:rsidR="00DA46BF">
        <w:t xml:space="preserve"> the </w:t>
      </w:r>
      <w:r w:rsidR="00DA46BF">
        <w:rPr>
          <w:i/>
        </w:rPr>
        <w:t>Commission MO&amp;</w:t>
      </w:r>
      <w:r w:rsidR="009612F5">
        <w:rPr>
          <w:i/>
        </w:rPr>
        <w:t>O</w:t>
      </w:r>
      <w:r w:rsidR="009612F5">
        <w:t>.</w:t>
      </w:r>
      <w:r>
        <w:rPr>
          <w:rStyle w:val="FootnoteReference"/>
        </w:rPr>
        <w:footnoteReference w:id="29"/>
      </w:r>
    </w:p>
    <w:p w:rsidR="008475F9" w:rsidRPr="005E2BA4" w:rsidP="005E2BA4">
      <w:pPr>
        <w:pStyle w:val="ParaNum"/>
      </w:pPr>
      <w:r>
        <w:t xml:space="preserve">The Bureau settled all matters related to OTA’s Political File </w:t>
      </w:r>
      <w:r w:rsidR="00D50911">
        <w:t xml:space="preserve">practices </w:t>
      </w:r>
      <w:r w:rsidR="00EF7181">
        <w:t xml:space="preserve">occurring </w:t>
      </w:r>
      <w:r w:rsidR="00D50911">
        <w:t xml:space="preserve">prior to </w:t>
      </w:r>
      <w:r w:rsidR="00216728">
        <w:t xml:space="preserve">the adoption and release of </w:t>
      </w:r>
      <w:r w:rsidR="00D50911">
        <w:t xml:space="preserve">the </w:t>
      </w:r>
      <w:r w:rsidR="00D50911">
        <w:rPr>
          <w:i/>
        </w:rPr>
        <w:t>2017 Consent Decree</w:t>
      </w:r>
      <w:r w:rsidR="00D50911">
        <w:t>.</w:t>
      </w:r>
      <w:r>
        <w:rPr>
          <w:rStyle w:val="FootnoteReference"/>
        </w:rPr>
        <w:footnoteReference w:id="30"/>
      </w:r>
      <w:r w:rsidR="00D50911">
        <w:t xml:space="preserve"> </w:t>
      </w:r>
      <w:r w:rsidR="00812FCC">
        <w:t xml:space="preserve"> T</w:t>
      </w:r>
      <w:bookmarkStart w:id="1" w:name="_Hlk521674043"/>
      <w:r w:rsidR="00D50911">
        <w:t xml:space="preserve">he </w:t>
      </w:r>
      <w:r w:rsidR="00D50911">
        <w:rPr>
          <w:i/>
        </w:rPr>
        <w:t>2017 Consent Decree</w:t>
      </w:r>
      <w:r w:rsidR="00D50911">
        <w:t xml:space="preserve"> included a settlement</w:t>
      </w:r>
      <w:r w:rsidR="00B62E3E">
        <w:t xml:space="preserve"> </w:t>
      </w:r>
      <w:r w:rsidR="00966B39">
        <w:t xml:space="preserve">of the </w:t>
      </w:r>
      <w:r w:rsidR="00B62E3E">
        <w:t>alleged “new material” violations.</w:t>
      </w:r>
      <w:r>
        <w:rPr>
          <w:rStyle w:val="FootnoteReference"/>
        </w:rPr>
        <w:footnoteReference w:id="31"/>
      </w:r>
      <w:r w:rsidR="00D50911">
        <w:rPr>
          <w:i/>
        </w:rPr>
        <w:t xml:space="preserve"> </w:t>
      </w:r>
      <w:r w:rsidR="00B62E3E">
        <w:rPr>
          <w:i/>
        </w:rPr>
        <w:t xml:space="preserve"> </w:t>
      </w:r>
      <w:bookmarkEnd w:id="1"/>
      <w:r w:rsidR="00D50911">
        <w:t xml:space="preserve">The Bureau’s determination to resolve these issues pursuant to </w:t>
      </w:r>
      <w:r w:rsidR="00D50911">
        <w:t xml:space="preserve">the terms of the </w:t>
      </w:r>
      <w:r w:rsidR="00D50911">
        <w:rPr>
          <w:i/>
        </w:rPr>
        <w:t xml:space="preserve">2017 Consent Decree </w:t>
      </w:r>
      <w:r w:rsidR="00D50911">
        <w:t>amounts to a decision not to pursue an enforcement action that is generall</w:t>
      </w:r>
      <w:r w:rsidR="00B62E3E">
        <w:t>y committed to an agency’s absolute discretion.</w:t>
      </w:r>
      <w:r>
        <w:rPr>
          <w:rStyle w:val="FootnoteReference"/>
        </w:rPr>
        <w:footnoteReference w:id="32"/>
      </w:r>
      <w:r w:rsidR="000F0863">
        <w:t xml:space="preserve">  The alleged misconduct cited by the </w:t>
      </w:r>
      <w:r w:rsidR="000F0863">
        <w:t>Kapurs</w:t>
      </w:r>
      <w:r w:rsidR="000F0863">
        <w:t xml:space="preserve"> took place prior to the adoption and release of the </w:t>
      </w:r>
      <w:r w:rsidR="000F0863">
        <w:rPr>
          <w:i/>
        </w:rPr>
        <w:t>2017 Consent Decree</w:t>
      </w:r>
      <w:r w:rsidR="000F0863">
        <w:t>, and the consent decree therefore captures those purported violations.</w:t>
      </w:r>
      <w:r w:rsidR="00B62E3E">
        <w:t xml:space="preserve">  Any challenge to the </w:t>
      </w:r>
      <w:r w:rsidR="00B62E3E">
        <w:rPr>
          <w:i/>
        </w:rPr>
        <w:t xml:space="preserve">2017 Consent Decree </w:t>
      </w:r>
      <w:r w:rsidR="00B62E3E">
        <w:t>itself in the context of this separate proceeding constitutes an impermissible collateral attack.</w:t>
      </w:r>
      <w:r>
        <w:rPr>
          <w:rStyle w:val="FootnoteReference"/>
        </w:rPr>
        <w:footnoteReference w:id="33"/>
      </w:r>
      <w:r w:rsidR="00966B39">
        <w:t xml:space="preserve">  We have reviewed the allegation that OTA subsequently committed a separate violation of Sectio</w:t>
      </w:r>
      <w:r w:rsidR="003C5DC5">
        <w:t xml:space="preserve">n </w:t>
      </w:r>
      <w:r w:rsidRPr="003C5DC5" w:rsidR="003C5DC5">
        <w:t xml:space="preserve">73.3526(e)(10) of the rules by failing to place in KAXT-CD’s public inspection files certain emails related to the investigation, and do not find that such failure raises a substantial and material question of fact as to character. </w:t>
      </w:r>
      <w:r>
        <w:rPr>
          <w:rStyle w:val="FootnoteReference"/>
        </w:rPr>
        <w:footnoteReference w:id="34"/>
      </w:r>
      <w:r w:rsidRPr="003C5DC5" w:rsidR="003C5DC5">
        <w:t xml:space="preserve"> </w:t>
      </w:r>
    </w:p>
    <w:p w:rsidR="00934DE3" w:rsidRPr="005E2BA4" w:rsidP="005E2BA4">
      <w:pPr>
        <w:pStyle w:val="Heading1"/>
      </w:pPr>
      <w:r w:rsidRPr="005E2BA4">
        <w:t>ORDERING CLAUSES</w:t>
      </w:r>
    </w:p>
    <w:p w:rsidR="009E7D82" w:rsidRPr="005E2BA4" w:rsidP="0061479B">
      <w:pPr>
        <w:pStyle w:val="ParaNum"/>
        <w:keepNext/>
        <w:widowControl/>
      </w:pPr>
      <w:r w:rsidRPr="005E2BA4">
        <w:t xml:space="preserve">ACCORDINGLY, IT IS ORDERED that, pursuant to Section 405(a) of the Communications Act of 1934, as amended, </w:t>
      </w:r>
      <w:r>
        <w:fldChar w:fldCharType="begin"/>
      </w:r>
      <w:r>
        <w:instrText xml:space="preserve"> HYPERLINK "https://1.next.westlaw.com/Link/Document/FullText?findType=L&amp;pubNum=1000546&amp;cite=47USCAS405&amp;originatingDoc=Ie6da9cb24dac11e8a2e69b122173a65f&amp;refType=RB&amp;originationContext=document&amp;transitionType=DocumentItem&amp;contextData=(sc.Search)" \l "co_pp_8b3b0000958a4" </w:instrText>
      </w:r>
      <w:r>
        <w:fldChar w:fldCharType="separate"/>
      </w:r>
      <w:r w:rsidRPr="005E2BA4">
        <w:t>47 U.S.C. § 405(a)</w:t>
      </w:r>
      <w:r>
        <w:fldChar w:fldCharType="end"/>
      </w:r>
      <w:r w:rsidRPr="005E2BA4">
        <w:t>, and Section 1.106 of the Comm</w:t>
      </w:r>
      <w:r w:rsidRPr="005E2BA4" w:rsidR="008209F8">
        <w:t>ission’</w:t>
      </w:r>
      <w:r w:rsidRPr="005E2BA4">
        <w:t xml:space="preserve">s rules, </w:t>
      </w:r>
      <w:r>
        <w:fldChar w:fldCharType="begin"/>
      </w:r>
      <w:r>
        <w:instrText xml:space="preserve"> HYPERLINK "https://1.next.westlaw.com/Link/Document/FullText?findType=L&amp;pubNum=1000547&amp;cite=47CFRS1.106&amp;originatingDoc=Ie6da9cb24dac11e8a2e69b122173a65f&amp;refType=LQ&amp;originationContext=document&amp;transitionType=DocumentItem&amp;contextData=(sc.Search)" </w:instrText>
      </w:r>
      <w:r>
        <w:fldChar w:fldCharType="separate"/>
      </w:r>
      <w:r w:rsidRPr="005E2BA4">
        <w:t>47 CFR §</w:t>
      </w:r>
      <w:r w:rsidRPr="005E2BA4" w:rsidR="008209F8">
        <w:t> </w:t>
      </w:r>
      <w:r w:rsidRPr="005E2BA4">
        <w:t>1.106</w:t>
      </w:r>
      <w:r>
        <w:fldChar w:fldCharType="end"/>
      </w:r>
      <w:r w:rsidRPr="005E2BA4">
        <w:t xml:space="preserve">, the Petition for Reconsideration filed by Nalini </w:t>
      </w:r>
      <w:r w:rsidRPr="005E2BA4" w:rsidR="00C3677B">
        <w:t>Kapur</w:t>
      </w:r>
      <w:r w:rsidRPr="005E2BA4">
        <w:t xml:space="preserve">, Rishi </w:t>
      </w:r>
      <w:r w:rsidRPr="005E2BA4">
        <w:t>Kapur</w:t>
      </w:r>
      <w:r w:rsidRPr="005E2BA4">
        <w:t xml:space="preserve">, and Ravi </w:t>
      </w:r>
      <w:r w:rsidRPr="005E2BA4">
        <w:t>Kapur</w:t>
      </w:r>
      <w:r w:rsidRPr="005E2BA4">
        <w:t xml:space="preserve"> IS DISMISSED</w:t>
      </w:r>
      <w:r w:rsidRPr="005E2BA4" w:rsidR="00BA05B1">
        <w:t>.</w:t>
      </w:r>
    </w:p>
    <w:p w:rsidR="00934DE3" w:rsidRPr="00587EED" w:rsidP="009E7D82">
      <w:pPr>
        <w:keepNext/>
      </w:pPr>
      <w:r w:rsidRPr="00587EED">
        <w:tab/>
      </w:r>
      <w:r w:rsidRPr="00587EED">
        <w:tab/>
      </w:r>
      <w:r w:rsidRPr="00587EED">
        <w:tab/>
      </w:r>
      <w:r w:rsidRPr="00587EED">
        <w:tab/>
      </w:r>
      <w:r w:rsidRPr="00587EED">
        <w:tab/>
      </w:r>
      <w:r w:rsidRPr="00587EED">
        <w:tab/>
        <w:t>FEDERAL COMMUNICATIONS COMMISSION</w:t>
      </w:r>
    </w:p>
    <w:p w:rsidR="00934DE3" w:rsidRPr="00587EED" w:rsidP="009E7D82">
      <w:pPr>
        <w:keepNext/>
      </w:pPr>
    </w:p>
    <w:p w:rsidR="00934DE3" w:rsidRPr="00587EED" w:rsidP="009E7D82">
      <w:pPr>
        <w:keepNext/>
      </w:pPr>
    </w:p>
    <w:p w:rsidR="00934DE3" w:rsidRPr="00587EED" w:rsidP="009E7D82">
      <w:pPr>
        <w:keepNext/>
      </w:pPr>
    </w:p>
    <w:p w:rsidR="00934DE3" w:rsidRPr="00587EED" w:rsidP="009E7D82">
      <w:pPr>
        <w:keepNext/>
      </w:pPr>
    </w:p>
    <w:p w:rsidR="00934DE3" w:rsidRPr="00587EED" w:rsidP="009E7D82">
      <w:pPr>
        <w:keepNext/>
      </w:pPr>
      <w:r w:rsidRPr="00587EED">
        <w:tab/>
      </w:r>
      <w:r w:rsidRPr="00587EED">
        <w:tab/>
      </w:r>
      <w:r w:rsidRPr="00587EED">
        <w:tab/>
      </w:r>
      <w:r w:rsidRPr="00587EED">
        <w:tab/>
      </w:r>
      <w:r w:rsidRPr="00587EED">
        <w:tab/>
      </w:r>
      <w:r w:rsidRPr="00587EED">
        <w:tab/>
      </w:r>
      <w:r w:rsidRPr="00587EED" w:rsidR="0061479B">
        <w:t>Barbara A. Kreisman</w:t>
      </w:r>
    </w:p>
    <w:p w:rsidR="00934DE3" w:rsidRPr="00587EED" w:rsidP="00934DE3">
      <w:r w:rsidRPr="00587EED">
        <w:tab/>
      </w:r>
      <w:r w:rsidRPr="00587EED">
        <w:tab/>
      </w:r>
      <w:r w:rsidRPr="00587EED">
        <w:tab/>
      </w:r>
      <w:r w:rsidRPr="00587EED">
        <w:tab/>
      </w:r>
      <w:r w:rsidRPr="00587EED">
        <w:tab/>
      </w:r>
      <w:r w:rsidRPr="00587EED">
        <w:tab/>
      </w:r>
      <w:r w:rsidRPr="00587EED" w:rsidR="0061479B">
        <w:t>Chief, Video Division</w:t>
      </w:r>
    </w:p>
    <w:p w:rsidR="0061479B" w:rsidRPr="00587EED" w:rsidP="00934DE3">
      <w:r w:rsidRPr="00587EED">
        <w:tab/>
      </w:r>
      <w:r w:rsidRPr="00587EED">
        <w:tab/>
      </w:r>
      <w:r w:rsidRPr="00587EED">
        <w:tab/>
      </w:r>
      <w:r w:rsidRPr="00587EED">
        <w:tab/>
      </w:r>
      <w:r w:rsidRPr="00587EED">
        <w:tab/>
      </w:r>
      <w:r w:rsidRPr="00587EED">
        <w:tab/>
        <w:t>Media Bureau</w:t>
      </w:r>
    </w:p>
    <w:sectPr w:rsidSect="0055614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inheri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6</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6FFF">
      <w:r>
        <w:separator/>
      </w:r>
    </w:p>
  </w:footnote>
  <w:footnote w:type="continuationSeparator" w:id="1">
    <w:p w:rsidR="007E6FFF" w:rsidP="00C721AC">
      <w:pPr>
        <w:spacing w:before="120"/>
        <w:rPr>
          <w:sz w:val="20"/>
        </w:rPr>
      </w:pPr>
      <w:r>
        <w:rPr>
          <w:sz w:val="20"/>
        </w:rPr>
        <w:t xml:space="preserve">(Continued from previous page)  </w:t>
      </w:r>
      <w:r>
        <w:rPr>
          <w:sz w:val="20"/>
        </w:rPr>
        <w:separator/>
      </w:r>
    </w:p>
  </w:footnote>
  <w:footnote w:type="continuationNotice" w:id="2">
    <w:p w:rsidR="007E6FFF" w:rsidP="00C721AC">
      <w:pPr>
        <w:jc w:val="right"/>
        <w:rPr>
          <w:sz w:val="20"/>
        </w:rPr>
      </w:pPr>
      <w:r>
        <w:rPr>
          <w:sz w:val="20"/>
        </w:rPr>
        <w:t>(continued….)</w:t>
      </w:r>
    </w:p>
  </w:footnote>
  <w:footnote w:id="3">
    <w:p w:rsidR="00934DE3" w:rsidRPr="009B10E1" w:rsidP="00934DE3">
      <w:pPr>
        <w:pStyle w:val="FootnoteText"/>
      </w:pPr>
      <w:r w:rsidRPr="009B10E1">
        <w:rPr>
          <w:rStyle w:val="FootnoteReference"/>
        </w:rPr>
        <w:footnoteRef/>
      </w:r>
      <w:r w:rsidRPr="009B10E1">
        <w:t xml:space="preserve"> </w:t>
      </w:r>
      <w:r w:rsidR="00CF0D26">
        <w:t>Petition for Reconsideration</w:t>
      </w:r>
      <w:r w:rsidRPr="009B10E1">
        <w:t xml:space="preserve"> of Nalini </w:t>
      </w:r>
      <w:r w:rsidRPr="009B10E1">
        <w:t>Kapur</w:t>
      </w:r>
      <w:r w:rsidRPr="009B10E1">
        <w:t xml:space="preserve">, Rishi </w:t>
      </w:r>
      <w:r w:rsidRPr="009B10E1">
        <w:t>Kapur</w:t>
      </w:r>
      <w:r w:rsidRPr="009B10E1">
        <w:t xml:space="preserve">, and Ravi </w:t>
      </w:r>
      <w:r w:rsidRPr="009B10E1">
        <w:t>Kapur</w:t>
      </w:r>
      <w:r w:rsidRPr="009B10E1">
        <w:t xml:space="preserve"> (filed </w:t>
      </w:r>
      <w:r w:rsidR="00CF0D26">
        <w:t>Dec. 4, 2017</w:t>
      </w:r>
      <w:r w:rsidRPr="009B10E1">
        <w:t>) (the “</w:t>
      </w:r>
      <w:r w:rsidR="00CF0D26">
        <w:t>Petition</w:t>
      </w:r>
      <w:r w:rsidRPr="009B10E1">
        <w:t xml:space="preserve">”).  </w:t>
      </w:r>
      <w:r w:rsidR="00A74C1B">
        <w:t xml:space="preserve">The parties have filed responsive pleadings.  </w:t>
      </w:r>
      <w:r w:rsidRPr="009B10E1">
        <w:t>OTA Broadcasting (SFO), LLC</w:t>
      </w:r>
      <w:r w:rsidR="00A07D58">
        <w:t>’s Opposition to Petition for Reconsideration (filed Dec. 18</w:t>
      </w:r>
      <w:r w:rsidRPr="009B10E1" w:rsidR="00A07D58">
        <w:t>, 201</w:t>
      </w:r>
      <w:r w:rsidR="00A07D58">
        <w:t>8)</w:t>
      </w:r>
      <w:r w:rsidRPr="009B10E1" w:rsidR="00A07D58">
        <w:t xml:space="preserve"> </w:t>
      </w:r>
      <w:r w:rsidRPr="009B10E1">
        <w:t>(“OTA Opposition”)</w:t>
      </w:r>
      <w:r w:rsidR="00A74C1B">
        <w:t xml:space="preserve">; </w:t>
      </w:r>
      <w:r w:rsidRPr="009B10E1">
        <w:t xml:space="preserve">Reply to </w:t>
      </w:r>
      <w:r w:rsidR="00A07D58">
        <w:t xml:space="preserve">Opposition to Petition for Reconsideration of the </w:t>
      </w:r>
      <w:r w:rsidR="00A07D58">
        <w:t>Kapurs</w:t>
      </w:r>
      <w:r w:rsidR="00A07D58">
        <w:t xml:space="preserve"> (filed </w:t>
      </w:r>
      <w:r w:rsidR="00504EA6">
        <w:t>De</w:t>
      </w:r>
      <w:r w:rsidR="00A07D58">
        <w:t>c.</w:t>
      </w:r>
      <w:r w:rsidR="00504EA6">
        <w:t xml:space="preserve"> 28, 2017</w:t>
      </w:r>
      <w:r w:rsidR="00A07D58">
        <w:t>)</w:t>
      </w:r>
      <w:r w:rsidRPr="009B10E1">
        <w:t xml:space="preserve"> (“</w:t>
      </w:r>
      <w:r w:rsidRPr="009B10E1">
        <w:t>Kapurs</w:t>
      </w:r>
      <w:r w:rsidRPr="009B10E1">
        <w:t xml:space="preserve"> Reply”).</w:t>
      </w:r>
    </w:p>
  </w:footnote>
  <w:footnote w:id="4">
    <w:p w:rsidR="00324856">
      <w:pPr>
        <w:pStyle w:val="FootnoteText"/>
      </w:pPr>
      <w:r>
        <w:rPr>
          <w:rStyle w:val="FootnoteReference"/>
        </w:rPr>
        <w:footnoteRef/>
      </w:r>
      <w:r>
        <w:t xml:space="preserve"> </w:t>
      </w:r>
      <w:r w:rsidRPr="005E2BA4">
        <w:rPr>
          <w:i/>
        </w:rPr>
        <w:t>KAXT, LLC and OTA Broadcasting (SFO), LLC</w:t>
      </w:r>
      <w:r w:rsidRPr="00324856">
        <w:t xml:space="preserve">, Memorandum Opinion and Order, 32 FCC </w:t>
      </w:r>
      <w:r w:rsidRPr="00324856">
        <w:t>Rcd</w:t>
      </w:r>
      <w:r w:rsidRPr="00324856">
        <w:t xml:space="preserve"> 9638 (2017) (“</w:t>
      </w:r>
      <w:r w:rsidRPr="005E2BA4">
        <w:rPr>
          <w:i/>
        </w:rPr>
        <w:t>Commission MO&amp;O</w:t>
      </w:r>
      <w:r w:rsidRPr="00324856">
        <w:t>”).</w:t>
      </w:r>
    </w:p>
  </w:footnote>
  <w:footnote w:id="5">
    <w:p w:rsidR="0006516E" w:rsidRPr="005E2BA4">
      <w:pPr>
        <w:pStyle w:val="FootnoteText"/>
      </w:pPr>
      <w:r>
        <w:rPr>
          <w:rStyle w:val="FootnoteReference"/>
        </w:rPr>
        <w:footnoteRef/>
      </w:r>
      <w:r w:rsidRPr="00D22FB9" w:rsidR="00D22FB9">
        <w:rPr>
          <w:i/>
        </w:rPr>
        <w:t xml:space="preserve"> </w:t>
      </w:r>
      <w:r w:rsidR="00E648B5">
        <w:rPr>
          <w:i/>
        </w:rPr>
        <w:t xml:space="preserve">See </w:t>
      </w:r>
      <w:r w:rsidRPr="009B10E1" w:rsidR="00EC6E16">
        <w:rPr>
          <w:i/>
        </w:rPr>
        <w:t>KAXT, LLC</w:t>
      </w:r>
      <w:r w:rsidRPr="009B10E1" w:rsidR="00EC6E16">
        <w:t xml:space="preserve">, Memorandum Opinion and Order, 29 FCC </w:t>
      </w:r>
      <w:r w:rsidRPr="009B10E1" w:rsidR="00EC6E16">
        <w:t>Rcd</w:t>
      </w:r>
      <w:r w:rsidRPr="009B10E1" w:rsidR="00EC6E16">
        <w:t xml:space="preserve"> 8266 (</w:t>
      </w:r>
      <w:r w:rsidR="00EC6E16">
        <w:t>Vid. Div. MB</w:t>
      </w:r>
      <w:r w:rsidRPr="009B10E1" w:rsidR="00EC6E16">
        <w:t xml:space="preserve"> 2014) (“</w:t>
      </w:r>
      <w:r w:rsidRPr="009B10E1" w:rsidR="00EC6E16">
        <w:rPr>
          <w:i/>
        </w:rPr>
        <w:t>MO&amp;O</w:t>
      </w:r>
      <w:r w:rsidRPr="009B10E1" w:rsidR="00EC6E16">
        <w:t>”)</w:t>
      </w:r>
      <w:r w:rsidR="00EC6E16">
        <w:t xml:space="preserve">; </w:t>
      </w:r>
      <w:r w:rsidRPr="009B10E1" w:rsidR="00EC6E16">
        <w:rPr>
          <w:i/>
        </w:rPr>
        <w:t>KAXT, LLC</w:t>
      </w:r>
      <w:r w:rsidR="00A07D58">
        <w:rPr>
          <w:i/>
        </w:rPr>
        <w:t xml:space="preserve"> </w:t>
      </w:r>
      <w:r w:rsidRPr="009B10E1" w:rsidR="00EC6E16">
        <w:rPr>
          <w:i/>
        </w:rPr>
        <w:t>and OTA Broadcasting (SFO), LLC</w:t>
      </w:r>
      <w:r w:rsidRPr="009B10E1" w:rsidR="00EC6E16">
        <w:t xml:space="preserve">, Memorandum Opinion and Order, 30 FCC </w:t>
      </w:r>
      <w:r w:rsidRPr="009B10E1" w:rsidR="00EC6E16">
        <w:t>Rcd</w:t>
      </w:r>
      <w:r w:rsidRPr="009B10E1" w:rsidR="00EC6E16">
        <w:t xml:space="preserve"> 2691 (</w:t>
      </w:r>
      <w:r w:rsidR="00EC6E16">
        <w:t>Vid. Div. MB</w:t>
      </w:r>
      <w:r w:rsidRPr="009B10E1" w:rsidR="00EC6E16">
        <w:t xml:space="preserve"> 2015)</w:t>
      </w:r>
      <w:r w:rsidR="00EC6E16">
        <w:t xml:space="preserve"> (“</w:t>
      </w:r>
      <w:r w:rsidR="00EC6E16">
        <w:rPr>
          <w:i/>
        </w:rPr>
        <w:t>Reconsideration MO&amp;O</w:t>
      </w:r>
      <w:r w:rsidR="00EC6E16">
        <w:t xml:space="preserve">”); and </w:t>
      </w:r>
      <w:r w:rsidRPr="009B10E1" w:rsidR="00EC6E16">
        <w:rPr>
          <w:i/>
        </w:rPr>
        <w:t>KAXT, LLC</w:t>
      </w:r>
      <w:r w:rsidR="00A07D58">
        <w:rPr>
          <w:i/>
        </w:rPr>
        <w:t xml:space="preserve"> </w:t>
      </w:r>
      <w:r w:rsidRPr="009B10E1" w:rsidR="00EC6E16">
        <w:rPr>
          <w:i/>
        </w:rPr>
        <w:t>and OTA Broadcasting (SFO), LLC</w:t>
      </w:r>
      <w:r w:rsidRPr="009B10E1" w:rsidR="00EC6E16">
        <w:t xml:space="preserve">, Memorandum Opinion and Order, 30 FCC </w:t>
      </w:r>
      <w:r w:rsidRPr="009B10E1" w:rsidR="00EC6E16">
        <w:t>Rcd</w:t>
      </w:r>
      <w:r w:rsidRPr="009B10E1" w:rsidR="00EC6E16">
        <w:t xml:space="preserve"> 14102 (</w:t>
      </w:r>
      <w:r w:rsidR="00EC6E16">
        <w:t>Vid. Div. MB</w:t>
      </w:r>
      <w:r w:rsidRPr="009B10E1" w:rsidR="00EC6E16">
        <w:t xml:space="preserve"> 2015) (“</w:t>
      </w:r>
      <w:r w:rsidRPr="009B10E1" w:rsidR="00EC6E16">
        <w:rPr>
          <w:i/>
        </w:rPr>
        <w:t>Further Reconsideration MO&amp;O</w:t>
      </w:r>
      <w:r w:rsidRPr="009B10E1" w:rsidR="00EC6E16">
        <w:t>”)</w:t>
      </w:r>
      <w:r w:rsidR="000E270B">
        <w:t>.</w:t>
      </w:r>
    </w:p>
  </w:footnote>
  <w:footnote w:id="6">
    <w:p w:rsidR="00854CDE">
      <w:pPr>
        <w:pStyle w:val="FootnoteText"/>
      </w:pPr>
      <w:r>
        <w:rPr>
          <w:rStyle w:val="FootnoteReference"/>
        </w:rPr>
        <w:footnoteRef/>
      </w:r>
      <w:r>
        <w:t xml:space="preserve"> 47 C.F.R. </w:t>
      </w:r>
      <w:bookmarkStart w:id="0" w:name="_Hlk518048563"/>
      <w:r>
        <w:t>§</w:t>
      </w:r>
      <w:bookmarkEnd w:id="0"/>
      <w:r w:rsidR="00A9410A">
        <w:t xml:space="preserve">§ </w:t>
      </w:r>
      <w:r>
        <w:t>1.106(p).</w:t>
      </w:r>
    </w:p>
  </w:footnote>
  <w:footnote w:id="7">
    <w:p w:rsidR="00DA46BF">
      <w:pPr>
        <w:pStyle w:val="FootnoteText"/>
      </w:pPr>
      <w:r>
        <w:rPr>
          <w:rStyle w:val="FootnoteReference"/>
        </w:rPr>
        <w:footnoteRef/>
      </w:r>
      <w:r>
        <w:t xml:space="preserve"> </w:t>
      </w:r>
      <w:r w:rsidRPr="00DA46BF">
        <w:t xml:space="preserve">The </w:t>
      </w:r>
      <w:r w:rsidRPr="005E2BA4">
        <w:rPr>
          <w:i/>
        </w:rPr>
        <w:t>Commission MO&amp;O</w:t>
      </w:r>
      <w:r w:rsidRPr="00DA46BF">
        <w:t xml:space="preserve">, and prior staff decisions involving this dispute, comprehensively discuss the factual background and procedural history.  We need not </w:t>
      </w:r>
      <w:r w:rsidR="00634391">
        <w:t xml:space="preserve">discuss </w:t>
      </w:r>
      <w:r w:rsidRPr="00DA46BF">
        <w:t xml:space="preserve">the </w:t>
      </w:r>
      <w:r w:rsidR="00634391">
        <w:t xml:space="preserve">full </w:t>
      </w:r>
      <w:r w:rsidR="00281060">
        <w:t xml:space="preserve">factual and </w:t>
      </w:r>
      <w:r w:rsidRPr="00DA46BF">
        <w:t>procedural background in this order.</w:t>
      </w:r>
      <w:r w:rsidR="00634391">
        <w:t xml:space="preserve">  However, the original allegation that commenced this proceeding involved a claim that the majority members of KAXT, LLC, did not have authority to enter into the transaction with OTA.</w:t>
      </w:r>
    </w:p>
  </w:footnote>
  <w:footnote w:id="8">
    <w:p w:rsidR="00DA46BF">
      <w:pPr>
        <w:pStyle w:val="FootnoteText"/>
      </w:pPr>
      <w:r>
        <w:rPr>
          <w:rStyle w:val="FootnoteReference"/>
        </w:rPr>
        <w:footnoteRef/>
      </w:r>
      <w:r>
        <w:t xml:space="preserve"> </w:t>
      </w:r>
      <w:r w:rsidR="00D04D69">
        <w:t>Petition at 3-4.</w:t>
      </w:r>
    </w:p>
  </w:footnote>
  <w:footnote w:id="9">
    <w:p w:rsidR="00DA46BF" w:rsidRPr="00F6281F">
      <w:pPr>
        <w:pStyle w:val="FootnoteText"/>
      </w:pPr>
      <w:r>
        <w:rPr>
          <w:rStyle w:val="FootnoteReference"/>
        </w:rPr>
        <w:footnoteRef/>
      </w:r>
      <w:r w:rsidR="00F6281F">
        <w:t xml:space="preserve"> </w:t>
      </w:r>
      <w:r w:rsidR="00F6281F">
        <w:rPr>
          <w:i/>
        </w:rPr>
        <w:t>Id</w:t>
      </w:r>
      <w:r w:rsidR="00F6281F">
        <w:t>. at 12.</w:t>
      </w:r>
    </w:p>
  </w:footnote>
  <w:footnote w:id="10">
    <w:p w:rsidR="00DA46BF" w:rsidRPr="00F6281F">
      <w:pPr>
        <w:pStyle w:val="FootnoteText"/>
      </w:pPr>
      <w:r>
        <w:rPr>
          <w:rStyle w:val="FootnoteReference"/>
        </w:rPr>
        <w:footnoteRef/>
      </w:r>
      <w:r w:rsidR="00F6281F">
        <w:t xml:space="preserve"> </w:t>
      </w:r>
      <w:r w:rsidR="00F6281F">
        <w:rPr>
          <w:i/>
        </w:rPr>
        <w:t>Id</w:t>
      </w:r>
      <w:r w:rsidR="00F6281F">
        <w:t>. at 13-14.</w:t>
      </w:r>
    </w:p>
  </w:footnote>
  <w:footnote w:id="11">
    <w:p w:rsidR="00DA46BF" w:rsidRPr="00F6281F">
      <w:pPr>
        <w:pStyle w:val="FootnoteText"/>
      </w:pPr>
      <w:r>
        <w:rPr>
          <w:rStyle w:val="FootnoteReference"/>
        </w:rPr>
        <w:footnoteRef/>
      </w:r>
      <w:r w:rsidR="00F6281F">
        <w:t xml:space="preserve"> </w:t>
      </w:r>
      <w:r w:rsidR="00F6281F">
        <w:rPr>
          <w:i/>
        </w:rPr>
        <w:t>Id</w:t>
      </w:r>
      <w:r w:rsidR="00F6281F">
        <w:t>. at 11.</w:t>
      </w:r>
    </w:p>
  </w:footnote>
  <w:footnote w:id="12">
    <w:p w:rsidR="00DA46BF" w:rsidRPr="00F6281F">
      <w:pPr>
        <w:pStyle w:val="FootnoteText"/>
      </w:pPr>
      <w:r>
        <w:rPr>
          <w:rStyle w:val="FootnoteReference"/>
        </w:rPr>
        <w:footnoteRef/>
      </w:r>
      <w:r>
        <w:t xml:space="preserve"> </w:t>
      </w:r>
      <w:r w:rsidR="00F6281F">
        <w:rPr>
          <w:i/>
        </w:rPr>
        <w:t>Id</w:t>
      </w:r>
      <w:r w:rsidR="00F6281F">
        <w:t>. at 11-12.</w:t>
      </w:r>
    </w:p>
  </w:footnote>
  <w:footnote w:id="13">
    <w:p w:rsidR="008F4C1A">
      <w:pPr>
        <w:pStyle w:val="FootnoteText"/>
      </w:pPr>
      <w:r>
        <w:rPr>
          <w:rStyle w:val="FootnoteReference"/>
        </w:rPr>
        <w:footnoteRef/>
      </w:r>
      <w:r>
        <w:t xml:space="preserve"> </w:t>
      </w:r>
      <w:r w:rsidRPr="005E2BA4">
        <w:rPr>
          <w:i/>
        </w:rPr>
        <w:t>Investigation into the Political Filed Practices of OTA Broadcasting (SFO), LLC</w:t>
      </w:r>
      <w:r w:rsidRPr="008F4C1A">
        <w:t xml:space="preserve">, Order and Consent Decree, 32 FCC </w:t>
      </w:r>
      <w:r w:rsidRPr="008F4C1A">
        <w:t>Rcd</w:t>
      </w:r>
      <w:r w:rsidRPr="008F4C1A">
        <w:t xml:space="preserve"> 795 (MB 2017)</w:t>
      </w:r>
      <w:r w:rsidR="00587610">
        <w:t xml:space="preserve"> (“</w:t>
      </w:r>
      <w:r w:rsidRPr="005E2BA4" w:rsidR="00587610">
        <w:rPr>
          <w:i/>
        </w:rPr>
        <w:t>2017 Consent Decree</w:t>
      </w:r>
      <w:r w:rsidR="00587610">
        <w:t>”)</w:t>
      </w:r>
      <w:r w:rsidRPr="008F4C1A">
        <w:t xml:space="preserve">.  </w:t>
      </w:r>
    </w:p>
  </w:footnote>
  <w:footnote w:id="14">
    <w:p w:rsidR="008F4C1A" w:rsidRPr="008F4C1A">
      <w:pPr>
        <w:pStyle w:val="FootnoteText"/>
      </w:pPr>
      <w:r>
        <w:rPr>
          <w:rStyle w:val="FootnoteReference"/>
        </w:rPr>
        <w:footnoteRef/>
      </w:r>
      <w:r>
        <w:t xml:space="preserve"> </w:t>
      </w:r>
      <w:r>
        <w:rPr>
          <w:i/>
        </w:rPr>
        <w:t xml:space="preserve">Id. </w:t>
      </w:r>
      <w:r>
        <w:t>at 797 (defining “Investigation” for purposes of the Consent Decree).</w:t>
      </w:r>
    </w:p>
  </w:footnote>
  <w:footnote w:id="15">
    <w:p w:rsidR="0011258C" w:rsidRPr="0011258C">
      <w:pPr>
        <w:pStyle w:val="FootnoteText"/>
      </w:pPr>
      <w:r>
        <w:rPr>
          <w:rStyle w:val="FootnoteReference"/>
        </w:rPr>
        <w:footnoteRef/>
      </w:r>
      <w:r>
        <w:t xml:space="preserve"> </w:t>
      </w:r>
      <w:r>
        <w:rPr>
          <w:i/>
        </w:rPr>
        <w:t>See</w:t>
      </w:r>
      <w:r>
        <w:t xml:space="preserve"> Petition, Att. A, “Submission of New Material Evidence Concerning the Political File Practices of OTA Broadcasting (SFO), LLC,” Acct. No. MB-201741410002, File No. 161007 (filed Jul. 12, 2017) (“</w:t>
      </w:r>
      <w:r>
        <w:t>Kapurs</w:t>
      </w:r>
      <w:r>
        <w:t xml:space="preserve"> July 12, 2017 Submission”).</w:t>
      </w:r>
    </w:p>
  </w:footnote>
  <w:footnote w:id="16">
    <w:p w:rsidR="00B04D5A" w:rsidRPr="000F0863">
      <w:pPr>
        <w:pStyle w:val="FootnoteText"/>
      </w:pPr>
      <w:r>
        <w:rPr>
          <w:rStyle w:val="FootnoteReference"/>
        </w:rPr>
        <w:footnoteRef/>
      </w:r>
      <w:r>
        <w:t xml:space="preserve"> </w:t>
      </w:r>
      <w:r w:rsidR="008A69EC">
        <w:rPr>
          <w:i/>
        </w:rPr>
        <w:t xml:space="preserve">Id. </w:t>
      </w:r>
      <w:r>
        <w:t>at 7-1</w:t>
      </w:r>
      <w:r w:rsidR="001343B1">
        <w:t>0</w:t>
      </w:r>
      <w:r>
        <w:t>.</w:t>
      </w:r>
      <w:r w:rsidR="001859B1">
        <w:t xml:space="preserve">  The </w:t>
      </w:r>
      <w:r w:rsidR="001859B1">
        <w:t>Kapurs</w:t>
      </w:r>
      <w:r w:rsidR="001859B1">
        <w:t xml:space="preserve"> allege that KAXT never posted in its political file any </w:t>
      </w:r>
      <w:r w:rsidR="000F0863">
        <w:t xml:space="preserve">indication of its carriage of political advertising on certain dates in October and early </w:t>
      </w:r>
      <w:r w:rsidR="000F0863">
        <w:t>November,</w:t>
      </w:r>
      <w:r w:rsidR="000F0863">
        <w:t xml:space="preserve"> 2016.  </w:t>
      </w:r>
      <w:r w:rsidR="000F0863">
        <w:rPr>
          <w:i/>
        </w:rPr>
        <w:t>Id</w:t>
      </w:r>
      <w:r w:rsidR="000F0863">
        <w:t>. at 6-12.</w:t>
      </w:r>
    </w:p>
  </w:footnote>
  <w:footnote w:id="17">
    <w:p w:rsidR="008C20BC">
      <w:pPr>
        <w:pStyle w:val="FootnoteText"/>
      </w:pPr>
      <w:r>
        <w:rPr>
          <w:rStyle w:val="FootnoteReference"/>
        </w:rPr>
        <w:footnoteRef/>
      </w:r>
      <w:r>
        <w:t xml:space="preserve"> </w:t>
      </w:r>
      <w:r w:rsidR="008A69EC">
        <w:rPr>
          <w:i/>
        </w:rPr>
        <w:t xml:space="preserve">Id. </w:t>
      </w:r>
      <w:r>
        <w:t>at 2.</w:t>
      </w:r>
    </w:p>
  </w:footnote>
  <w:footnote w:id="18">
    <w:p w:rsidR="00A62FD5" w:rsidRPr="002F0402">
      <w:pPr>
        <w:pStyle w:val="FootnoteText"/>
      </w:pPr>
      <w:r>
        <w:rPr>
          <w:rStyle w:val="FootnoteReference"/>
        </w:rPr>
        <w:footnoteRef/>
      </w:r>
      <w:r>
        <w:t xml:space="preserve"> </w:t>
      </w:r>
      <w:r w:rsidR="008A69EC">
        <w:rPr>
          <w:i/>
        </w:rPr>
        <w:t xml:space="preserve">Id. </w:t>
      </w:r>
      <w:r>
        <w:t>at 9-10.</w:t>
      </w:r>
      <w:r w:rsidR="008A69EC">
        <w:t xml:space="preserve">  </w:t>
      </w:r>
    </w:p>
  </w:footnote>
  <w:footnote w:id="19">
    <w:p w:rsidR="00D5619A" w:rsidP="00D5619A">
      <w:pPr>
        <w:pStyle w:val="FootnoteText"/>
      </w:pPr>
      <w:r>
        <w:rPr>
          <w:rStyle w:val="FootnoteReference"/>
        </w:rPr>
        <w:footnoteRef/>
      </w:r>
      <w:r>
        <w:t xml:space="preserve"> OTA Opposition at 2, 15.  </w:t>
      </w:r>
    </w:p>
  </w:footnote>
  <w:footnote w:id="20">
    <w:p w:rsidR="00D5619A" w:rsidRPr="007D1649" w:rsidP="00D5619A">
      <w:pPr>
        <w:pStyle w:val="FootnoteText"/>
      </w:pPr>
      <w:r>
        <w:rPr>
          <w:rStyle w:val="FootnoteReference"/>
        </w:rPr>
        <w:footnoteRef/>
      </w:r>
      <w:r>
        <w:t xml:space="preserve"> </w:t>
      </w:r>
      <w:r>
        <w:rPr>
          <w:i/>
        </w:rPr>
        <w:t xml:space="preserve">Id. </w:t>
      </w:r>
      <w:r>
        <w:t xml:space="preserve">at 13 (citing </w:t>
      </w:r>
      <w:r>
        <w:rPr>
          <w:i/>
        </w:rPr>
        <w:t>Warren C. Havens</w:t>
      </w:r>
      <w:r>
        <w:t xml:space="preserve">, Third Order on Reconsideration, 26 FCC </w:t>
      </w:r>
      <w:r>
        <w:t>Rcd</w:t>
      </w:r>
      <w:r>
        <w:t xml:space="preserve"> 10888 (2011) (“</w:t>
      </w:r>
      <w:r>
        <w:rPr>
          <w:i/>
        </w:rPr>
        <w:t>Havens Third Reconsideration Order</w:t>
      </w:r>
      <w:r>
        <w:t xml:space="preserve">”); </w:t>
      </w:r>
      <w:r>
        <w:rPr>
          <w:i/>
        </w:rPr>
        <w:t>Warren C. Havens</w:t>
      </w:r>
      <w:r>
        <w:t xml:space="preserve">, Memorandum Opinion and Order, 27 FCC </w:t>
      </w:r>
      <w:r>
        <w:t>Rcd</w:t>
      </w:r>
      <w:r>
        <w:t xml:space="preserve"> 2756 (2012)).</w:t>
      </w:r>
      <w:r w:rsidR="00281060">
        <w:t xml:space="preserve"> </w:t>
      </w:r>
      <w:r w:rsidRPr="00281060" w:rsidR="00281060">
        <w:t xml:space="preserve">We need not evaluate the abuse of process claim at this time as we are dismissing on other grounds.  However, we caution the </w:t>
      </w:r>
      <w:r w:rsidRPr="00281060" w:rsidR="00281060">
        <w:t>Kapurs</w:t>
      </w:r>
      <w:r w:rsidRPr="00281060" w:rsidR="00281060">
        <w:t xml:space="preserve"> to limit filings to those provided by the Act or the rules.</w:t>
      </w:r>
      <w:r w:rsidR="00281060">
        <w:t xml:space="preserve"> </w:t>
      </w:r>
    </w:p>
  </w:footnote>
  <w:footnote w:id="21">
    <w:p w:rsidR="00AD382C">
      <w:pPr>
        <w:pStyle w:val="FootnoteText"/>
      </w:pPr>
      <w:r>
        <w:rPr>
          <w:rStyle w:val="FootnoteReference"/>
        </w:rPr>
        <w:footnoteRef/>
      </w:r>
      <w:r>
        <w:t xml:space="preserve"> </w:t>
      </w:r>
      <w:r w:rsidR="000B6AFC">
        <w:rPr>
          <w:i/>
        </w:rPr>
        <w:t xml:space="preserve">Id. </w:t>
      </w:r>
      <w:r>
        <w:t>at 4-5.</w:t>
      </w:r>
    </w:p>
  </w:footnote>
  <w:footnote w:id="22">
    <w:p w:rsidR="006E2F2D">
      <w:pPr>
        <w:pStyle w:val="FootnoteText"/>
      </w:pPr>
      <w:r>
        <w:rPr>
          <w:rStyle w:val="FootnoteReference"/>
        </w:rPr>
        <w:footnoteRef/>
      </w:r>
      <w:r>
        <w:t xml:space="preserve"> </w:t>
      </w:r>
      <w:r w:rsidR="006E01EF">
        <w:t>Kapurs</w:t>
      </w:r>
      <w:r w:rsidR="006E01EF">
        <w:t xml:space="preserve"> Reply at 2-3.</w:t>
      </w:r>
    </w:p>
  </w:footnote>
  <w:footnote w:id="23">
    <w:p w:rsidR="00900F07" w:rsidRPr="00900F07">
      <w:pPr>
        <w:pStyle w:val="FootnoteText"/>
      </w:pPr>
      <w:r>
        <w:rPr>
          <w:rStyle w:val="FootnoteReference"/>
        </w:rPr>
        <w:footnoteRef/>
      </w:r>
      <w:r>
        <w:t xml:space="preserve"> </w:t>
      </w:r>
      <w:r>
        <w:rPr>
          <w:i/>
        </w:rPr>
        <w:t>Id</w:t>
      </w:r>
      <w:r>
        <w:t>. at 7.</w:t>
      </w:r>
      <w:r w:rsidR="00D04D69">
        <w:t xml:space="preserve">  On February 9, 2018, the </w:t>
      </w:r>
      <w:r w:rsidR="00D04D69">
        <w:t>Kapurs</w:t>
      </w:r>
      <w:r w:rsidR="00D04D69">
        <w:t xml:space="preserve"> also filed a Supplement to Petition for Reconsideration, addressing </w:t>
      </w:r>
      <w:r w:rsidR="00C85DAA">
        <w:t xml:space="preserve">an e-mail response from OTA to the Media Bureau submitted </w:t>
      </w:r>
      <w:r w:rsidR="00C85DAA">
        <w:t>in the course of</w:t>
      </w:r>
      <w:r w:rsidR="00C85DAA">
        <w:t xml:space="preserve"> the political file investigation and posted in KAXT’s online public inspection file on </w:t>
      </w:r>
      <w:r w:rsidR="000F0863">
        <w:t>January 19, 2018</w:t>
      </w:r>
      <w:r w:rsidR="00C85DAA">
        <w:t>.</w:t>
      </w:r>
    </w:p>
  </w:footnote>
  <w:footnote w:id="24">
    <w:p w:rsidR="006B4787">
      <w:pPr>
        <w:pStyle w:val="FootnoteText"/>
      </w:pPr>
      <w:r>
        <w:rPr>
          <w:rStyle w:val="FootnoteReference"/>
        </w:rPr>
        <w:footnoteRef/>
      </w:r>
      <w:r>
        <w:t xml:space="preserve"> 47 C.F.R. §§ 1.106(p)(1), (2), and (</w:t>
      </w:r>
      <w:r w:rsidR="00AE153B">
        <w:t>5</w:t>
      </w:r>
      <w:r>
        <w:t>).</w:t>
      </w:r>
    </w:p>
  </w:footnote>
  <w:footnote w:id="25">
    <w:p w:rsidR="007B135A" w:rsidRPr="007B135A">
      <w:pPr>
        <w:pStyle w:val="FootnoteText"/>
      </w:pPr>
      <w:r>
        <w:rPr>
          <w:rStyle w:val="FootnoteReference"/>
        </w:rPr>
        <w:footnoteRef/>
      </w:r>
      <w:r>
        <w:t xml:space="preserve"> </w:t>
      </w:r>
      <w:r w:rsidR="00587610">
        <w:t>Petition</w:t>
      </w:r>
      <w:r>
        <w:t xml:space="preserve"> at 12-13; </w:t>
      </w:r>
      <w:r>
        <w:rPr>
          <w:i/>
        </w:rPr>
        <w:t>Commission MO&amp;O</w:t>
      </w:r>
      <w:r>
        <w:t xml:space="preserve"> at 9645-46, para. 16.</w:t>
      </w:r>
    </w:p>
  </w:footnote>
  <w:footnote w:id="26">
    <w:p w:rsidR="00751DD9" w:rsidRPr="00C25BA9">
      <w:pPr>
        <w:pStyle w:val="FootnoteText"/>
        <w:rPr>
          <w:u w:val="single"/>
        </w:rPr>
      </w:pPr>
      <w:r>
        <w:rPr>
          <w:rStyle w:val="FootnoteReference"/>
        </w:rPr>
        <w:footnoteRef/>
      </w:r>
      <w:r>
        <w:t xml:space="preserve"> </w:t>
      </w:r>
      <w:r>
        <w:rPr>
          <w:i/>
        </w:rPr>
        <w:t>See</w:t>
      </w:r>
      <w:r w:rsidR="008A3880">
        <w:rPr>
          <w:i/>
        </w:rPr>
        <w:t xml:space="preserve"> Commission MO&amp;O</w:t>
      </w:r>
      <w:r w:rsidR="009012C0">
        <w:rPr>
          <w:i/>
        </w:rPr>
        <w:t xml:space="preserve">, </w:t>
      </w:r>
      <w:r w:rsidR="009012C0">
        <w:t xml:space="preserve">32 FCC </w:t>
      </w:r>
      <w:r w:rsidR="009012C0">
        <w:t>Rcd</w:t>
      </w:r>
      <w:r>
        <w:rPr>
          <w:i/>
        </w:rPr>
        <w:t>.</w:t>
      </w:r>
      <w:r>
        <w:t xml:space="preserve"> at </w:t>
      </w:r>
      <w:r w:rsidR="009012C0">
        <w:t>9647</w:t>
      </w:r>
      <w:r w:rsidR="001C4A7D">
        <w:t xml:space="preserve">.  </w:t>
      </w:r>
      <w:r w:rsidRPr="00F85B23" w:rsidR="00F85B23">
        <w:t xml:space="preserve">As the orders in this proceeding have repeatedly explained, the rules permit a petition for reconsideration to be entertained only where “[t]he petition relies on facts or arguments unknown to </w:t>
      </w:r>
      <w:r w:rsidR="001C4A7D">
        <w:t xml:space="preserve">the </w:t>
      </w:r>
      <w:r w:rsidRPr="00F85B23" w:rsidR="00F85B23">
        <w:t xml:space="preserve">petitioner until after his last opportunity to present them to the Commission </w:t>
      </w:r>
      <w:r w:rsidRPr="00C25BA9" w:rsidR="00F85B23">
        <w:rPr>
          <w:i/>
        </w:rPr>
        <w:t>and</w:t>
      </w:r>
      <w:r w:rsidRPr="00F85B23" w:rsidR="00F85B23">
        <w:t xml:space="preserve"> he could not through the exercise of ordinary diligence have learned of the facts or arguments in question prior to such opportunity.”  47 CFR § 1.106(b)(2)(ii), as incorporated in 47 CFR § 1.106(c)(1) (emphasis added).  </w:t>
      </w:r>
      <w:r w:rsidR="00923B58">
        <w:t xml:space="preserve">The Commission fully considered and rejected the Petitioners’ argument that the rationale for the rescission was infirm, concluding that </w:t>
      </w:r>
      <w:r w:rsidR="00923B58">
        <w:rPr>
          <w:i/>
        </w:rPr>
        <w:t>Greater Muskegon Broadcasters, Inc.</w:t>
      </w:r>
      <w:r w:rsidR="00923B58">
        <w:t xml:space="preserve">, Memorandum Opinion and Order, 11 FCC </w:t>
      </w:r>
      <w:r w:rsidR="00923B58">
        <w:t>Rcd</w:t>
      </w:r>
      <w:r w:rsidR="00923B58">
        <w:t xml:space="preserve"> 1564 (1996) (“</w:t>
      </w:r>
      <w:r w:rsidR="00923B58">
        <w:rPr>
          <w:i/>
        </w:rPr>
        <w:t>Greater Muskegon</w:t>
      </w:r>
      <w:r w:rsidR="00923B58">
        <w:t xml:space="preserve">”) was indeed applicable. </w:t>
      </w:r>
      <w:r w:rsidR="001E4BBD">
        <w:t xml:space="preserve"> Specifically, the Commission held that the requirement to report an “unresolved” issue of character pending against an applicant is triggered not by the mere allegation of character against an applicant in another proceeding, but where “such allegations are determined to have merit and are designated for hearing”</w:t>
      </w:r>
      <w:r w:rsidR="00923B58">
        <w:t xml:space="preserve"> </w:t>
      </w:r>
      <w:r w:rsidR="00923B58">
        <w:rPr>
          <w:i/>
        </w:rPr>
        <w:t>See Commission MO&amp;O</w:t>
      </w:r>
      <w:r w:rsidR="00923B58">
        <w:t xml:space="preserve"> at 9645, para. 16 (</w:t>
      </w:r>
      <w:r w:rsidR="001E4BBD">
        <w:t xml:space="preserve">citing </w:t>
      </w:r>
      <w:r w:rsidR="001E4BBD">
        <w:rPr>
          <w:i/>
        </w:rPr>
        <w:t>Greater Muskegon</w:t>
      </w:r>
      <w:r w:rsidR="001E4BBD">
        <w:t xml:space="preserve">, 11 FCC </w:t>
      </w:r>
      <w:r w:rsidR="001E4BBD">
        <w:t>Rcd</w:t>
      </w:r>
      <w:r w:rsidR="001E4BBD">
        <w:t xml:space="preserve"> at 15472).</w:t>
      </w:r>
    </w:p>
  </w:footnote>
  <w:footnote w:id="27">
    <w:p w:rsidR="00031488">
      <w:pPr>
        <w:pStyle w:val="FootnoteText"/>
      </w:pPr>
      <w:r>
        <w:rPr>
          <w:rStyle w:val="FootnoteReference"/>
        </w:rPr>
        <w:footnoteRef/>
      </w:r>
      <w:r>
        <w:t xml:space="preserve"> Petition at 11-12 (stating that an insulation letter that OTA filed with the Commission failed to say anything about Lawyer’s felony, and that the news release by the U.S. Attorney’s Office did not announce Lawyer’s guilty plea until the fourth paragraph.)</w:t>
      </w:r>
    </w:p>
  </w:footnote>
  <w:footnote w:id="28">
    <w:p w:rsidR="008A3880" w:rsidRPr="001C04A1">
      <w:pPr>
        <w:pStyle w:val="FootnoteText"/>
      </w:pPr>
      <w:r>
        <w:rPr>
          <w:rStyle w:val="FootnoteReference"/>
        </w:rPr>
        <w:footnoteRef/>
      </w:r>
      <w:r>
        <w:t xml:space="preserve"> </w:t>
      </w:r>
      <w:r w:rsidR="00252588">
        <w:t xml:space="preserve">In the Application for Review, the </w:t>
      </w:r>
      <w:r w:rsidR="00252588">
        <w:t>Kapurs</w:t>
      </w:r>
      <w:r w:rsidR="00252588">
        <w:t xml:space="preserve"> argued that “[T]</w:t>
      </w:r>
      <w:r w:rsidRPr="00252588" w:rsidR="00252588">
        <w:t xml:space="preserve">he Bureau used a clearly erroneous standard in refusing, solely on timeliness grounds, </w:t>
      </w:r>
      <w:r w:rsidRPr="00C25BA9" w:rsidR="00252588">
        <w:rPr>
          <w:i/>
        </w:rPr>
        <w:t>even to consider</w:t>
      </w:r>
      <w:r w:rsidRPr="00252588" w:rsidR="00252588">
        <w:t xml:space="preserve"> the Petitioners’ allegation that, given OTA’s failure to insulate Todd Lawyer in the OTA organizational documents and its ineffective reliance on the fundamentally flawed Lawyer Letter</w:t>
      </w:r>
      <w:r w:rsidR="00252588">
        <w:t xml:space="preserve">, </w:t>
      </w:r>
      <w:r w:rsidRPr="00252588" w:rsidR="00252588">
        <w:t>OTA falsely certified in the Assignment Application (and many other filings) that no party to the application was a felon.</w:t>
      </w:r>
      <w:r w:rsidR="00252588">
        <w:t xml:space="preserve">” (emphasis in original) </w:t>
      </w:r>
      <w:r w:rsidR="00252588">
        <w:t>Kapurs</w:t>
      </w:r>
      <w:r w:rsidR="00252588">
        <w:t>’ Application for Review at 7.  The Commission</w:t>
      </w:r>
      <w:r w:rsidR="001C04A1">
        <w:t xml:space="preserve"> rejected this argument</w:t>
      </w:r>
      <w:r w:rsidR="00E0243D">
        <w:t xml:space="preserve"> </w:t>
      </w:r>
      <w:r w:rsidR="001C04A1">
        <w:t xml:space="preserve">on timeliness grounds, in part because the </w:t>
      </w:r>
      <w:r w:rsidR="001C04A1">
        <w:t>Kapurs</w:t>
      </w:r>
      <w:r w:rsidR="001C04A1">
        <w:t xml:space="preserve"> had already acknowledged that examination of Commission files was all that was necessary to learn of Todd Lawyers’ conviction. </w:t>
      </w:r>
      <w:r w:rsidR="001C04A1">
        <w:rPr>
          <w:i/>
        </w:rPr>
        <w:t>Commission MO&amp;O</w:t>
      </w:r>
      <w:r w:rsidR="001C04A1">
        <w:t xml:space="preserve">, 32 FCC </w:t>
      </w:r>
      <w:r w:rsidR="001C04A1">
        <w:t>Rcd</w:t>
      </w:r>
      <w:r w:rsidR="001C04A1">
        <w:t xml:space="preserve"> at 9647, n. 75.  We reject the argument that insulation cannot be </w:t>
      </w:r>
      <w:r w:rsidR="001C04A1">
        <w:t>effected</w:t>
      </w:r>
      <w:r w:rsidR="001C04A1">
        <w:t xml:space="preserve"> by letter agreement</w:t>
      </w:r>
      <w:r w:rsidR="00E0243D">
        <w:t xml:space="preserve"> amending</w:t>
      </w:r>
      <w:r w:rsidR="00052B43">
        <w:t xml:space="preserve"> an</w:t>
      </w:r>
      <w:r w:rsidR="00E0243D">
        <w:t xml:space="preserve"> LLC’s organizational documents.  All</w:t>
      </w:r>
      <w:r w:rsidR="001C04A1">
        <w:t xml:space="preserve"> that was necessary to remove Mr. Lawyer as a party to the application was to make the interest nonattributable via insulation from the broadcast activities of the licensee or any party in control of the licensee. </w:t>
      </w:r>
      <w:r w:rsidR="00E0243D">
        <w:t xml:space="preserve"> </w:t>
      </w:r>
      <w:r w:rsidR="00052B43">
        <w:t xml:space="preserve">The </w:t>
      </w:r>
      <w:r w:rsidRPr="001C4A7D" w:rsidR="001C4A7D">
        <w:t xml:space="preserve">instructions to Section III, Item 4 of the FCC Form 314 state the following: “as used in this application form, the term "party to the application" includes any individual or entity whose ownership or positional interest in the applicant is attributable.”  Thus, it is immaterial </w:t>
      </w:r>
      <w:r w:rsidRPr="001C4A7D" w:rsidR="001C4A7D">
        <w:t>whether or not</w:t>
      </w:r>
      <w:r w:rsidRPr="001C4A7D" w:rsidR="001C4A7D">
        <w:t xml:space="preserve"> the insulation letter mentioned whether Mr. Lawyer was a felon.  </w:t>
      </w:r>
      <w:r w:rsidR="001C4A7D">
        <w:t xml:space="preserve">Any argument regarding misapplication of </w:t>
      </w:r>
      <w:r w:rsidR="001C4A7D">
        <w:rPr>
          <w:i/>
        </w:rPr>
        <w:t xml:space="preserve">Greater Muskegon </w:t>
      </w:r>
      <w:r w:rsidR="00C25BA9">
        <w:t>is also mooted and immaterial.</w:t>
      </w:r>
    </w:p>
  </w:footnote>
  <w:footnote w:id="29">
    <w:p w:rsidR="009612F5">
      <w:pPr>
        <w:pStyle w:val="FootnoteText"/>
      </w:pPr>
      <w:r>
        <w:rPr>
          <w:rStyle w:val="FootnoteReference"/>
        </w:rPr>
        <w:footnoteRef/>
      </w:r>
      <w:r>
        <w:t xml:space="preserve"> </w:t>
      </w:r>
      <w:r w:rsidRPr="009612F5">
        <w:t>The</w:t>
      </w:r>
      <w:r>
        <w:t xml:space="preserve"> </w:t>
      </w:r>
      <w:r>
        <w:t>Kapurs</w:t>
      </w:r>
      <w:r w:rsidRPr="009612F5">
        <w:t xml:space="preserve"> cite to a filing asking the Commission not to disburse any Incentive Auction funds to OTA.  </w:t>
      </w:r>
      <w:r w:rsidR="00C86E90">
        <w:t>Petition</w:t>
      </w:r>
      <w:r w:rsidRPr="009612F5">
        <w:t xml:space="preserve"> at 3 (further citations omitted).  </w:t>
      </w:r>
      <w:r>
        <w:t xml:space="preserve">Notwithstanding the legal standing of the </w:t>
      </w:r>
      <w:r>
        <w:t>Kapurs</w:t>
      </w:r>
      <w:r>
        <w:t xml:space="preserve"> to even submit the filing, a</w:t>
      </w:r>
      <w:r w:rsidRPr="009612F5">
        <w:t xml:space="preserve">s an informal request for Commission action, neither staff nor the Commission were obligated to address it.  </w:t>
      </w:r>
      <w:r w:rsidRPr="00C25BA9">
        <w:rPr>
          <w:i/>
        </w:rPr>
        <w:t>See</w:t>
      </w:r>
      <w:r w:rsidRPr="009612F5">
        <w:t xml:space="preserve"> 47 CFR</w:t>
      </w:r>
      <w:r w:rsidR="00C25BA9">
        <w:t> </w:t>
      </w:r>
      <w:r w:rsidRPr="009612F5">
        <w:t xml:space="preserve">§ 1.41.  </w:t>
      </w:r>
    </w:p>
  </w:footnote>
  <w:footnote w:id="30">
    <w:p w:rsidR="00D50911" w:rsidRPr="005E2BA4">
      <w:pPr>
        <w:pStyle w:val="FootnoteText"/>
      </w:pPr>
      <w:r>
        <w:rPr>
          <w:rStyle w:val="FootnoteReference"/>
        </w:rPr>
        <w:footnoteRef/>
      </w:r>
      <w:r>
        <w:t xml:space="preserve"> </w:t>
      </w:r>
      <w:r>
        <w:rPr>
          <w:i/>
        </w:rPr>
        <w:t>See 2017 Consent Decree</w:t>
      </w:r>
      <w:r>
        <w:t xml:space="preserve">, 32 FCC </w:t>
      </w:r>
      <w:r>
        <w:t>Rcd</w:t>
      </w:r>
      <w:r>
        <w:t xml:space="preserve"> at 797 (definition of “Investigation”).</w:t>
      </w:r>
    </w:p>
  </w:footnote>
  <w:footnote w:id="31">
    <w:p w:rsidR="00052B43" w:rsidRPr="00812FCC">
      <w:pPr>
        <w:pStyle w:val="FootnoteText"/>
      </w:pPr>
      <w:r>
        <w:rPr>
          <w:rStyle w:val="FootnoteReference"/>
        </w:rPr>
        <w:footnoteRef/>
      </w:r>
      <w:r>
        <w:t xml:space="preserve"> </w:t>
      </w:r>
      <w:r w:rsidR="00812FCC">
        <w:rPr>
          <w:i/>
        </w:rPr>
        <w:t xml:space="preserve">Id. </w:t>
      </w:r>
      <w:r w:rsidR="00812FCC">
        <w:t>(</w:t>
      </w:r>
      <w:r w:rsidRPr="00812FCC" w:rsidR="00812FCC">
        <w:t>“Investigation” means the Bureau's in</w:t>
      </w:r>
      <w:r w:rsidR="00C25BA9">
        <w:t>vestigation of OTA Broadcasting’</w:t>
      </w:r>
      <w:r w:rsidRPr="00812FCC" w:rsidR="00812FCC">
        <w:t xml:space="preserve">s compliance with Sections 315(e) of the Act, 47 U.S.C. § 315(e), and 73.1943 of the Rules, 47 C.F.R. § 73.1943, relating to the maintenance of Political Files for public inspection, which commenced with the receipt of a complaint, dated November 2, 2016, from Ash </w:t>
      </w:r>
      <w:r w:rsidRPr="00812FCC" w:rsidR="00812FCC">
        <w:t>Kalra</w:t>
      </w:r>
      <w:r w:rsidRPr="00812FCC" w:rsidR="00812FCC">
        <w:t>.</w:t>
      </w:r>
      <w:r w:rsidR="00812FCC">
        <w:t>).</w:t>
      </w:r>
    </w:p>
  </w:footnote>
  <w:footnote w:id="32">
    <w:p w:rsidR="00B62E3E" w:rsidRPr="005E2BA4">
      <w:pPr>
        <w:pStyle w:val="FootnoteText"/>
      </w:pPr>
      <w:r>
        <w:rPr>
          <w:rStyle w:val="FootnoteReference"/>
        </w:rPr>
        <w:footnoteRef/>
      </w:r>
      <w:r>
        <w:t xml:space="preserve"> </w:t>
      </w:r>
      <w:r>
        <w:rPr>
          <w:i/>
        </w:rPr>
        <w:t>New York State Dep’t of Law v. FCC</w:t>
      </w:r>
      <w:r>
        <w:t xml:space="preserve">, 984 F.2d 1209 (D.C. Cir. 1993); </w:t>
      </w:r>
      <w:r>
        <w:rPr>
          <w:i/>
        </w:rPr>
        <w:t>accord, NTCH, Inc. v. FCC</w:t>
      </w:r>
      <w:r>
        <w:t xml:space="preserve">, 841 F.3d 597, 503 (D.C. Cir. 2016).  </w:t>
      </w:r>
      <w:r>
        <w:rPr>
          <w:i/>
        </w:rPr>
        <w:t>See</w:t>
      </w:r>
      <w:r>
        <w:t xml:space="preserve">, </w:t>
      </w:r>
      <w:r>
        <w:rPr>
          <w:i/>
        </w:rPr>
        <w:t>also, SEC v Citigroup Global Markets Inc.</w:t>
      </w:r>
      <w:r>
        <w:t xml:space="preserve">, 673 F.3d </w:t>
      </w:r>
      <w:r w:rsidR="00376277">
        <w:t xml:space="preserve">158, 163 (2d Cir. 2012) (“. . . </w:t>
      </w:r>
      <w:r>
        <w:t>the scope of a court’s authority to second-guess an agency’s discretionary and policy-based decision to settle is at best minimal”).</w:t>
      </w:r>
    </w:p>
  </w:footnote>
  <w:footnote w:id="33">
    <w:p w:rsidR="00B62E3E">
      <w:pPr>
        <w:pStyle w:val="FootnoteText"/>
      </w:pPr>
      <w:r>
        <w:rPr>
          <w:rStyle w:val="FootnoteReference"/>
        </w:rPr>
        <w:footnoteRef/>
      </w:r>
      <w:r>
        <w:t xml:space="preserve"> </w:t>
      </w:r>
      <w:r w:rsidRPr="005E2BA4">
        <w:rPr>
          <w:i/>
        </w:rPr>
        <w:t>In the Matter of Verizon Communications Inc. and Straight Path Communications, Inc. For Consent to Transfer Control of Local Multipoint Distribution Service, 39 GHz, Common Carrier Point-to-Point Microwave, and 3650-3700 MHz Service Licenses</w:t>
      </w:r>
      <w:r w:rsidRPr="00B62E3E">
        <w:t>, Memorandum Opinion and Order, FCC 18-85 (</w:t>
      </w:r>
      <w:r w:rsidR="00376277">
        <w:t xml:space="preserve">rel. </w:t>
      </w:r>
      <w:r w:rsidRPr="00B62E3E">
        <w:t>Jul</w:t>
      </w:r>
      <w:r w:rsidR="00376277">
        <w:t>.</w:t>
      </w:r>
      <w:r w:rsidRPr="00B62E3E">
        <w:t xml:space="preserve"> 2, 2018).</w:t>
      </w:r>
    </w:p>
  </w:footnote>
  <w:footnote w:id="34">
    <w:p w:rsidR="00587610">
      <w:pPr>
        <w:pStyle w:val="FootnoteText"/>
      </w:pPr>
      <w:r>
        <w:rPr>
          <w:rStyle w:val="FootnoteReference"/>
        </w:rPr>
        <w:footnoteRef/>
      </w:r>
      <w:r>
        <w:t xml:space="preserve"> This new evidence is</w:t>
      </w:r>
      <w:r w:rsidR="00812FCC">
        <w:t xml:space="preserve"> not</w:t>
      </w:r>
      <w:r>
        <w:t xml:space="preserve"> outside the scope of the Consent Decree, and even if it were, the Petitioners fail to demonstrate how a local ballot on affordable housing would be a “national legislative issue of public importance” that would constitute a “political matter of national importance.” </w:t>
      </w:r>
      <w:r w:rsidR="00376277">
        <w:t xml:space="preserve"> </w:t>
      </w:r>
      <w:r>
        <w:t>Petition at 8-9; 47 U</w:t>
      </w:r>
      <w:r w:rsidR="001F6BA9">
        <w:t>.</w:t>
      </w:r>
      <w:r>
        <w:t>S</w:t>
      </w:r>
      <w:r w:rsidR="001F6BA9">
        <w:t>.</w:t>
      </w:r>
      <w:r>
        <w:t>C</w:t>
      </w:r>
      <w:r w:rsidR="001F6BA9">
        <w:t xml:space="preserve">. </w:t>
      </w:r>
      <w:r w:rsidRPr="001F6BA9" w:rsidR="001F6BA9">
        <w:t>§</w:t>
      </w:r>
      <w:r w:rsidR="001F6BA9">
        <w:t> </w:t>
      </w:r>
      <w:r>
        <w:t>315(e)(1)(B).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1479B">
      <w:t xml:space="preserve">DA </w:t>
    </w:r>
    <w:r w:rsidR="0061479B">
      <w:t>18-</w:t>
    </w:r>
    <w:r w:rsidR="00705A3E">
      <w:t>957</w:t>
    </w:r>
    <w:bookmarkStart w:id="2" w:name="_GoBack"/>
    <w:bookmarkEnd w:id="2"/>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56C21">
      <w:rPr>
        <w:spacing w:val="-2"/>
      </w:rPr>
      <w:t>DA 18-</w:t>
    </w:r>
    <w:r w:rsidR="00705A3E">
      <w:rPr>
        <w:spacing w:val="-2"/>
      </w:rPr>
      <w:t>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BB527D"/>
    <w:multiLevelType w:val="hybridMultilevel"/>
    <w:tmpl w:val="94981B8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E7BE1"/>
    <w:multiLevelType w:val="hybridMultilevel"/>
    <w:tmpl w:val="9C5AB126"/>
    <w:lvl w:ilvl="0">
      <w:start w:val="1"/>
      <w:numFmt w:val="decimal"/>
      <w:lvlText w:val="%1."/>
      <w:lvlJc w:val="left"/>
      <w:pPr>
        <w:tabs>
          <w:tab w:val="num" w:pos="1386"/>
        </w:tabs>
        <w:ind w:left="90" w:firstLine="720"/>
      </w:pPr>
      <w:rPr>
        <w:rFonts w:ascii="Times New Roman" w:hAnsi="Times New Roman" w:cs="Times New Roman"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1572F17"/>
    <w:multiLevelType w:val="hybridMultilevel"/>
    <w:tmpl w:val="FB023E02"/>
    <w:lvl w:ilvl="0">
      <w:start w:val="1"/>
      <w:numFmt w:val="decimal"/>
      <w:lvlText w:val="%1."/>
      <w:lvlJc w:val="left"/>
      <w:pPr>
        <w:ind w:left="1620" w:hanging="720"/>
      </w:pPr>
      <w:rPr>
        <w:rFonts w:hint="default"/>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800"/>
        </w:tabs>
        <w:ind w:left="180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2">
    <w:nsid w:val="5FF046CC"/>
    <w:multiLevelType w:val="hybridMultilevel"/>
    <w:tmpl w:val="DE367916"/>
    <w:lvl w:ilvl="0">
      <w:start w:val="1"/>
      <w:numFmt w:val="upperLetter"/>
      <w:lvlText w:val="%1."/>
      <w:lvlJc w:val="left"/>
      <w:pPr>
        <w:ind w:left="1620" w:hanging="720"/>
      </w:pPr>
      <w:rPr>
        <w:rFonts w:hint="default"/>
        <w:b/>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AE90BF5"/>
    <w:multiLevelType w:val="hybridMultilevel"/>
    <w:tmpl w:val="0AF8501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13"/>
  </w:num>
  <w:num w:numId="3">
    <w:abstractNumId w:val="3"/>
  </w:num>
  <w:num w:numId="4">
    <w:abstractNumId w:val="6"/>
  </w:num>
  <w:num w:numId="5">
    <w:abstractNumId w:val="2"/>
  </w:num>
  <w:num w:numId="6">
    <w:abstractNumId w:val="0"/>
  </w:num>
  <w:num w:numId="7">
    <w:abstractNumId w:val="10"/>
  </w:num>
  <w:num w:numId="8">
    <w:abstractNumId w:val="11"/>
  </w:num>
  <w:num w:numId="9">
    <w:abstractNumId w:val="5"/>
  </w:num>
  <w:num w:numId="10">
    <w:abstractNumId w:val="9"/>
  </w:num>
  <w:num w:numId="11">
    <w:abstractNumId w:val="8"/>
  </w:num>
  <w:num w:numId="12">
    <w:abstractNumId w:val="4"/>
  </w:num>
  <w:num w:numId="13">
    <w:abstractNumId w:val="14"/>
  </w:num>
  <w:num w:numId="14">
    <w:abstractNumId w:val="7"/>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A3E"/>
    <w:pPr>
      <w:widowControl w:val="0"/>
    </w:pPr>
    <w:rPr>
      <w:snapToGrid w:val="0"/>
      <w:kern w:val="28"/>
      <w:sz w:val="22"/>
    </w:rPr>
  </w:style>
  <w:style w:type="paragraph" w:styleId="Heading1">
    <w:name w:val="heading 1"/>
    <w:basedOn w:val="Normal"/>
    <w:next w:val="ParaNum"/>
    <w:qFormat/>
    <w:rsid w:val="00705A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05A3E"/>
    <w:pPr>
      <w:keepNext/>
      <w:numPr>
        <w:ilvl w:val="1"/>
        <w:numId w:val="3"/>
      </w:numPr>
      <w:spacing w:after="120"/>
      <w:outlineLvl w:val="1"/>
    </w:pPr>
    <w:rPr>
      <w:b/>
    </w:rPr>
  </w:style>
  <w:style w:type="paragraph" w:styleId="Heading3">
    <w:name w:val="heading 3"/>
    <w:basedOn w:val="Normal"/>
    <w:next w:val="ParaNum"/>
    <w:qFormat/>
    <w:rsid w:val="00705A3E"/>
    <w:pPr>
      <w:keepNext/>
      <w:numPr>
        <w:ilvl w:val="2"/>
        <w:numId w:val="3"/>
      </w:numPr>
      <w:tabs>
        <w:tab w:val="left" w:pos="2160"/>
      </w:tabs>
      <w:spacing w:after="120"/>
      <w:outlineLvl w:val="2"/>
    </w:pPr>
    <w:rPr>
      <w:b/>
    </w:rPr>
  </w:style>
  <w:style w:type="paragraph" w:styleId="Heading4">
    <w:name w:val="heading 4"/>
    <w:basedOn w:val="Normal"/>
    <w:next w:val="ParaNum"/>
    <w:qFormat/>
    <w:rsid w:val="00705A3E"/>
    <w:pPr>
      <w:keepNext/>
      <w:numPr>
        <w:ilvl w:val="3"/>
        <w:numId w:val="3"/>
      </w:numPr>
      <w:tabs>
        <w:tab w:val="left" w:pos="2880"/>
      </w:tabs>
      <w:spacing w:after="120"/>
      <w:outlineLvl w:val="3"/>
    </w:pPr>
    <w:rPr>
      <w:b/>
    </w:rPr>
  </w:style>
  <w:style w:type="paragraph" w:styleId="Heading5">
    <w:name w:val="heading 5"/>
    <w:basedOn w:val="Normal"/>
    <w:next w:val="ParaNum"/>
    <w:qFormat/>
    <w:rsid w:val="00705A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05A3E"/>
    <w:pPr>
      <w:numPr>
        <w:ilvl w:val="5"/>
        <w:numId w:val="3"/>
      </w:numPr>
      <w:tabs>
        <w:tab w:val="left" w:pos="4320"/>
      </w:tabs>
      <w:spacing w:after="120"/>
      <w:outlineLvl w:val="5"/>
    </w:pPr>
    <w:rPr>
      <w:b/>
    </w:rPr>
  </w:style>
  <w:style w:type="paragraph" w:styleId="Heading7">
    <w:name w:val="heading 7"/>
    <w:basedOn w:val="Normal"/>
    <w:next w:val="ParaNum"/>
    <w:qFormat/>
    <w:rsid w:val="00705A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05A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05A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5A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A3E"/>
  </w:style>
  <w:style w:type="paragraph" w:customStyle="1" w:styleId="ParaNum">
    <w:name w:val="ParaNum"/>
    <w:basedOn w:val="Normal"/>
    <w:rsid w:val="00705A3E"/>
    <w:pPr>
      <w:numPr>
        <w:numId w:val="2"/>
      </w:numPr>
      <w:tabs>
        <w:tab w:val="clear" w:pos="1080"/>
        <w:tab w:val="num" w:pos="1440"/>
      </w:tabs>
      <w:spacing w:after="120"/>
    </w:pPr>
  </w:style>
  <w:style w:type="paragraph" w:styleId="EndnoteText">
    <w:name w:val="endnote text"/>
    <w:basedOn w:val="Normal"/>
    <w:semiHidden/>
    <w:rsid w:val="00705A3E"/>
    <w:rPr>
      <w:sz w:val="20"/>
    </w:rPr>
  </w:style>
  <w:style w:type="character" w:styleId="EndnoteReference">
    <w:name w:val="endnote reference"/>
    <w:semiHidden/>
    <w:rsid w:val="00705A3E"/>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705A3E"/>
    <w:pPr>
      <w:spacing w:after="120"/>
    </w:pPr>
  </w:style>
  <w:style w:type="character" w:styleId="FootnoteReference">
    <w:name w:val="footnote reference"/>
    <w:aliases w:val="(NECG) Footnote Reference,Appel note de bas de p,FR,Footnote Reference/,Style 12,Style 124,Style 13,Style 17,Style 3,Style 4,fr,o"/>
    <w:rsid w:val="00705A3E"/>
    <w:rPr>
      <w:rFonts w:ascii="Times New Roman" w:hAnsi="Times New Roman"/>
      <w:dstrike w:val="0"/>
      <w:color w:val="auto"/>
      <w:sz w:val="20"/>
      <w:vertAlign w:val="superscript"/>
    </w:rPr>
  </w:style>
  <w:style w:type="paragraph" w:styleId="TOC1">
    <w:name w:val="toc 1"/>
    <w:basedOn w:val="Normal"/>
    <w:next w:val="Normal"/>
    <w:semiHidden/>
    <w:rsid w:val="00705A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5A3E"/>
    <w:pPr>
      <w:tabs>
        <w:tab w:val="left" w:pos="720"/>
        <w:tab w:val="right" w:leader="dot" w:pos="9360"/>
      </w:tabs>
      <w:suppressAutoHyphens/>
      <w:ind w:left="720" w:right="720" w:hanging="360"/>
    </w:pPr>
    <w:rPr>
      <w:noProof/>
    </w:rPr>
  </w:style>
  <w:style w:type="paragraph" w:styleId="TOC3">
    <w:name w:val="toc 3"/>
    <w:basedOn w:val="Normal"/>
    <w:next w:val="Normal"/>
    <w:semiHidden/>
    <w:rsid w:val="00705A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5A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5A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5A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5A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5A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5A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5A3E"/>
    <w:pPr>
      <w:tabs>
        <w:tab w:val="right" w:pos="9360"/>
      </w:tabs>
      <w:suppressAutoHyphens/>
    </w:pPr>
  </w:style>
  <w:style w:type="character" w:customStyle="1" w:styleId="EquationCaption">
    <w:name w:val="_Equation Caption"/>
    <w:rsid w:val="00705A3E"/>
  </w:style>
  <w:style w:type="paragraph" w:styleId="Header">
    <w:name w:val="header"/>
    <w:basedOn w:val="Normal"/>
    <w:autoRedefine/>
    <w:rsid w:val="00705A3E"/>
    <w:pPr>
      <w:tabs>
        <w:tab w:val="center" w:pos="4680"/>
        <w:tab w:val="right" w:pos="9360"/>
      </w:tabs>
    </w:pPr>
    <w:rPr>
      <w:b/>
    </w:rPr>
  </w:style>
  <w:style w:type="paragraph" w:styleId="Footer">
    <w:name w:val="footer"/>
    <w:basedOn w:val="Normal"/>
    <w:link w:val="FooterChar"/>
    <w:uiPriority w:val="99"/>
    <w:rsid w:val="00705A3E"/>
    <w:pPr>
      <w:tabs>
        <w:tab w:val="center" w:pos="4320"/>
        <w:tab w:val="right" w:pos="8640"/>
      </w:tabs>
    </w:pPr>
  </w:style>
  <w:style w:type="character" w:styleId="PageNumber">
    <w:name w:val="page number"/>
    <w:basedOn w:val="DefaultParagraphFont"/>
    <w:rsid w:val="00705A3E"/>
  </w:style>
  <w:style w:type="paragraph" w:styleId="BlockText">
    <w:name w:val="Block Text"/>
    <w:basedOn w:val="Normal"/>
    <w:rsid w:val="00705A3E"/>
    <w:pPr>
      <w:spacing w:after="240"/>
      <w:ind w:left="1440" w:right="1440"/>
    </w:pPr>
  </w:style>
  <w:style w:type="paragraph" w:customStyle="1" w:styleId="Paratitle">
    <w:name w:val="Para title"/>
    <w:basedOn w:val="Normal"/>
    <w:rsid w:val="00705A3E"/>
    <w:pPr>
      <w:tabs>
        <w:tab w:val="center" w:pos="9270"/>
      </w:tabs>
      <w:spacing w:after="240"/>
    </w:pPr>
    <w:rPr>
      <w:spacing w:val="-2"/>
    </w:rPr>
  </w:style>
  <w:style w:type="paragraph" w:customStyle="1" w:styleId="Bullet">
    <w:name w:val="Bullet"/>
    <w:basedOn w:val="Normal"/>
    <w:rsid w:val="00705A3E"/>
    <w:pPr>
      <w:tabs>
        <w:tab w:val="left" w:pos="2160"/>
      </w:tabs>
      <w:spacing w:after="220"/>
      <w:ind w:left="2160" w:hanging="720"/>
    </w:pPr>
  </w:style>
  <w:style w:type="paragraph" w:customStyle="1" w:styleId="TableFormat">
    <w:name w:val="TableFormat"/>
    <w:basedOn w:val="Bullet"/>
    <w:rsid w:val="00705A3E"/>
    <w:pPr>
      <w:tabs>
        <w:tab w:val="clear" w:pos="2160"/>
        <w:tab w:val="left" w:pos="5040"/>
      </w:tabs>
      <w:ind w:left="5040" w:hanging="3600"/>
    </w:pPr>
  </w:style>
  <w:style w:type="paragraph" w:customStyle="1" w:styleId="TOCTitle">
    <w:name w:val="TOC Title"/>
    <w:basedOn w:val="Normal"/>
    <w:rsid w:val="00705A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5A3E"/>
    <w:pPr>
      <w:jc w:val="center"/>
    </w:pPr>
    <w:rPr>
      <w:rFonts w:ascii="Times New Roman Bold" w:hAnsi="Times New Roman Bold"/>
      <w:b/>
      <w:bCs/>
      <w:caps/>
      <w:szCs w:val="22"/>
    </w:rPr>
  </w:style>
  <w:style w:type="character" w:styleId="Hyperlink">
    <w:name w:val="Hyperlink"/>
    <w:rsid w:val="00705A3E"/>
    <w:rPr>
      <w:color w:val="0000FF"/>
      <w:u w:val="single"/>
    </w:rPr>
  </w:style>
  <w:style w:type="numbering" w:customStyle="1" w:styleId="NoList1">
    <w:name w:val="No List1"/>
    <w:next w:val="NoList"/>
    <w:uiPriority w:val="99"/>
    <w:semiHidden/>
    <w:unhideWhenUsed/>
    <w:rsid w:val="00934DE3"/>
  </w:style>
  <w:style w:type="paragraph" w:styleId="Caption">
    <w:name w:val="caption"/>
    <w:basedOn w:val="Normal"/>
    <w:next w:val="Normal"/>
    <w:qFormat/>
    <w:rsid w:val="00934DE3"/>
    <w:pPr>
      <w:widowControl/>
      <w:spacing w:before="120" w:after="120"/>
    </w:pPr>
    <w:rPr>
      <w:b/>
      <w:snapToGrid/>
      <w:kern w:val="0"/>
    </w:rPr>
  </w:style>
  <w:style w:type="paragraph" w:customStyle="1" w:styleId="NumberedList">
    <w:name w:val="Numbered List"/>
    <w:basedOn w:val="Normal"/>
    <w:rsid w:val="00934DE3"/>
    <w:pPr>
      <w:widowControl/>
      <w:numPr>
        <w:numId w:val="10"/>
      </w:numPr>
      <w:tabs>
        <w:tab w:val="clear" w:pos="1080"/>
      </w:tabs>
      <w:spacing w:after="220"/>
      <w:ind w:firstLine="0"/>
    </w:pPr>
    <w:rPr>
      <w:snapToGrid/>
      <w:kern w:val="0"/>
    </w:rPr>
  </w:style>
  <w:style w:type="paragraph" w:styleId="Title">
    <w:name w:val="Title"/>
    <w:basedOn w:val="Normal"/>
    <w:link w:val="TitleChar"/>
    <w:qFormat/>
    <w:rsid w:val="00934DE3"/>
    <w:pPr>
      <w:widowControl/>
      <w:jc w:val="center"/>
    </w:pPr>
    <w:rPr>
      <w:b/>
      <w:snapToGrid/>
      <w:kern w:val="0"/>
    </w:rPr>
  </w:style>
  <w:style w:type="character" w:customStyle="1" w:styleId="TitleChar">
    <w:name w:val="Title Char"/>
    <w:link w:val="Title"/>
    <w:rsid w:val="00934DE3"/>
    <w:rPr>
      <w:b/>
      <w:sz w:val="22"/>
    </w:rPr>
  </w:style>
  <w:style w:type="paragraph" w:styleId="NormalWeb">
    <w:name w:val="Normal (Web)"/>
    <w:basedOn w:val="Normal"/>
    <w:unhideWhenUsed/>
    <w:rsid w:val="00934DE3"/>
    <w:pPr>
      <w:widowControl/>
      <w:spacing w:before="100" w:beforeAutospacing="1" w:after="100" w:afterAutospacing="1"/>
    </w:pPr>
    <w:rPr>
      <w:rFonts w:ascii="inherit" w:hAnsi="inherit"/>
      <w:snapToGrid/>
      <w:color w:val="000000"/>
      <w:kern w:val="0"/>
      <w:sz w:val="24"/>
      <w:szCs w:val="24"/>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link w:val="FootnoteText"/>
    <w:rsid w:val="00934DE3"/>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uiPriority w:val="99"/>
    <w:rsid w:val="00934DE3"/>
    <w:rPr>
      <w:lang w:val="en-US" w:eastAsia="en-US" w:bidi="ar-SA"/>
    </w:rPr>
  </w:style>
  <w:style w:type="paragraph" w:styleId="BalloonText">
    <w:name w:val="Balloon Text"/>
    <w:basedOn w:val="Normal"/>
    <w:link w:val="BalloonTextChar"/>
    <w:rsid w:val="00934DE3"/>
    <w:pPr>
      <w:widowControl/>
    </w:pPr>
    <w:rPr>
      <w:rFonts w:ascii="Tahoma" w:hAnsi="Tahoma" w:cs="Tahoma"/>
      <w:snapToGrid/>
      <w:kern w:val="0"/>
      <w:sz w:val="16"/>
      <w:szCs w:val="16"/>
    </w:rPr>
  </w:style>
  <w:style w:type="character" w:customStyle="1" w:styleId="BalloonTextChar">
    <w:name w:val="Balloon Text Char"/>
    <w:link w:val="BalloonText"/>
    <w:rsid w:val="00934DE3"/>
    <w:rPr>
      <w:rFonts w:ascii="Tahoma" w:hAnsi="Tahoma" w:cs="Tahoma"/>
      <w:sz w:val="16"/>
      <w:szCs w:val="16"/>
    </w:rPr>
  </w:style>
  <w:style w:type="paragraph" w:styleId="ListParagraph">
    <w:name w:val="List Paragraph"/>
    <w:basedOn w:val="Normal"/>
    <w:uiPriority w:val="34"/>
    <w:qFormat/>
    <w:rsid w:val="00934DE3"/>
    <w:pPr>
      <w:widowControl/>
      <w:spacing w:after="200" w:line="276" w:lineRule="auto"/>
      <w:ind w:left="720"/>
      <w:contextualSpacing/>
    </w:pPr>
    <w:rPr>
      <w:rFonts w:ascii="Calibri" w:eastAsia="Calibri" w:hAnsi="Calibri"/>
      <w:snapToGrid/>
      <w:kern w:val="0"/>
      <w:szCs w:val="22"/>
    </w:rPr>
  </w:style>
  <w:style w:type="character" w:customStyle="1" w:styleId="FootnoteTextChar2Char">
    <w:name w:val="Footnote Text Char2 Char"/>
    <w:aliases w:val="Footnote Text Char Char Char Char Char,Footnote Text Char Char1 Char,Footnote Text Char1 Char Char Char,Footnote Text Char1 Char Char Char Char Char Char,Footnote Text Char2 Char Char1 Char Char Char"/>
    <w:rsid w:val="00934DE3"/>
    <w:rPr>
      <w:lang w:val="en-US" w:eastAsia="en-US" w:bidi="ar-SA"/>
    </w:rPr>
  </w:style>
  <w:style w:type="character" w:styleId="CommentReference">
    <w:name w:val="annotation reference"/>
    <w:rsid w:val="00934DE3"/>
    <w:rPr>
      <w:sz w:val="16"/>
      <w:szCs w:val="16"/>
    </w:rPr>
  </w:style>
  <w:style w:type="paragraph" w:styleId="CommentText">
    <w:name w:val="annotation text"/>
    <w:basedOn w:val="Normal"/>
    <w:link w:val="CommentTextChar"/>
    <w:rsid w:val="00934DE3"/>
    <w:pPr>
      <w:widowControl/>
    </w:pPr>
    <w:rPr>
      <w:snapToGrid/>
      <w:kern w:val="0"/>
      <w:sz w:val="20"/>
    </w:rPr>
  </w:style>
  <w:style w:type="character" w:customStyle="1" w:styleId="CommentTextChar">
    <w:name w:val="Comment Text Char"/>
    <w:basedOn w:val="DefaultParagraphFont"/>
    <w:link w:val="CommentText"/>
    <w:rsid w:val="00934DE3"/>
  </w:style>
  <w:style w:type="paragraph" w:styleId="CommentSubject">
    <w:name w:val="annotation subject"/>
    <w:basedOn w:val="CommentText"/>
    <w:next w:val="CommentText"/>
    <w:link w:val="CommentSubjectChar"/>
    <w:rsid w:val="00934DE3"/>
    <w:rPr>
      <w:b/>
      <w:bCs/>
    </w:rPr>
  </w:style>
  <w:style w:type="character" w:customStyle="1" w:styleId="CommentSubjectChar">
    <w:name w:val="Comment Subject Char"/>
    <w:link w:val="CommentSubject"/>
    <w:rsid w:val="00934DE3"/>
    <w:rPr>
      <w:b/>
      <w:bCs/>
    </w:rPr>
  </w:style>
  <w:style w:type="character" w:customStyle="1" w:styleId="cosearchterm7">
    <w:name w:val="co_searchterm7"/>
    <w:rsid w:val="00934DE3"/>
    <w:rPr>
      <w:b/>
      <w:bCs/>
      <w:color w:val="252525"/>
    </w:rPr>
  </w:style>
  <w:style w:type="character" w:customStyle="1" w:styleId="costarpage2">
    <w:name w:val="co_starpage2"/>
    <w:rsid w:val="00934DE3"/>
  </w:style>
  <w:style w:type="character" w:styleId="Emphasis">
    <w:name w:val="Emphasis"/>
    <w:uiPriority w:val="20"/>
    <w:qFormat/>
    <w:rsid w:val="00934DE3"/>
    <w:rPr>
      <w:i/>
      <w:iCs/>
    </w:rPr>
  </w:style>
  <w:style w:type="character" w:styleId="Strong">
    <w:name w:val="Strong"/>
    <w:uiPriority w:val="22"/>
    <w:qFormat/>
    <w:rsid w:val="00934DE3"/>
    <w:rPr>
      <w:b/>
      <w:bCs/>
    </w:rPr>
  </w:style>
  <w:style w:type="paragraph" w:styleId="Revision">
    <w:name w:val="Revision"/>
    <w:hidden/>
    <w:uiPriority w:val="99"/>
    <w:semiHidden/>
    <w:rsid w:val="00934DE3"/>
    <w:rPr>
      <w:sz w:val="22"/>
    </w:rPr>
  </w:style>
  <w:style w:type="paragraph" w:customStyle="1" w:styleId="psection-2">
    <w:name w:val="psection-2"/>
    <w:basedOn w:val="Normal"/>
    <w:rsid w:val="00764BB7"/>
    <w:pPr>
      <w:widowControl/>
      <w:spacing w:before="100" w:beforeAutospacing="1" w:after="100" w:afterAutospacing="1"/>
    </w:pPr>
    <w:rPr>
      <w:snapToGrid/>
      <w:kern w:val="0"/>
      <w:sz w:val="24"/>
      <w:szCs w:val="24"/>
    </w:rPr>
  </w:style>
  <w:style w:type="character" w:customStyle="1" w:styleId="enumxml">
    <w:name w:val="enumxml"/>
    <w:basedOn w:val="DefaultParagraphFont"/>
    <w:rsid w:val="00764BB7"/>
  </w:style>
  <w:style w:type="character" w:customStyle="1" w:styleId="FooterChar">
    <w:name w:val="Footer Char"/>
    <w:link w:val="Footer"/>
    <w:uiPriority w:val="99"/>
    <w:rsid w:val="00705A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