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r w:rsidR="00C02DDB">
              <w:rPr>
                <w:spacing w:val="-2"/>
              </w:rPr>
              <w:t xml:space="preserve"> the </w:t>
            </w:r>
          </w:p>
          <w:p w:rsidR="004C2EE3">
            <w:pPr>
              <w:tabs>
                <w:tab w:val="center" w:pos="4680"/>
              </w:tabs>
              <w:suppressAutoHyphens/>
              <w:rPr>
                <w:spacing w:val="-2"/>
              </w:rPr>
            </w:pPr>
          </w:p>
          <w:p w:rsidR="00CF0B5C" w:rsidP="00105057">
            <w:pPr>
              <w:widowControl/>
              <w:autoSpaceDE w:val="0"/>
              <w:autoSpaceDN w:val="0"/>
              <w:adjustRightInd w:val="0"/>
              <w:rPr>
                <w:spacing w:val="-2"/>
              </w:rPr>
            </w:pPr>
            <w:r>
              <w:rPr>
                <w:spacing w:val="-2"/>
              </w:rPr>
              <w:t>OTA Broadcasting (SFO), LLC</w:t>
            </w:r>
          </w:p>
          <w:p w:rsidR="00105057" w:rsidP="00105057">
            <w:pPr>
              <w:widowControl/>
              <w:autoSpaceDE w:val="0"/>
              <w:autoSpaceDN w:val="0"/>
              <w:adjustRightInd w:val="0"/>
              <w:rPr>
                <w:spacing w:val="-2"/>
              </w:rPr>
            </w:pPr>
            <w:r w:rsidRPr="00105057">
              <w:rPr>
                <w:spacing w:val="-2"/>
              </w:rPr>
              <w:t xml:space="preserve">(Assignor) </w:t>
            </w:r>
          </w:p>
          <w:p w:rsidR="00105057" w:rsidRPr="00105057" w:rsidP="00105057">
            <w:pPr>
              <w:widowControl/>
              <w:autoSpaceDE w:val="0"/>
              <w:autoSpaceDN w:val="0"/>
              <w:adjustRightInd w:val="0"/>
              <w:rPr>
                <w:spacing w:val="-2"/>
              </w:rPr>
            </w:pPr>
            <w:r w:rsidRPr="00105057">
              <w:rPr>
                <w:spacing w:val="-2"/>
              </w:rPr>
              <w:t xml:space="preserve"> </w:t>
            </w:r>
          </w:p>
          <w:p w:rsidR="00105057" w:rsidP="00105057">
            <w:pPr>
              <w:widowControl/>
              <w:autoSpaceDE w:val="0"/>
              <w:autoSpaceDN w:val="0"/>
              <w:adjustRightInd w:val="0"/>
              <w:rPr>
                <w:spacing w:val="-2"/>
              </w:rPr>
            </w:pPr>
            <w:r w:rsidRPr="00105057">
              <w:rPr>
                <w:spacing w:val="-2"/>
              </w:rPr>
              <w:t xml:space="preserve">and </w:t>
            </w:r>
          </w:p>
          <w:p w:rsidR="00105057" w:rsidRPr="00105057" w:rsidP="00105057">
            <w:pPr>
              <w:widowControl/>
              <w:autoSpaceDE w:val="0"/>
              <w:autoSpaceDN w:val="0"/>
              <w:adjustRightInd w:val="0"/>
              <w:rPr>
                <w:spacing w:val="-2"/>
              </w:rPr>
            </w:pPr>
          </w:p>
          <w:p w:rsidR="00CF0B5C" w:rsidP="00105057">
            <w:pPr>
              <w:widowControl/>
              <w:autoSpaceDE w:val="0"/>
              <w:autoSpaceDN w:val="0"/>
              <w:adjustRightInd w:val="0"/>
              <w:rPr>
                <w:spacing w:val="-2"/>
              </w:rPr>
            </w:pPr>
            <w:r>
              <w:rPr>
                <w:spacing w:val="-2"/>
              </w:rPr>
              <w:t>TV-49, Inc.</w:t>
            </w:r>
          </w:p>
          <w:p w:rsidR="00105057" w:rsidRPr="00105057" w:rsidP="00105057">
            <w:pPr>
              <w:widowControl/>
              <w:autoSpaceDE w:val="0"/>
              <w:autoSpaceDN w:val="0"/>
              <w:adjustRightInd w:val="0"/>
              <w:rPr>
                <w:spacing w:val="-2"/>
              </w:rPr>
            </w:pPr>
            <w:r w:rsidRPr="00105057">
              <w:rPr>
                <w:spacing w:val="-2"/>
              </w:rPr>
              <w:t xml:space="preserve">(Assignee) </w:t>
            </w:r>
          </w:p>
          <w:p w:rsidR="00105057" w:rsidRPr="00105057" w:rsidP="00105057">
            <w:pPr>
              <w:widowControl/>
              <w:autoSpaceDE w:val="0"/>
              <w:autoSpaceDN w:val="0"/>
              <w:adjustRightInd w:val="0"/>
              <w:rPr>
                <w:spacing w:val="-2"/>
              </w:rPr>
            </w:pPr>
          </w:p>
          <w:p w:rsidR="007C5C4E" w:rsidP="00CF0B5C">
            <w:pPr>
              <w:widowControl/>
              <w:autoSpaceDE w:val="0"/>
              <w:autoSpaceDN w:val="0"/>
              <w:adjustRightInd w:val="0"/>
              <w:rPr>
                <w:spacing w:val="-2"/>
              </w:rPr>
            </w:pPr>
            <w:r>
              <w:rPr>
                <w:spacing w:val="-2"/>
              </w:rPr>
              <w:t>Application f</w:t>
            </w:r>
            <w:r w:rsidR="00CF0B5C">
              <w:rPr>
                <w:spacing w:val="-2"/>
              </w:rPr>
              <w:t>or Consent to Assign</w:t>
            </w:r>
            <w:r>
              <w:rPr>
                <w:spacing w:val="-2"/>
              </w:rPr>
              <w:t>ment</w:t>
            </w:r>
            <w:r w:rsidR="00CF0B5C">
              <w:rPr>
                <w:spacing w:val="-2"/>
              </w:rPr>
              <w:t xml:space="preserve"> </w:t>
            </w:r>
            <w:r>
              <w:rPr>
                <w:spacing w:val="-2"/>
              </w:rPr>
              <w:t>of</w:t>
            </w:r>
            <w:r w:rsidR="00CF0B5C">
              <w:rPr>
                <w:spacing w:val="-2"/>
              </w:rPr>
              <w:t xml:space="preserve"> License</w:t>
            </w:r>
            <w:r>
              <w:rPr>
                <w:spacing w:val="-2"/>
              </w:rPr>
              <w:t xml:space="preserve"> </w:t>
            </w:r>
            <w:r w:rsidRPr="00105057" w:rsidR="00105057">
              <w:rPr>
                <w:spacing w:val="-2"/>
              </w:rPr>
              <w:t xml:space="preserve">of </w:t>
            </w:r>
            <w:r w:rsidR="0022174A">
              <w:rPr>
                <w:spacing w:val="-2"/>
              </w:rPr>
              <w:t xml:space="preserve">Class A </w:t>
            </w:r>
            <w:r w:rsidR="00B87078">
              <w:rPr>
                <w:spacing w:val="-2"/>
              </w:rPr>
              <w:t xml:space="preserve">Television Station </w:t>
            </w:r>
            <w:r w:rsidR="00CF0B5C">
              <w:rPr>
                <w:spacing w:val="-2"/>
              </w:rPr>
              <w:t>KAXT-CD, San Francisco-San Jose</w:t>
            </w:r>
            <w:r w:rsidR="00E474DB">
              <w:rPr>
                <w:spacing w:val="-2"/>
              </w:rPr>
              <w:t>, CA</w:t>
            </w:r>
          </w:p>
          <w:p w:rsidR="007C5C4E" w:rsidP="00CF0B5C">
            <w:pPr>
              <w:widowControl/>
              <w:autoSpaceDE w:val="0"/>
              <w:autoSpaceDN w:val="0"/>
              <w:adjustRightInd w:val="0"/>
              <w:rPr>
                <w:spacing w:val="-2"/>
              </w:rPr>
            </w:pPr>
          </w:p>
          <w:p w:rsidR="004C2EE3" w:rsidRPr="007115F7" w:rsidP="00CF0B5C">
            <w:pPr>
              <w:widowControl/>
              <w:autoSpaceDE w:val="0"/>
              <w:autoSpaceDN w:val="0"/>
              <w:adjustRightInd w:val="0"/>
              <w:rPr>
                <w:spacing w:val="-2"/>
              </w:rPr>
            </w:pPr>
            <w:r>
              <w:rPr>
                <w:spacing w:val="-2"/>
              </w:rPr>
              <w:t>Applications for Consent to Assignment of License of</w:t>
            </w:r>
            <w:r w:rsidR="00314FDE">
              <w:rPr>
                <w:spacing w:val="-2"/>
              </w:rPr>
              <w:t xml:space="preserve"> Station KTLN-TV, Novato, CA</w:t>
            </w:r>
          </w:p>
        </w:tc>
        <w:tc>
          <w:tcPr>
            <w:tcW w:w="630" w:type="dxa"/>
          </w:tcPr>
          <w:p w:rsidR="004C2EE3" w:rsidRPr="00314FDE">
            <w:pPr>
              <w:tabs>
                <w:tab w:val="center" w:pos="4680"/>
              </w:tabs>
              <w:suppressAutoHyphens/>
              <w:rPr>
                <w:spacing w:val="-2"/>
              </w:rPr>
            </w:pPr>
            <w:r w:rsidRPr="00314FDE">
              <w:rPr>
                <w:spacing w:val="-2"/>
              </w:rPr>
              <w:t>)</w:t>
            </w:r>
          </w:p>
          <w:p w:rsidR="004C2EE3" w:rsidRPr="00314FDE">
            <w:pPr>
              <w:tabs>
                <w:tab w:val="center" w:pos="4680"/>
              </w:tabs>
              <w:suppressAutoHyphens/>
              <w:rPr>
                <w:spacing w:val="-2"/>
              </w:rPr>
            </w:pPr>
            <w:r w:rsidRPr="00314FDE">
              <w:rPr>
                <w:spacing w:val="-2"/>
              </w:rPr>
              <w:t>)</w:t>
            </w:r>
          </w:p>
          <w:p w:rsidR="004C2EE3" w:rsidRPr="00314FDE">
            <w:pPr>
              <w:tabs>
                <w:tab w:val="center" w:pos="4680"/>
              </w:tabs>
              <w:suppressAutoHyphens/>
              <w:rPr>
                <w:spacing w:val="-2"/>
              </w:rPr>
            </w:pPr>
            <w:r w:rsidRPr="00314FDE">
              <w:rPr>
                <w:spacing w:val="-2"/>
              </w:rPr>
              <w:t>)</w:t>
            </w:r>
          </w:p>
          <w:p w:rsidR="004C2EE3" w:rsidRPr="00314FDE">
            <w:pPr>
              <w:tabs>
                <w:tab w:val="center" w:pos="4680"/>
              </w:tabs>
              <w:suppressAutoHyphens/>
              <w:rPr>
                <w:spacing w:val="-2"/>
              </w:rPr>
            </w:pPr>
            <w:r w:rsidRPr="00314FDE">
              <w:rPr>
                <w:spacing w:val="-2"/>
              </w:rPr>
              <w:t>)</w:t>
            </w:r>
          </w:p>
          <w:p w:rsidR="004C2EE3" w:rsidRPr="00314FDE">
            <w:pPr>
              <w:tabs>
                <w:tab w:val="center" w:pos="4680"/>
              </w:tabs>
              <w:suppressAutoHyphens/>
              <w:rPr>
                <w:spacing w:val="-2"/>
              </w:rPr>
            </w:pPr>
            <w:r w:rsidRPr="00314FDE">
              <w:rPr>
                <w:spacing w:val="-2"/>
              </w:rPr>
              <w:t>)</w:t>
            </w:r>
          </w:p>
          <w:p w:rsidR="004C2EE3" w:rsidRPr="00314FDE">
            <w:pPr>
              <w:tabs>
                <w:tab w:val="center" w:pos="4680"/>
              </w:tabs>
              <w:suppressAutoHyphens/>
              <w:rPr>
                <w:spacing w:val="-2"/>
              </w:rPr>
            </w:pPr>
            <w:r w:rsidRPr="00314FDE">
              <w:rPr>
                <w:spacing w:val="-2"/>
              </w:rPr>
              <w:t>)</w:t>
            </w:r>
          </w:p>
          <w:p w:rsidR="004C2EE3" w:rsidRPr="00314FDE">
            <w:pPr>
              <w:tabs>
                <w:tab w:val="center" w:pos="4680"/>
              </w:tabs>
              <w:suppressAutoHyphens/>
              <w:rPr>
                <w:spacing w:val="-2"/>
              </w:rPr>
            </w:pPr>
            <w:r w:rsidRPr="00314FDE">
              <w:rPr>
                <w:spacing w:val="-2"/>
              </w:rPr>
              <w:t>)</w:t>
            </w:r>
          </w:p>
          <w:p w:rsidR="004C2EE3" w:rsidRPr="00314FDE">
            <w:pPr>
              <w:tabs>
                <w:tab w:val="center" w:pos="4680"/>
              </w:tabs>
              <w:suppressAutoHyphens/>
              <w:rPr>
                <w:spacing w:val="-2"/>
              </w:rPr>
            </w:pPr>
            <w:r w:rsidRPr="00314FDE">
              <w:rPr>
                <w:spacing w:val="-2"/>
              </w:rPr>
              <w:t>)</w:t>
            </w:r>
          </w:p>
          <w:p w:rsidR="00105057" w:rsidRPr="00314FDE" w:rsidP="00105057">
            <w:pPr>
              <w:tabs>
                <w:tab w:val="center" w:pos="4680"/>
              </w:tabs>
              <w:suppressAutoHyphens/>
              <w:rPr>
                <w:spacing w:val="-2"/>
              </w:rPr>
            </w:pPr>
            <w:r w:rsidRPr="00314FDE">
              <w:rPr>
                <w:spacing w:val="-2"/>
              </w:rPr>
              <w:t>)</w:t>
            </w:r>
          </w:p>
          <w:p w:rsidR="00105057" w:rsidRPr="00314FDE" w:rsidP="00105057">
            <w:pPr>
              <w:tabs>
                <w:tab w:val="center" w:pos="4680"/>
              </w:tabs>
              <w:suppressAutoHyphens/>
              <w:rPr>
                <w:spacing w:val="-2"/>
              </w:rPr>
            </w:pPr>
            <w:r w:rsidRPr="00314FDE">
              <w:rPr>
                <w:spacing w:val="-2"/>
              </w:rPr>
              <w:t>)</w:t>
            </w:r>
          </w:p>
          <w:p w:rsidR="00105057" w:rsidRPr="00314FDE" w:rsidP="00105057">
            <w:pPr>
              <w:tabs>
                <w:tab w:val="center" w:pos="4680"/>
              </w:tabs>
              <w:suppressAutoHyphens/>
              <w:rPr>
                <w:spacing w:val="-2"/>
              </w:rPr>
            </w:pPr>
            <w:r w:rsidRPr="00314FDE">
              <w:rPr>
                <w:spacing w:val="-2"/>
              </w:rPr>
              <w:t>)</w:t>
            </w:r>
          </w:p>
          <w:p w:rsidR="00CC45C9" w:rsidRPr="00314FDE">
            <w:pPr>
              <w:tabs>
                <w:tab w:val="center" w:pos="4680"/>
              </w:tabs>
              <w:suppressAutoHyphens/>
              <w:rPr>
                <w:spacing w:val="-2"/>
              </w:rPr>
            </w:pPr>
            <w:r w:rsidRPr="00314FDE">
              <w:rPr>
                <w:spacing w:val="-2"/>
              </w:rPr>
              <w:t>)</w:t>
            </w:r>
          </w:p>
          <w:p w:rsidR="00CF0B5C">
            <w:pPr>
              <w:tabs>
                <w:tab w:val="center" w:pos="4680"/>
              </w:tabs>
              <w:suppressAutoHyphens/>
              <w:rPr>
                <w:spacing w:val="-2"/>
              </w:rPr>
            </w:pPr>
            <w:r>
              <w:rPr>
                <w:spacing w:val="-2"/>
              </w:rPr>
              <w:t>)</w:t>
            </w:r>
          </w:p>
          <w:p w:rsidR="00FD2154">
            <w:pPr>
              <w:tabs>
                <w:tab w:val="center" w:pos="4680"/>
              </w:tabs>
              <w:suppressAutoHyphens/>
              <w:rPr>
                <w:spacing w:val="-2"/>
              </w:rPr>
            </w:pPr>
            <w:r>
              <w:rPr>
                <w:spacing w:val="-2"/>
              </w:rPr>
              <w:t>)</w:t>
            </w:r>
          </w:p>
          <w:p w:rsidR="007C5C4E">
            <w:pPr>
              <w:tabs>
                <w:tab w:val="center" w:pos="4680"/>
              </w:tabs>
              <w:suppressAutoHyphens/>
              <w:rPr>
                <w:spacing w:val="-2"/>
              </w:rPr>
            </w:pPr>
            <w:r>
              <w:rPr>
                <w:spacing w:val="-2"/>
              </w:rPr>
              <w:t>)</w:t>
            </w:r>
          </w:p>
          <w:p w:rsidR="007C5C4E" w:rsidRPr="00314FDE">
            <w:pPr>
              <w:tabs>
                <w:tab w:val="center" w:pos="4680"/>
              </w:tabs>
              <w:suppressAutoHyphens/>
              <w:rPr>
                <w:spacing w:val="-2"/>
              </w:rPr>
            </w:pPr>
            <w:r>
              <w:rPr>
                <w:spacing w:val="-2"/>
              </w:rPr>
              <w:t>)</w:t>
            </w:r>
          </w:p>
        </w:tc>
        <w:tc>
          <w:tcPr>
            <w:tcW w:w="4248" w:type="dxa"/>
          </w:tcPr>
          <w:p w:rsidR="004C2EE3" w:rsidRPr="00314FDE">
            <w:pPr>
              <w:tabs>
                <w:tab w:val="center" w:pos="4680"/>
              </w:tabs>
              <w:suppressAutoHyphens/>
              <w:rPr>
                <w:spacing w:val="-2"/>
              </w:rPr>
            </w:pPr>
          </w:p>
          <w:p w:rsidR="004C2EE3" w:rsidRPr="00314FDE">
            <w:pPr>
              <w:pStyle w:val="TOAHeading"/>
              <w:tabs>
                <w:tab w:val="center" w:pos="4680"/>
                <w:tab w:val="clear" w:pos="9360"/>
              </w:tabs>
              <w:rPr>
                <w:spacing w:val="-2"/>
              </w:rPr>
            </w:pPr>
          </w:p>
          <w:p w:rsidR="007C5C4E">
            <w:pPr>
              <w:tabs>
                <w:tab w:val="center" w:pos="4680"/>
              </w:tabs>
              <w:suppressAutoHyphens/>
              <w:rPr>
                <w:spacing w:val="-2"/>
              </w:rPr>
            </w:pPr>
            <w:bookmarkStart w:id="0" w:name="_Hlk500146806"/>
          </w:p>
          <w:p w:rsidR="007C5C4E">
            <w:pPr>
              <w:tabs>
                <w:tab w:val="center" w:pos="4680"/>
              </w:tabs>
              <w:suppressAutoHyphens/>
              <w:rPr>
                <w:spacing w:val="-2"/>
              </w:rPr>
            </w:pPr>
          </w:p>
          <w:p w:rsidR="007C5C4E" w:rsidRPr="00314FDE">
            <w:pPr>
              <w:tabs>
                <w:tab w:val="center" w:pos="4680"/>
              </w:tabs>
              <w:suppressAutoHyphens/>
              <w:rPr>
                <w:spacing w:val="-2"/>
              </w:rPr>
            </w:pPr>
          </w:p>
          <w:p w:rsidR="00314FDE" w:rsidRPr="00314FDE" w:rsidP="00314FDE">
            <w:pPr>
              <w:widowControl/>
              <w:rPr>
                <w:snapToGrid/>
                <w:kern w:val="0"/>
                <w:szCs w:val="22"/>
              </w:rPr>
            </w:pPr>
            <w:bookmarkEnd w:id="0"/>
            <w:r>
              <w:rPr>
                <w:szCs w:val="22"/>
              </w:rPr>
              <w:t xml:space="preserve">                          </w:t>
            </w:r>
          </w:p>
          <w:p w:rsidR="00314FDE" w:rsidP="00105057">
            <w:pPr>
              <w:widowControl/>
              <w:autoSpaceDE w:val="0"/>
              <w:autoSpaceDN w:val="0"/>
              <w:adjustRightInd w:val="0"/>
              <w:rPr>
                <w:spacing w:val="-2"/>
              </w:rPr>
            </w:pPr>
          </w:p>
          <w:p w:rsidR="00085E84" w:rsidRPr="00314FDE" w:rsidP="00105057">
            <w:pPr>
              <w:widowControl/>
              <w:autoSpaceDE w:val="0"/>
              <w:autoSpaceDN w:val="0"/>
              <w:adjustRightInd w:val="0"/>
              <w:rPr>
                <w:spacing w:val="-2"/>
              </w:rPr>
            </w:pPr>
          </w:p>
          <w:p w:rsidR="00105057">
            <w:pPr>
              <w:tabs>
                <w:tab w:val="center" w:pos="4680"/>
              </w:tabs>
              <w:suppressAutoHyphens/>
              <w:rPr>
                <w:spacing w:val="-2"/>
              </w:rPr>
            </w:pPr>
          </w:p>
          <w:p w:rsidR="007C5C4E">
            <w:pPr>
              <w:tabs>
                <w:tab w:val="center" w:pos="4680"/>
              </w:tabs>
              <w:suppressAutoHyphens/>
              <w:rPr>
                <w:spacing w:val="-2"/>
              </w:rPr>
            </w:pPr>
          </w:p>
          <w:p w:rsidR="007C5C4E">
            <w:pPr>
              <w:tabs>
                <w:tab w:val="center" w:pos="4680"/>
              </w:tabs>
              <w:suppressAutoHyphens/>
              <w:rPr>
                <w:spacing w:val="-2"/>
              </w:rPr>
            </w:pPr>
            <w:r>
              <w:rPr>
                <w:spacing w:val="-2"/>
              </w:rPr>
              <w:t>File No. BAL-20171026ABS</w:t>
            </w:r>
          </w:p>
          <w:p w:rsidR="007C5C4E">
            <w:pPr>
              <w:tabs>
                <w:tab w:val="center" w:pos="4680"/>
              </w:tabs>
              <w:suppressAutoHyphens/>
              <w:rPr>
                <w:spacing w:val="-2"/>
              </w:rPr>
            </w:pPr>
            <w:r>
              <w:rPr>
                <w:spacing w:val="-2"/>
              </w:rPr>
              <w:t>Facility ID No. 37689</w:t>
            </w:r>
          </w:p>
          <w:p w:rsidR="007C5C4E">
            <w:pPr>
              <w:tabs>
                <w:tab w:val="center" w:pos="4680"/>
              </w:tabs>
              <w:suppressAutoHyphens/>
              <w:rPr>
                <w:spacing w:val="-2"/>
              </w:rPr>
            </w:pPr>
          </w:p>
          <w:p w:rsidR="007C5C4E">
            <w:pPr>
              <w:tabs>
                <w:tab w:val="center" w:pos="4680"/>
              </w:tabs>
              <w:suppressAutoHyphens/>
              <w:rPr>
                <w:spacing w:val="-2"/>
              </w:rPr>
            </w:pPr>
          </w:p>
          <w:p w:rsidR="007C5C4E">
            <w:pPr>
              <w:tabs>
                <w:tab w:val="center" w:pos="4680"/>
              </w:tabs>
              <w:suppressAutoHyphens/>
              <w:rPr>
                <w:spacing w:val="-2"/>
              </w:rPr>
            </w:pPr>
            <w:r>
              <w:rPr>
                <w:spacing w:val="-2"/>
              </w:rPr>
              <w:t>File No. BALCDT-20171101ACJ</w:t>
            </w:r>
          </w:p>
          <w:p w:rsidR="007C5C4E" w:rsidRPr="00314FDE">
            <w:pPr>
              <w:tabs>
                <w:tab w:val="center" w:pos="4680"/>
              </w:tabs>
              <w:suppressAutoHyphens/>
              <w:rPr>
                <w:spacing w:val="-2"/>
              </w:rPr>
            </w:pPr>
            <w:r>
              <w:rPr>
                <w:spacing w:val="-2"/>
              </w:rPr>
              <w:t>Facility ID No. 49153</w:t>
            </w:r>
          </w:p>
        </w:tc>
      </w:tr>
      <w:tr>
        <w:tblPrEx>
          <w:tblW w:w="0" w:type="auto"/>
          <w:tblLayout w:type="fixed"/>
          <w:tblLook w:val="0000"/>
        </w:tblPrEx>
        <w:tc>
          <w:tcPr>
            <w:tcW w:w="4698" w:type="dxa"/>
          </w:tcPr>
          <w:p w:rsidR="00314FDE">
            <w:pPr>
              <w:tabs>
                <w:tab w:val="center" w:pos="4680"/>
              </w:tabs>
              <w:suppressAutoHyphens/>
              <w:rPr>
                <w:spacing w:val="-2"/>
              </w:rPr>
            </w:pPr>
            <w:bookmarkStart w:id="1" w:name="_GoBack"/>
            <w:bookmarkEnd w:id="1"/>
          </w:p>
        </w:tc>
        <w:tc>
          <w:tcPr>
            <w:tcW w:w="630" w:type="dxa"/>
          </w:tcPr>
          <w:p w:rsidR="00314FDE" w:rsidRPr="00105057">
            <w:pPr>
              <w:tabs>
                <w:tab w:val="center" w:pos="4680"/>
              </w:tabs>
              <w:suppressAutoHyphens/>
              <w:rPr>
                <w:spacing w:val="-2"/>
              </w:rPr>
            </w:pPr>
          </w:p>
        </w:tc>
        <w:tc>
          <w:tcPr>
            <w:tcW w:w="4248" w:type="dxa"/>
          </w:tcPr>
          <w:p w:rsidR="00314FDE">
            <w:pPr>
              <w:tabs>
                <w:tab w:val="center" w:pos="4680"/>
              </w:tabs>
              <w:suppressAutoHyphens/>
              <w:rPr>
                <w:spacing w:val="-2"/>
              </w:rPr>
            </w:pPr>
          </w:p>
        </w:tc>
      </w:tr>
    </w:tbl>
    <w:p w:rsidR="004C2EE3" w:rsidP="0070224F"/>
    <w:p w:rsidR="00841AB1" w:rsidP="00F021FA">
      <w:pPr>
        <w:pStyle w:val="StyleBoldCentered"/>
      </w:pPr>
      <w:r>
        <w:t>Memorandum opinion and order</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2650B3">
        <w:rPr>
          <w:b/>
          <w:spacing w:val="-2"/>
        </w:rPr>
        <w:t>September 18</w:t>
      </w:r>
      <w:r w:rsidR="00F55CEC">
        <w:rPr>
          <w:b/>
          <w:spacing w:val="-2"/>
        </w:rPr>
        <w:t>, 2018</w:t>
      </w:r>
      <w:r w:rsidR="00DB2D18">
        <w:rPr>
          <w:b/>
          <w:spacing w:val="-2"/>
        </w:rPr>
        <w:tab/>
      </w:r>
      <w:r w:rsidR="00F44CE8">
        <w:rPr>
          <w:b/>
          <w:spacing w:val="-2"/>
        </w:rPr>
        <w:t>Released</w:t>
      </w:r>
      <w:r>
        <w:rPr>
          <w:b/>
          <w:spacing w:val="-2"/>
        </w:rPr>
        <w:t>:</w:t>
      </w:r>
      <w:r w:rsidR="00822CE0">
        <w:rPr>
          <w:b/>
          <w:spacing w:val="-2"/>
        </w:rPr>
        <w:t xml:space="preserve"> </w:t>
      </w:r>
      <w:r>
        <w:rPr>
          <w:b/>
          <w:spacing w:val="-2"/>
        </w:rPr>
        <w:t xml:space="preserve"> </w:t>
      </w:r>
      <w:r w:rsidR="002650B3">
        <w:rPr>
          <w:b/>
          <w:spacing w:val="-2"/>
        </w:rPr>
        <w:t>September 18</w:t>
      </w:r>
      <w:r w:rsidR="0043470F">
        <w:rPr>
          <w:b/>
          <w:spacing w:val="-2"/>
        </w:rPr>
        <w:t>, 201</w:t>
      </w:r>
      <w:r w:rsidR="00F55CEC">
        <w:rPr>
          <w:b/>
          <w:spacing w:val="-2"/>
        </w:rPr>
        <w:t>8</w:t>
      </w:r>
    </w:p>
    <w:p w:rsidR="00822CE0"/>
    <w:p w:rsidR="004C2EE3">
      <w:pPr>
        <w:rPr>
          <w:spacing w:val="-2"/>
        </w:rPr>
      </w:pPr>
      <w:r>
        <w:t xml:space="preserve">By </w:t>
      </w:r>
      <w:r w:rsidR="004E4A22">
        <w:t>the</w:t>
      </w:r>
      <w:r w:rsidR="002A2D2E">
        <w:t xml:space="preserve"> </w:t>
      </w:r>
      <w:r w:rsidR="003F47A5">
        <w:t xml:space="preserve">Chief, Video Division, </w:t>
      </w:r>
      <w:r w:rsidR="00105057">
        <w:t>Media Bureau</w:t>
      </w:r>
      <w:r>
        <w:rPr>
          <w:spacing w:val="-2"/>
        </w:rPr>
        <w:t>:</w:t>
      </w:r>
    </w:p>
    <w:p w:rsidR="00412FC5" w:rsidP="00412FC5"/>
    <w:p w:rsidR="00B87078" w:rsidP="00A25603">
      <w:pPr>
        <w:pStyle w:val="ParaNum"/>
        <w:tabs>
          <w:tab w:val="clear" w:pos="1080"/>
          <w:tab w:val="num" w:pos="1440"/>
        </w:tabs>
      </w:pPr>
      <w:r>
        <w:t>The Video Division</w:t>
      </w:r>
      <w:r w:rsidR="002705D0">
        <w:t xml:space="preserve"> (</w:t>
      </w:r>
      <w:r>
        <w:t>Division</w:t>
      </w:r>
      <w:r w:rsidR="00114231">
        <w:t>) has before</w:t>
      </w:r>
      <w:r>
        <w:t xml:space="preserve"> it</w:t>
      </w:r>
      <w:r w:rsidR="00114231">
        <w:t xml:space="preserve"> </w:t>
      </w:r>
      <w:r w:rsidR="00B67420">
        <w:t xml:space="preserve">the above-captioned </w:t>
      </w:r>
      <w:r w:rsidR="002705D0">
        <w:t>application</w:t>
      </w:r>
      <w:r w:rsidR="00085E84">
        <w:t>s</w:t>
      </w:r>
      <w:r w:rsidR="002705D0">
        <w:t xml:space="preserve"> for consent to assign the license</w:t>
      </w:r>
      <w:r w:rsidR="00FD2154">
        <w:t>s</w:t>
      </w:r>
      <w:r w:rsidR="00A74C58">
        <w:t xml:space="preserve"> </w:t>
      </w:r>
      <w:r w:rsidR="002705D0">
        <w:t xml:space="preserve">of </w:t>
      </w:r>
      <w:r>
        <w:t>station</w:t>
      </w:r>
      <w:r w:rsidR="002625E7">
        <w:t>s</w:t>
      </w:r>
      <w:r w:rsidR="00CF0B5C">
        <w:t xml:space="preserve"> KAXT-CD, San Francisco-San Jose</w:t>
      </w:r>
      <w:r w:rsidR="00E474DB">
        <w:t>, California</w:t>
      </w:r>
      <w:r w:rsidR="00B67420">
        <w:t>,</w:t>
      </w:r>
      <w:r>
        <w:t xml:space="preserve"> </w:t>
      </w:r>
      <w:r w:rsidR="002625E7">
        <w:t xml:space="preserve">and KTLN-TV, Novato, CA </w:t>
      </w:r>
      <w:r>
        <w:t>(</w:t>
      </w:r>
      <w:r w:rsidR="00034E34">
        <w:t xml:space="preserve">collectively, </w:t>
      </w:r>
      <w:r>
        <w:t>Station</w:t>
      </w:r>
      <w:r w:rsidR="00034E34">
        <w:t>s</w:t>
      </w:r>
      <w:r>
        <w:t xml:space="preserve">), from </w:t>
      </w:r>
      <w:r w:rsidR="00CF0B5C">
        <w:t>OTA Broadcasting (SFO), LLC</w:t>
      </w:r>
      <w:r>
        <w:t xml:space="preserve"> (</w:t>
      </w:r>
      <w:r w:rsidR="00CF0B5C">
        <w:t>OTA</w:t>
      </w:r>
      <w:r>
        <w:t xml:space="preserve">) to </w:t>
      </w:r>
      <w:r w:rsidR="00CF0B5C">
        <w:t xml:space="preserve">TV-49, Inc. </w:t>
      </w:r>
      <w:r w:rsidR="004A607E">
        <w:t xml:space="preserve">(TV-49) </w:t>
      </w:r>
      <w:r>
        <w:t>(</w:t>
      </w:r>
      <w:r w:rsidR="00FD2154">
        <w:t xml:space="preserve">collectively, the </w:t>
      </w:r>
      <w:r w:rsidR="001A6B70">
        <w:t>Application</w:t>
      </w:r>
      <w:r w:rsidR="00085E84">
        <w:t>s</w:t>
      </w:r>
      <w:r w:rsidR="001A6B70">
        <w:t>)</w:t>
      </w:r>
      <w:r>
        <w:t xml:space="preserve">.  </w:t>
      </w:r>
      <w:r w:rsidR="00AF0A74">
        <w:t xml:space="preserve">Nalini, Rishi, and Ravi </w:t>
      </w:r>
      <w:r w:rsidR="00AF0A74">
        <w:t>Kapur</w:t>
      </w:r>
      <w:r w:rsidR="00AF0A74">
        <w:t xml:space="preserve"> (collectively, the </w:t>
      </w:r>
      <w:r w:rsidR="00AF0A74">
        <w:t>Kapurs</w:t>
      </w:r>
      <w:r w:rsidR="00AF0A74">
        <w:t>)</w:t>
      </w:r>
      <w:r w:rsidR="002625E7">
        <w:t xml:space="preserve"> </w:t>
      </w:r>
      <w:r w:rsidR="00F44CE8">
        <w:t xml:space="preserve">have </w:t>
      </w:r>
      <w:r w:rsidR="002625E7">
        <w:t xml:space="preserve">filed </w:t>
      </w:r>
      <w:r w:rsidR="007B4F2D">
        <w:t xml:space="preserve">a </w:t>
      </w:r>
      <w:r w:rsidR="00AB30CE">
        <w:t>P</w:t>
      </w:r>
      <w:r w:rsidR="007B4F2D">
        <w:t xml:space="preserve">etition to </w:t>
      </w:r>
      <w:r w:rsidR="00AB30CE">
        <w:t>D</w:t>
      </w:r>
      <w:r w:rsidR="007B4F2D">
        <w:t xml:space="preserve">eny the KAXT application, </w:t>
      </w:r>
      <w:r w:rsidR="00AB30CE">
        <w:t xml:space="preserve">which we will treat as an informal objection, </w:t>
      </w:r>
      <w:r w:rsidR="007B4F2D">
        <w:t xml:space="preserve">as well as </w:t>
      </w:r>
      <w:r w:rsidR="002625E7">
        <w:t xml:space="preserve">an </w:t>
      </w:r>
      <w:r w:rsidR="00E2117C">
        <w:t>I</w:t>
      </w:r>
      <w:r w:rsidR="002625E7">
        <w:t xml:space="preserve">nformal </w:t>
      </w:r>
      <w:r w:rsidR="00E2117C">
        <w:t>O</w:t>
      </w:r>
      <w:r w:rsidR="002625E7">
        <w:t xml:space="preserve">bjection </w:t>
      </w:r>
      <w:r w:rsidR="00F5433B">
        <w:t>to the KTLN application</w:t>
      </w:r>
      <w:r w:rsidR="001D34E1">
        <w:t xml:space="preserve"> (Objection</w:t>
      </w:r>
      <w:r w:rsidR="002625E7">
        <w:t>s</w:t>
      </w:r>
      <w:r w:rsidR="001D34E1">
        <w:t>)</w:t>
      </w:r>
      <w:r w:rsidR="00B447CF">
        <w:t>.</w:t>
      </w:r>
      <w:r>
        <w:rPr>
          <w:rStyle w:val="FootnoteReference"/>
        </w:rPr>
        <w:footnoteReference w:id="3"/>
      </w:r>
      <w:r w:rsidR="00F44CE8">
        <w:t xml:space="preserve"> </w:t>
      </w:r>
      <w:r w:rsidR="0068723C">
        <w:t xml:space="preserve"> </w:t>
      </w:r>
      <w:r w:rsidR="0044498F">
        <w:t xml:space="preserve">The </w:t>
      </w:r>
      <w:r w:rsidR="0044498F">
        <w:t>Kapurs</w:t>
      </w:r>
      <w:r w:rsidR="0044498F">
        <w:t xml:space="preserve"> requested that</w:t>
      </w:r>
      <w:r>
        <w:t xml:space="preserve"> the Division</w:t>
      </w:r>
      <w:r w:rsidR="00CD5882">
        <w:t xml:space="preserve"> </w:t>
      </w:r>
      <w:r w:rsidR="002705D0">
        <w:t>d</w:t>
      </w:r>
      <w:r w:rsidR="00BE64C4">
        <w:t>eny</w:t>
      </w:r>
      <w:r w:rsidR="00F5433B">
        <w:t xml:space="preserve"> the </w:t>
      </w:r>
      <w:r w:rsidR="003C434F">
        <w:t>Application</w:t>
      </w:r>
      <w:r w:rsidR="002625E7">
        <w:t>s</w:t>
      </w:r>
      <w:r w:rsidR="00AF0A74">
        <w:t xml:space="preserve"> on the basis that</w:t>
      </w:r>
      <w:r w:rsidR="00F44CE8">
        <w:t xml:space="preserve"> the A</w:t>
      </w:r>
      <w:r w:rsidR="00AB30CE">
        <w:t>pplications “raise a number of basic qualifying issues</w:t>
      </w:r>
      <w:r w:rsidR="000A154A">
        <w:t>.</w:t>
      </w:r>
      <w:r w:rsidR="00AB30CE">
        <w:t>”</w:t>
      </w:r>
      <w:r>
        <w:rPr>
          <w:rStyle w:val="FootnoteReference"/>
        </w:rPr>
        <w:footnoteReference w:id="4"/>
      </w:r>
      <w:r w:rsidR="00512A4A">
        <w:t xml:space="preserve"> </w:t>
      </w:r>
      <w:r w:rsidR="000138B8">
        <w:t xml:space="preserve"> </w:t>
      </w:r>
      <w:r w:rsidR="00A74C58">
        <w:t xml:space="preserve">For the reasons below, we </w:t>
      </w:r>
      <w:r w:rsidR="00903647">
        <w:t>d</w:t>
      </w:r>
      <w:r w:rsidR="00AB30CE">
        <w:t>eny</w:t>
      </w:r>
      <w:r w:rsidR="00AF0A74">
        <w:t xml:space="preserve"> the </w:t>
      </w:r>
      <w:r w:rsidR="0044498F">
        <w:t>Objection</w:t>
      </w:r>
      <w:r w:rsidR="002625E7">
        <w:t>s</w:t>
      </w:r>
      <w:r w:rsidR="00AF0A74">
        <w:t xml:space="preserve"> </w:t>
      </w:r>
      <w:r w:rsidR="0068723C">
        <w:t>and grant the A</w:t>
      </w:r>
      <w:r w:rsidR="000A154A">
        <w:t>pplication</w:t>
      </w:r>
      <w:r w:rsidR="002625E7">
        <w:t>s</w:t>
      </w:r>
      <w:r w:rsidR="00A74C58">
        <w:t>.</w:t>
      </w:r>
    </w:p>
    <w:p w:rsidR="00975A1E" w:rsidP="00975A1E">
      <w:pPr>
        <w:pStyle w:val="Heading1"/>
      </w:pPr>
      <w:r>
        <w:t>BACKGROUND</w:t>
      </w:r>
      <w:bookmarkStart w:id="2" w:name="_Hlk501539640"/>
    </w:p>
    <w:p w:rsidR="00C003FD" w:rsidP="00B26714">
      <w:pPr>
        <w:pStyle w:val="ParaNum"/>
      </w:pPr>
      <w:r>
        <w:t>T</w:t>
      </w:r>
      <w:r w:rsidR="00914D65">
        <w:t>he</w:t>
      </w:r>
      <w:r w:rsidR="00E57AD8">
        <w:t xml:space="preserve"> issues </w:t>
      </w:r>
      <w:r w:rsidR="00914D65">
        <w:t xml:space="preserve">raised by the </w:t>
      </w:r>
      <w:r w:rsidR="00914D65">
        <w:t>Kapurs</w:t>
      </w:r>
      <w:r w:rsidR="00914D65">
        <w:t xml:space="preserve"> </w:t>
      </w:r>
      <w:r w:rsidR="00334922">
        <w:t>are largely a rep</w:t>
      </w:r>
      <w:r w:rsidR="00913F67">
        <w:t xml:space="preserve">rise </w:t>
      </w:r>
      <w:r>
        <w:t xml:space="preserve">of an ongoing dispute stemming from </w:t>
      </w:r>
      <w:r w:rsidR="00BC0BEC">
        <w:t>their</w:t>
      </w:r>
      <w:r w:rsidR="00914D65">
        <w:t xml:space="preserve"> challenge to</w:t>
      </w:r>
      <w:r w:rsidR="00E57AD8">
        <w:t xml:space="preserve"> the original assignment of </w:t>
      </w:r>
      <w:r w:rsidR="00B67420">
        <w:t xml:space="preserve">station KAXT-CD’s </w:t>
      </w:r>
      <w:r w:rsidR="00E57AD8">
        <w:t>license from KAXT, LLC</w:t>
      </w:r>
      <w:r w:rsidR="00DD30C7">
        <w:t>,</w:t>
      </w:r>
      <w:r w:rsidR="00E57AD8">
        <w:t xml:space="preserve"> to OTA</w:t>
      </w:r>
      <w:r w:rsidRPr="00573414" w:rsidR="00573414">
        <w:t xml:space="preserve"> in </w:t>
      </w:r>
      <w:r w:rsidRPr="00573414" w:rsidR="00573414">
        <w:t>2013 (</w:t>
      </w:r>
      <w:r w:rsidR="00466EE8">
        <w:t>KAXT</w:t>
      </w:r>
      <w:r w:rsidRPr="00573414" w:rsidR="00573414">
        <w:t xml:space="preserve"> Assignment Application)</w:t>
      </w:r>
      <w:r w:rsidR="00DD30C7">
        <w:t>,</w:t>
      </w:r>
      <w:r w:rsidR="00914D65">
        <w:t xml:space="preserve"> </w:t>
      </w:r>
      <w:r w:rsidR="00B67420">
        <w:t>which was granted in July 2014</w:t>
      </w:r>
      <w:r w:rsidRPr="00573414" w:rsidR="00573414">
        <w:t>.</w:t>
      </w:r>
      <w:r>
        <w:rPr>
          <w:rStyle w:val="FootnoteReference"/>
        </w:rPr>
        <w:footnoteReference w:id="5"/>
      </w:r>
      <w:r w:rsidRPr="00573414" w:rsidR="00573414">
        <w:t xml:space="preserve"> </w:t>
      </w:r>
      <w:r w:rsidR="00DD30C7">
        <w:t xml:space="preserve"> </w:t>
      </w:r>
      <w:r w:rsidR="00B67420">
        <w:t>On</w:t>
      </w:r>
      <w:r>
        <w:t xml:space="preserve"> November 3, 2017, </w:t>
      </w:r>
      <w:r w:rsidR="009712B1">
        <w:t>the Commission</w:t>
      </w:r>
      <w:r>
        <w:t xml:space="preserve"> </w:t>
      </w:r>
      <w:r w:rsidR="00360326">
        <w:t xml:space="preserve">upheld a </w:t>
      </w:r>
      <w:r w:rsidR="009712B1">
        <w:t>staff decision both denying a Petition for Further Reconsideration of the staf</w:t>
      </w:r>
      <w:r w:rsidR="00732D96">
        <w:t>f’s original grant of the KAXT Assignment A</w:t>
      </w:r>
      <w:r w:rsidR="009712B1">
        <w:t xml:space="preserve">pplication and </w:t>
      </w:r>
      <w:r w:rsidR="00453C11">
        <w:t xml:space="preserve">a </w:t>
      </w:r>
      <w:r w:rsidR="009712B1">
        <w:t>Petition for Reconsideration of the staff’s grant of KAXT’s renewa</w:t>
      </w:r>
      <w:r>
        <w:t>l</w:t>
      </w:r>
      <w:r w:rsidRPr="00884E1B" w:rsidR="00244C84">
        <w:rPr>
          <w:i/>
        </w:rPr>
        <w:t>.</w:t>
      </w:r>
      <w:r>
        <w:rPr>
          <w:rStyle w:val="FootnoteReference"/>
        </w:rPr>
        <w:footnoteReference w:id="6"/>
      </w:r>
      <w:r w:rsidRPr="00F90E32" w:rsidR="00244C84">
        <w:t xml:space="preserve"> </w:t>
      </w:r>
      <w:r w:rsidR="00244C84">
        <w:t xml:space="preserve"> </w:t>
      </w:r>
      <w:r w:rsidR="009712B1">
        <w:t xml:space="preserve"> </w:t>
      </w:r>
    </w:p>
    <w:p w:rsidR="00411C85" w:rsidP="00AB6187">
      <w:pPr>
        <w:pStyle w:val="ParaNum"/>
      </w:pPr>
      <w:r>
        <w:t xml:space="preserve">The </w:t>
      </w:r>
      <w:r>
        <w:t>Kapurs</w:t>
      </w:r>
      <w:r>
        <w:t xml:space="preserve"> </w:t>
      </w:r>
      <w:r w:rsidR="00453C11">
        <w:t>re-assert arguments made below</w:t>
      </w:r>
      <w:r w:rsidR="00AB6187">
        <w:t>:</w:t>
      </w:r>
      <w:r w:rsidR="001C4024">
        <w:t xml:space="preserve"> </w:t>
      </w:r>
      <w:r w:rsidR="00213441">
        <w:t>that OTA</w:t>
      </w:r>
      <w:r w:rsidR="001C4024">
        <w:t xml:space="preserve"> threatened to “saddle the </w:t>
      </w:r>
      <w:r w:rsidR="001C4024">
        <w:t>K</w:t>
      </w:r>
      <w:r w:rsidR="00213441">
        <w:t>apurs</w:t>
      </w:r>
      <w:r w:rsidR="00213441">
        <w:t xml:space="preserve"> with crippling litigation</w:t>
      </w:r>
      <w:r w:rsidR="001C4024">
        <w:t>”</w:t>
      </w:r>
      <w:r w:rsidR="006C42E7">
        <w:t xml:space="preserve"> </w:t>
      </w:r>
      <w:r w:rsidR="002A4F25">
        <w:t>in a letter from OTA’s counsel (OTA Counsel Letter)</w:t>
      </w:r>
      <w:r w:rsidR="00017861">
        <w:t>;</w:t>
      </w:r>
      <w:r>
        <w:rPr>
          <w:rStyle w:val="FootnoteReference"/>
        </w:rPr>
        <w:footnoteReference w:id="7"/>
      </w:r>
      <w:r w:rsidR="00017861">
        <w:t xml:space="preserve"> </w:t>
      </w:r>
      <w:r w:rsidR="001B4031">
        <w:t xml:space="preserve">that </w:t>
      </w:r>
      <w:r w:rsidR="008555C5">
        <w:t xml:space="preserve">OTA </w:t>
      </w:r>
      <w:r w:rsidR="00017861">
        <w:t xml:space="preserve">has </w:t>
      </w:r>
      <w:r w:rsidR="00BB195E">
        <w:t>contin</w:t>
      </w:r>
      <w:r w:rsidR="00017861">
        <w:t>ued to omit</w:t>
      </w:r>
      <w:r w:rsidR="00BB195E">
        <w:t xml:space="preserve"> </w:t>
      </w:r>
      <w:r w:rsidR="001850F3">
        <w:t xml:space="preserve">pending </w:t>
      </w:r>
      <w:r w:rsidR="00BB195E">
        <w:t xml:space="preserve">character allegations </w:t>
      </w:r>
      <w:r w:rsidR="001850F3">
        <w:t>in its applications even</w:t>
      </w:r>
      <w:r w:rsidR="00BB195E">
        <w:t xml:space="preserve"> </w:t>
      </w:r>
      <w:r w:rsidR="008555C5">
        <w:t>after a March 2015 adm</w:t>
      </w:r>
      <w:r w:rsidR="00790C15">
        <w:t>onishment</w:t>
      </w:r>
      <w:r w:rsidR="000E0E59">
        <w:t xml:space="preserve"> </w:t>
      </w:r>
      <w:r w:rsidR="00732D96">
        <w:t>by</w:t>
      </w:r>
      <w:r w:rsidR="00BB195E">
        <w:t xml:space="preserve"> staff</w:t>
      </w:r>
      <w:r w:rsidR="00017861">
        <w:t>;</w:t>
      </w:r>
      <w:r>
        <w:rPr>
          <w:rStyle w:val="FootnoteReference"/>
        </w:rPr>
        <w:footnoteReference w:id="8"/>
      </w:r>
      <w:r w:rsidR="00BC0BEC">
        <w:t xml:space="preserve"> </w:t>
      </w:r>
      <w:r w:rsidR="000E0E59">
        <w:t xml:space="preserve"> </w:t>
      </w:r>
      <w:r w:rsidR="002A4F25">
        <w:t xml:space="preserve">that </w:t>
      </w:r>
      <w:r w:rsidR="000E0E59">
        <w:t xml:space="preserve">OTA actively collaborated with </w:t>
      </w:r>
      <w:r w:rsidR="00017861">
        <w:t xml:space="preserve">the </w:t>
      </w:r>
      <w:r w:rsidR="00275F61">
        <w:t xml:space="preserve">controlling </w:t>
      </w:r>
      <w:r w:rsidR="00017861">
        <w:t xml:space="preserve">members </w:t>
      </w:r>
      <w:r w:rsidR="00D93599">
        <w:t>of  KAXT, LLC</w:t>
      </w:r>
      <w:r w:rsidR="0087787F">
        <w:t xml:space="preserve">, </w:t>
      </w:r>
      <w:r w:rsidR="000E0E59">
        <w:t xml:space="preserve">against the </w:t>
      </w:r>
      <w:r w:rsidR="000E0E59">
        <w:t>Kapurs</w:t>
      </w:r>
      <w:r w:rsidR="000E0E59">
        <w:t xml:space="preserve"> during arbitration</w:t>
      </w:r>
      <w:r w:rsidR="00017861">
        <w:t xml:space="preserve"> of a contractual dispute</w:t>
      </w:r>
      <w:r w:rsidR="0087787F">
        <w:t>;</w:t>
      </w:r>
      <w:r>
        <w:rPr>
          <w:rStyle w:val="FootnoteReference"/>
        </w:rPr>
        <w:footnoteReference w:id="9"/>
      </w:r>
      <w:r w:rsidR="00790C15">
        <w:t xml:space="preserve"> </w:t>
      </w:r>
      <w:r w:rsidR="0087787F">
        <w:t xml:space="preserve">that </w:t>
      </w:r>
      <w:r w:rsidR="001C4024">
        <w:t xml:space="preserve">OTA </w:t>
      </w:r>
      <w:r w:rsidR="0087787F">
        <w:t xml:space="preserve">misrepresented </w:t>
      </w:r>
      <w:r w:rsidR="001C4024">
        <w:t xml:space="preserve">to the Commission </w:t>
      </w:r>
      <w:r w:rsidR="002523B9">
        <w:t>by</w:t>
      </w:r>
      <w:r w:rsidR="001C4024">
        <w:t xml:space="preserve"> </w:t>
      </w:r>
      <w:r w:rsidR="006C42E7">
        <w:t>not</w:t>
      </w:r>
      <w:r w:rsidR="001C4024">
        <w:t xml:space="preserve"> certify</w:t>
      </w:r>
      <w:r w:rsidR="006C42E7">
        <w:t>ing</w:t>
      </w:r>
      <w:r w:rsidR="001C4024">
        <w:t xml:space="preserve"> “Yes” as to whether a felon is a party to the assignor’s</w:t>
      </w:r>
      <w:r w:rsidR="00C6072B">
        <w:t xml:space="preserve"> portion of the Application</w:t>
      </w:r>
      <w:r w:rsidR="0087787F">
        <w:t>;</w:t>
      </w:r>
      <w:r>
        <w:rPr>
          <w:rStyle w:val="FootnoteReference"/>
        </w:rPr>
        <w:footnoteReference w:id="10"/>
      </w:r>
      <w:r w:rsidR="001C4024">
        <w:t xml:space="preserve"> </w:t>
      </w:r>
      <w:r w:rsidR="000476DD">
        <w:t xml:space="preserve">and </w:t>
      </w:r>
      <w:r w:rsidR="0087787F">
        <w:t xml:space="preserve">that </w:t>
      </w:r>
      <w:r w:rsidR="000E0E59">
        <w:t>Lawyer</w:t>
      </w:r>
      <w:r w:rsidR="00732D96">
        <w:t>, the alleged felon,</w:t>
      </w:r>
      <w:r w:rsidR="001C4024">
        <w:t xml:space="preserve"> was not properly insulated.</w:t>
      </w:r>
      <w:r>
        <w:rPr>
          <w:rStyle w:val="FootnoteReference"/>
        </w:rPr>
        <w:footnoteReference w:id="11"/>
      </w:r>
      <w:r w:rsidR="001C4024">
        <w:t xml:space="preserve"> </w:t>
      </w:r>
      <w:r w:rsidR="00790C15">
        <w:t xml:space="preserve"> </w:t>
      </w:r>
    </w:p>
    <w:p w:rsidR="00274E4D" w:rsidP="002F2B88">
      <w:pPr>
        <w:pStyle w:val="ParaNum"/>
      </w:pPr>
      <w:r w:rsidRPr="00411C85">
        <w:t xml:space="preserve">On January 18, 2017, the Media Bureau entered into a </w:t>
      </w:r>
      <w:r w:rsidR="00884E1B">
        <w:t>c</w:t>
      </w:r>
      <w:r w:rsidRPr="00411C85">
        <w:t xml:space="preserve">onsent </w:t>
      </w:r>
      <w:r w:rsidR="00884E1B">
        <w:t>d</w:t>
      </w:r>
      <w:r w:rsidRPr="00411C85">
        <w:t>ecree with OTA to resolve an investigation into OTA’s political file practi</w:t>
      </w:r>
      <w:r w:rsidR="00CF550F">
        <w:t>ces</w:t>
      </w:r>
      <w:r w:rsidRPr="00411C85">
        <w:t>.</w:t>
      </w:r>
      <w:r>
        <w:rPr>
          <w:rStyle w:val="FootnoteReference"/>
        </w:rPr>
        <w:footnoteReference w:id="12"/>
      </w:r>
      <w:r w:rsidRPr="00411C85">
        <w:t xml:space="preserve"> </w:t>
      </w:r>
      <w:r>
        <w:t xml:space="preserve"> </w:t>
      </w:r>
      <w:r w:rsidR="005653F5">
        <w:t xml:space="preserve">The </w:t>
      </w:r>
      <w:r w:rsidR="005653F5">
        <w:t>Kapurs</w:t>
      </w:r>
      <w:r w:rsidR="00275F61">
        <w:t xml:space="preserve"> argue that the Media Bureau in issuing the </w:t>
      </w:r>
      <w:r w:rsidRPr="00D33D5E" w:rsidR="00AB30CE">
        <w:rPr>
          <w:i/>
        </w:rPr>
        <w:t xml:space="preserve">2017 </w:t>
      </w:r>
      <w:r w:rsidRPr="00D33D5E" w:rsidR="00275F61">
        <w:rPr>
          <w:i/>
        </w:rPr>
        <w:t>Consent Decree</w:t>
      </w:r>
      <w:r w:rsidR="00275F61">
        <w:t xml:space="preserve"> did not consider certain</w:t>
      </w:r>
      <w:r w:rsidR="002F2B88">
        <w:t xml:space="preserve"> </w:t>
      </w:r>
      <w:r w:rsidR="00E57AD8">
        <w:t>missing</w:t>
      </w:r>
      <w:r w:rsidR="001C4024">
        <w:t xml:space="preserve"> documentation pertaining to political broadcasting aired </w:t>
      </w:r>
      <w:r w:rsidR="00F9683F">
        <w:t>prior</w:t>
      </w:r>
      <w:r w:rsidR="001C4024">
        <w:t xml:space="preserve"> to the elections in 2016.</w:t>
      </w:r>
      <w:r>
        <w:rPr>
          <w:rStyle w:val="FootnoteReference"/>
        </w:rPr>
        <w:footnoteReference w:id="13"/>
      </w:r>
      <w:r w:rsidR="002B1727">
        <w:t xml:space="preserve"> </w:t>
      </w:r>
      <w:r w:rsidR="00BC0BEC">
        <w:t xml:space="preserve"> </w:t>
      </w:r>
      <w:r w:rsidR="002B1727">
        <w:t xml:space="preserve">Specifically, the </w:t>
      </w:r>
      <w:r w:rsidR="002B1727">
        <w:t>Kapurs</w:t>
      </w:r>
      <w:r w:rsidR="002B1727">
        <w:t xml:space="preserve"> </w:t>
      </w:r>
      <w:r w:rsidR="00BB195E">
        <w:t>identified</w:t>
      </w:r>
      <w:r w:rsidR="002B1727">
        <w:t xml:space="preserve"> examples of political ca</w:t>
      </w:r>
      <w:r w:rsidR="00DF3B0B">
        <w:t>ndidate and issue advertisement</w:t>
      </w:r>
      <w:r w:rsidR="008E34CC">
        <w:t>s</w:t>
      </w:r>
      <w:r w:rsidR="00884E1B">
        <w:t xml:space="preserve"> </w:t>
      </w:r>
      <w:r w:rsidR="00DF3B0B">
        <w:t xml:space="preserve">aired by the </w:t>
      </w:r>
      <w:r w:rsidR="001850F3">
        <w:t>KAXT</w:t>
      </w:r>
      <w:r w:rsidR="00DF3B0B">
        <w:t xml:space="preserve"> during the same period of time covered by the</w:t>
      </w:r>
      <w:r w:rsidR="001850F3">
        <w:t xml:space="preserve"> </w:t>
      </w:r>
      <w:r w:rsidRPr="00732D96" w:rsidR="001850F3">
        <w:rPr>
          <w:i/>
        </w:rPr>
        <w:t>2017</w:t>
      </w:r>
      <w:r w:rsidRPr="00732D96" w:rsidR="00DF3B0B">
        <w:rPr>
          <w:i/>
        </w:rPr>
        <w:t xml:space="preserve"> </w:t>
      </w:r>
      <w:r w:rsidRPr="00732D96" w:rsidR="002A4F25">
        <w:rPr>
          <w:i/>
        </w:rPr>
        <w:t>Consent Decre</w:t>
      </w:r>
      <w:r w:rsidRPr="00732D96" w:rsidR="001850F3">
        <w:rPr>
          <w:i/>
        </w:rPr>
        <w:t>e</w:t>
      </w:r>
      <w:r>
        <w:rPr>
          <w:rStyle w:val="FootnoteReference"/>
        </w:rPr>
        <w:footnoteReference w:id="14"/>
      </w:r>
      <w:r w:rsidR="00DF3B0B">
        <w:t xml:space="preserve"> that OTA neither disclosed in </w:t>
      </w:r>
      <w:r w:rsidR="00034E34">
        <w:t>KAXT’s</w:t>
      </w:r>
      <w:r w:rsidR="00DF3B0B">
        <w:t xml:space="preserve"> </w:t>
      </w:r>
      <w:r w:rsidR="00BF3479">
        <w:t xml:space="preserve">Political File </w:t>
      </w:r>
      <w:r w:rsidR="00DF3B0B">
        <w:t>nor divulged to the Commissi</w:t>
      </w:r>
      <w:r w:rsidR="001850F3">
        <w:t>on.</w:t>
      </w:r>
      <w:r>
        <w:rPr>
          <w:rStyle w:val="FootnoteReference"/>
        </w:rPr>
        <w:footnoteReference w:id="15"/>
      </w:r>
      <w:r w:rsidR="00E57AD8">
        <w:t xml:space="preserve"> </w:t>
      </w:r>
      <w:r w:rsidR="00BC0BEC">
        <w:t xml:space="preserve"> </w:t>
      </w:r>
      <w:r w:rsidR="00E57AD8">
        <w:t xml:space="preserve">The </w:t>
      </w:r>
      <w:r w:rsidR="00E57AD8">
        <w:t>Kapurs</w:t>
      </w:r>
      <w:r w:rsidR="00E57AD8">
        <w:t xml:space="preserve"> further allege that </w:t>
      </w:r>
      <w:r w:rsidR="00317270">
        <w:t xml:space="preserve">as a result of </w:t>
      </w:r>
      <w:r w:rsidR="00E57AD8">
        <w:t>this new evidence</w:t>
      </w:r>
      <w:r w:rsidR="00317270">
        <w:t xml:space="preserve">, the protections given to OTA </w:t>
      </w:r>
      <w:r w:rsidR="00B55C30">
        <w:t xml:space="preserve">by </w:t>
      </w:r>
      <w:r w:rsidR="00317270">
        <w:t xml:space="preserve">the </w:t>
      </w:r>
      <w:r w:rsidRPr="00884E1B" w:rsidR="00AB30CE">
        <w:rPr>
          <w:i/>
        </w:rPr>
        <w:t xml:space="preserve">2017 </w:t>
      </w:r>
      <w:r w:rsidRPr="00884E1B" w:rsidR="00317270">
        <w:rPr>
          <w:i/>
        </w:rPr>
        <w:t>Consent Decree</w:t>
      </w:r>
      <w:r w:rsidR="00317270">
        <w:t xml:space="preserve"> dissolve and that all of OTA’s admissions therein must be considered by the FCC. </w:t>
      </w:r>
      <w:r w:rsidR="0044377E">
        <w:t xml:space="preserve"> In a s</w:t>
      </w:r>
      <w:r w:rsidR="002F2B88">
        <w:t>upplement to their petition, t</w:t>
      </w:r>
      <w:r w:rsidRPr="002F2B88" w:rsidR="002F2B88">
        <w:t xml:space="preserve">he </w:t>
      </w:r>
      <w:r w:rsidRPr="002F2B88" w:rsidR="002F2B88">
        <w:t>Kapurs</w:t>
      </w:r>
      <w:r w:rsidRPr="002F2B88" w:rsidR="002F2B88">
        <w:t xml:space="preserve"> allege that it took OTA fourteen months to upload a copy of an email in response to </w:t>
      </w:r>
      <w:r w:rsidR="00732D96">
        <w:t>the Political F</w:t>
      </w:r>
      <w:r w:rsidR="00BF3479">
        <w:t>ile</w:t>
      </w:r>
      <w:r w:rsidRPr="002F2B88" w:rsidR="002F2B88">
        <w:t xml:space="preserve"> investigation, and failed to post documents such as the 2016 </w:t>
      </w:r>
      <w:r w:rsidRPr="002F2B88" w:rsidR="002F2B88">
        <w:t>Kalra</w:t>
      </w:r>
      <w:r w:rsidRPr="002F2B88" w:rsidR="002F2B88">
        <w:t xml:space="preserve"> complaint, </w:t>
      </w:r>
      <w:r w:rsidR="0084659A">
        <w:t>i</w:t>
      </w:r>
      <w:r w:rsidRPr="002F2B88" w:rsidR="002F2B88">
        <w:t xml:space="preserve">n the Online Public Inspection File without receiving an exemption from the Commission, </w:t>
      </w:r>
      <w:r w:rsidRPr="002F2B88" w:rsidR="002F2B88">
        <w:t xml:space="preserve">thus </w:t>
      </w:r>
      <w:r w:rsidR="00732D96">
        <w:t xml:space="preserve">allegedly </w:t>
      </w:r>
      <w:r w:rsidRPr="002F2B88" w:rsidR="002F2B88">
        <w:t>violating 47 C.F.R. § 73.3526(e)(10)</w:t>
      </w:r>
      <w:r w:rsidR="002F2B88">
        <w:t>.</w:t>
      </w:r>
      <w:r>
        <w:rPr>
          <w:rStyle w:val="FootnoteReference"/>
        </w:rPr>
        <w:footnoteReference w:id="16"/>
      </w:r>
      <w:r w:rsidR="002F2B88">
        <w:t xml:space="preserve">  </w:t>
      </w:r>
      <w:r w:rsidRPr="002F2B88" w:rsidR="002F2B88">
        <w:t xml:space="preserve">Also, the </w:t>
      </w:r>
      <w:r w:rsidRPr="002F2B88" w:rsidR="002F2B88">
        <w:t>Kapurs</w:t>
      </w:r>
      <w:r w:rsidRPr="002F2B88" w:rsidR="002F2B88">
        <w:t xml:space="preserve"> allege that OTA knew that the parties providing programming on </w:t>
      </w:r>
      <w:r w:rsidR="0084659A">
        <w:t>the s</w:t>
      </w:r>
      <w:r w:rsidRPr="002F2B88" w:rsidR="002F2B88">
        <w:t>tation</w:t>
      </w:r>
      <w:r w:rsidR="0084659A">
        <w:t>’s</w:t>
      </w:r>
      <w:r w:rsidRPr="002F2B88" w:rsidR="002F2B88">
        <w:t xml:space="preserve"> multicast channels could not be relied on to assist OTA with fulfilling its statutory and regulatory political file responsibilities.</w:t>
      </w:r>
      <w:r>
        <w:rPr>
          <w:rStyle w:val="FootnoteReference"/>
        </w:rPr>
        <w:footnoteReference w:id="17"/>
      </w:r>
      <w:r w:rsidR="00E57AD8">
        <w:t xml:space="preserve"> </w:t>
      </w:r>
    </w:p>
    <w:p w:rsidR="00274E4D" w:rsidP="00547C60">
      <w:pPr>
        <w:pStyle w:val="ParaNum"/>
        <w:widowControl/>
        <w:tabs>
          <w:tab w:val="clear" w:pos="1080"/>
          <w:tab w:val="num" w:pos="1440"/>
        </w:tabs>
      </w:pPr>
      <w:r>
        <w:t>OTA dismisses</w:t>
      </w:r>
      <w:r w:rsidR="00123B98">
        <w:t xml:space="preserve"> the </w:t>
      </w:r>
      <w:r w:rsidR="00123B98">
        <w:t>Kapurs</w:t>
      </w:r>
      <w:r w:rsidR="00123B98">
        <w:t xml:space="preserve">’ </w:t>
      </w:r>
      <w:r w:rsidR="006C42E7">
        <w:t>allegations</w:t>
      </w:r>
      <w:r w:rsidR="00123B98">
        <w:t xml:space="preserve"> as another part of the </w:t>
      </w:r>
      <w:r w:rsidR="00123B98">
        <w:t>Kapurs</w:t>
      </w:r>
      <w:r w:rsidR="00B05DF7">
        <w:t>’</w:t>
      </w:r>
      <w:r w:rsidR="00123B98">
        <w:t xml:space="preserve"> “guerilla campaign against OTA” arising from the prior sale of the Station</w:t>
      </w:r>
      <w:r w:rsidR="007D031F">
        <w:t>s</w:t>
      </w:r>
      <w:r w:rsidR="00123B98">
        <w:t xml:space="preserve"> to OTA.</w:t>
      </w:r>
      <w:r>
        <w:rPr>
          <w:rStyle w:val="FootnoteReference"/>
        </w:rPr>
        <w:footnoteReference w:id="18"/>
      </w:r>
      <w:r w:rsidR="00123B98">
        <w:t xml:space="preserve"> </w:t>
      </w:r>
      <w:r w:rsidR="00006F5C">
        <w:t xml:space="preserve"> </w:t>
      </w:r>
      <w:r w:rsidR="00123B98">
        <w:t xml:space="preserve">OTA also asserts that the </w:t>
      </w:r>
      <w:r w:rsidR="00123B98">
        <w:t>Kapurs</w:t>
      </w:r>
      <w:r w:rsidR="00123B98">
        <w:t xml:space="preserve"> are simply repeating allegations that have already been dismissed by the Commission.</w:t>
      </w:r>
      <w:r>
        <w:rPr>
          <w:rStyle w:val="FootnoteReference"/>
        </w:rPr>
        <w:footnoteReference w:id="19"/>
      </w:r>
      <w:r w:rsidR="002F3A80">
        <w:t xml:space="preserve">  </w:t>
      </w:r>
      <w:r w:rsidR="003D0FF9">
        <w:t>Finally</w:t>
      </w:r>
      <w:r w:rsidR="004A6E57">
        <w:t xml:space="preserve">, OTA states that it addressed the </w:t>
      </w:r>
      <w:r w:rsidR="004A6E57">
        <w:t>Kapurs</w:t>
      </w:r>
      <w:r w:rsidR="004A6E57">
        <w:t xml:space="preserve">’ concern regarding the additional potential violation of the </w:t>
      </w:r>
      <w:r w:rsidR="00884E1B">
        <w:t>Political</w:t>
      </w:r>
      <w:r w:rsidR="00BF3479">
        <w:t xml:space="preserve"> File rules in an October 26, 2017, compliance report filed in connection with the </w:t>
      </w:r>
      <w:r w:rsidR="00BF3479">
        <w:rPr>
          <w:i/>
        </w:rPr>
        <w:t>2017 Consent Decree</w:t>
      </w:r>
      <w:r w:rsidR="00BF3479">
        <w:t>.</w:t>
      </w:r>
      <w:r>
        <w:rPr>
          <w:rStyle w:val="FootnoteReference"/>
        </w:rPr>
        <w:footnoteReference w:id="20"/>
      </w:r>
    </w:p>
    <w:p w:rsidR="002F2B88" w:rsidP="00884E1B">
      <w:pPr>
        <w:pStyle w:val="Heading1"/>
      </w:pPr>
      <w:bookmarkEnd w:id="2"/>
      <w:r>
        <w:t>Discussio</w:t>
      </w:r>
      <w:r w:rsidR="00884E1B">
        <w:t>n</w:t>
      </w:r>
    </w:p>
    <w:p w:rsidR="006C2D19" w:rsidRPr="001D34E1" w:rsidP="00B37923">
      <w:pPr>
        <w:pStyle w:val="ParaNum"/>
      </w:pPr>
      <w:r w:rsidRPr="00F32944">
        <w:t>The Commission applies a two-step analysis when evaluating an informal objection under the public interest standard.</w:t>
      </w:r>
      <w:r>
        <w:rPr>
          <w:rStyle w:val="FootnoteReference"/>
          <w:szCs w:val="22"/>
        </w:rPr>
        <w:footnoteReference w:id="21"/>
      </w:r>
      <w:r w:rsidRPr="00F32944">
        <w:t>  First, the Commission must determine whether the informal objection contains specific allegations of fact sufficient to show that granting the application “would be </w:t>
      </w:r>
      <w:r w:rsidRPr="00B37923">
        <w:rPr>
          <w:i/>
          <w:iCs/>
        </w:rPr>
        <w:t>prima facie</w:t>
      </w:r>
      <w:r w:rsidRPr="00F32944">
        <w:t> inconsistent with public interest, convenience, and necessity.”</w:t>
      </w:r>
      <w:r>
        <w:rPr>
          <w:rStyle w:val="FootnoteReference"/>
          <w:szCs w:val="22"/>
        </w:rPr>
        <w:footnoteReference w:id="22"/>
      </w:r>
      <w:r w:rsidRPr="00F32944">
        <w:t xml:space="preserve">  If an objection meets this first step, </w:t>
      </w:r>
      <w:r w:rsidR="00DB6381">
        <w:t>then</w:t>
      </w:r>
      <w:r w:rsidRPr="00F32944">
        <w:t> the Commission must determine “whether the totality of the evidence raises a substantial and material question of fact justifying further inquiry.”</w:t>
      </w:r>
      <w:r>
        <w:rPr>
          <w:rStyle w:val="FootnoteReference"/>
          <w:szCs w:val="22"/>
        </w:rPr>
        <w:footnoteReference w:id="23"/>
      </w:r>
      <w:r>
        <w:t xml:space="preserve"> </w:t>
      </w:r>
      <w:r w:rsidRPr="00F32944">
        <w:t xml:space="preserve"> If no such question is raised, the Commission will deny the objection and proceed to determine whether the grant of the application otherwise serves the public interest, convenience, and necessity.</w:t>
      </w:r>
      <w:r>
        <w:rPr>
          <w:rStyle w:val="FootnoteReference"/>
          <w:szCs w:val="22"/>
        </w:rPr>
        <w:footnoteReference w:id="24"/>
      </w:r>
    </w:p>
    <w:p w:rsidR="0064368A" w:rsidRPr="00431DAA" w:rsidP="00431DAA">
      <w:pPr>
        <w:pStyle w:val="ParaNum"/>
        <w:rPr>
          <w:szCs w:val="22"/>
        </w:rPr>
      </w:pPr>
      <w:r>
        <w:rPr>
          <w:color w:val="212121"/>
          <w:szCs w:val="22"/>
        </w:rPr>
        <w:t xml:space="preserve">As noted above, </w:t>
      </w:r>
      <w:r w:rsidR="00AF766C">
        <w:rPr>
          <w:color w:val="212121"/>
          <w:szCs w:val="22"/>
        </w:rPr>
        <w:t>with the exception of</w:t>
      </w:r>
      <w:r w:rsidR="00AF766C">
        <w:rPr>
          <w:color w:val="212121"/>
          <w:szCs w:val="22"/>
        </w:rPr>
        <w:t xml:space="preserve"> the allegations discussed below, all </w:t>
      </w:r>
      <w:r>
        <w:rPr>
          <w:color w:val="212121"/>
          <w:szCs w:val="22"/>
        </w:rPr>
        <w:t xml:space="preserve">of the allegations raised in the Objections have been raised before the </w:t>
      </w:r>
      <w:r w:rsidR="000F77B1">
        <w:rPr>
          <w:color w:val="212121"/>
          <w:szCs w:val="22"/>
        </w:rPr>
        <w:t>Media Bureau</w:t>
      </w:r>
      <w:r>
        <w:rPr>
          <w:color w:val="212121"/>
          <w:szCs w:val="22"/>
        </w:rPr>
        <w:t xml:space="preserve"> and the Commission and have been rejected</w:t>
      </w:r>
      <w:r w:rsidR="00AC7EFF">
        <w:rPr>
          <w:color w:val="212121"/>
          <w:szCs w:val="22"/>
        </w:rPr>
        <w:t>.  Nothing in the record</w:t>
      </w:r>
      <w:r w:rsidR="006A487C">
        <w:rPr>
          <w:color w:val="212121"/>
          <w:szCs w:val="22"/>
        </w:rPr>
        <w:t xml:space="preserve"> would cause us to alter the conclusions reached by the full </w:t>
      </w:r>
      <w:r w:rsidR="006A487C">
        <w:rPr>
          <w:color w:val="212121"/>
          <w:szCs w:val="22"/>
        </w:rPr>
        <w:t xml:space="preserve">Commission, </w:t>
      </w:r>
      <w:r>
        <w:rPr>
          <w:color w:val="212121"/>
          <w:szCs w:val="22"/>
        </w:rPr>
        <w:t>or</w:t>
      </w:r>
      <w:r>
        <w:rPr>
          <w:color w:val="212121"/>
          <w:szCs w:val="22"/>
        </w:rPr>
        <w:t xml:space="preserve"> would otherwise raise a substantial and material question of fact justifying further inquiry.</w:t>
      </w:r>
      <w:r w:rsidR="00DA1ECF">
        <w:rPr>
          <w:color w:val="212121"/>
          <w:szCs w:val="22"/>
        </w:rPr>
        <w:t xml:space="preserve"> </w:t>
      </w:r>
      <w:r w:rsidR="00DA1ECF">
        <w:rPr>
          <w:szCs w:val="22"/>
        </w:rPr>
        <w:t>T</w:t>
      </w:r>
      <w:r w:rsidRPr="009B0820" w:rsidR="00DA1ECF">
        <w:rPr>
          <w:szCs w:val="22"/>
        </w:rPr>
        <w:t>he Commission also found that OTA did not attempt to conceal the facts</w:t>
      </w:r>
      <w:r w:rsidR="00DA1ECF">
        <w:rPr>
          <w:szCs w:val="22"/>
        </w:rPr>
        <w:t xml:space="preserve"> of Todd Lawyer’s felony</w:t>
      </w:r>
      <w:r w:rsidRPr="009B0820" w:rsidR="00DA1ECF">
        <w:rPr>
          <w:szCs w:val="22"/>
        </w:rPr>
        <w:t xml:space="preserve"> because </w:t>
      </w:r>
      <w:r w:rsidR="00DA1ECF">
        <w:rPr>
          <w:szCs w:val="22"/>
        </w:rPr>
        <w:t>it filed the insulation l</w:t>
      </w:r>
      <w:r w:rsidRPr="009B0820" w:rsidR="00DA1ECF">
        <w:rPr>
          <w:szCs w:val="22"/>
        </w:rPr>
        <w:t>etter</w:t>
      </w:r>
      <w:r w:rsidR="00DA1ECF">
        <w:rPr>
          <w:szCs w:val="22"/>
        </w:rPr>
        <w:t xml:space="preserve"> multiple times</w:t>
      </w:r>
      <w:r w:rsidR="00E95DDA">
        <w:rPr>
          <w:szCs w:val="22"/>
        </w:rPr>
        <w:t>, and</w:t>
      </w:r>
      <w:r w:rsidR="00431DAA">
        <w:rPr>
          <w:szCs w:val="22"/>
        </w:rPr>
        <w:t xml:space="preserve"> that the insulation letter was publicly available </w:t>
      </w:r>
      <w:r w:rsidRPr="00431DAA" w:rsidR="00431DAA">
        <w:rPr>
          <w:szCs w:val="22"/>
        </w:rPr>
        <w:t>in Commission files as early as March 11, 2013, before the petition opposing the original sale of station KAXT</w:t>
      </w:r>
      <w:r w:rsidR="00431DAA">
        <w:rPr>
          <w:szCs w:val="22"/>
        </w:rPr>
        <w:t>-CD</w:t>
      </w:r>
      <w:r w:rsidRPr="00431DAA" w:rsidR="00431DAA">
        <w:rPr>
          <w:szCs w:val="22"/>
        </w:rPr>
        <w:t xml:space="preserve"> to OTA was filed</w:t>
      </w:r>
      <w:r w:rsidRPr="00431DAA" w:rsidR="00431DAA">
        <w:rPr>
          <w:rStyle w:val="FootnoteReference"/>
          <w:sz w:val="22"/>
          <w:szCs w:val="22"/>
          <w:vertAlign w:val="baseline"/>
        </w:rPr>
        <w:t xml:space="preserve"> </w:t>
      </w:r>
      <w:r>
        <w:rPr>
          <w:rStyle w:val="FootnoteReference"/>
          <w:szCs w:val="22"/>
        </w:rPr>
        <w:footnoteReference w:id="25"/>
      </w:r>
      <w:r w:rsidRPr="00431DAA" w:rsidR="00DA1ECF">
        <w:rPr>
          <w:szCs w:val="22"/>
        </w:rPr>
        <w:t xml:space="preserve"> </w:t>
      </w:r>
      <w:r w:rsidRPr="00431DAA" w:rsidR="007F2DF1">
        <w:rPr>
          <w:szCs w:val="22"/>
        </w:rPr>
        <w:t xml:space="preserve"> </w:t>
      </w:r>
      <w:bookmarkStart w:id="3" w:name="_Hlk524440306"/>
      <w:r w:rsidR="00DE5070">
        <w:rPr>
          <w:szCs w:val="22"/>
        </w:rPr>
        <w:t xml:space="preserve">To the extent OTA failed to disclose the conviction in any application, we find no intent to deceive as the </w:t>
      </w:r>
      <w:r w:rsidR="00DE5070">
        <w:rPr>
          <w:szCs w:val="22"/>
        </w:rPr>
        <w:t>Kapurs</w:t>
      </w:r>
      <w:r w:rsidR="00DE5070">
        <w:rPr>
          <w:szCs w:val="22"/>
        </w:rPr>
        <w:t xml:space="preserve"> have acknowledged the insulation letter was publicly available.</w:t>
      </w:r>
      <w:bookmarkEnd w:id="3"/>
      <w:r>
        <w:rPr>
          <w:rStyle w:val="FootnoteReference"/>
          <w:szCs w:val="22"/>
        </w:rPr>
        <w:footnoteReference w:id="26"/>
      </w:r>
      <w:r w:rsidR="00DE5070">
        <w:rPr>
          <w:szCs w:val="22"/>
        </w:rPr>
        <w:t xml:space="preserve">  </w:t>
      </w:r>
      <w:r w:rsidRPr="00431DAA" w:rsidR="00DA1ECF">
        <w:rPr>
          <w:szCs w:val="22"/>
        </w:rPr>
        <w:t>In addition, OTA has claimed that Lawyer no longer works at OTA, making the issue moot.</w:t>
      </w:r>
      <w:r>
        <w:rPr>
          <w:rStyle w:val="FootnoteReference"/>
          <w:sz w:val="22"/>
          <w:szCs w:val="22"/>
        </w:rPr>
        <w:footnoteReference w:id="27"/>
      </w:r>
      <w:r w:rsidRPr="00431DAA" w:rsidR="00DA1ECF">
        <w:rPr>
          <w:szCs w:val="22"/>
        </w:rPr>
        <w:t xml:space="preserve">  </w:t>
      </w:r>
    </w:p>
    <w:p w:rsidR="00DF3B0B" w:rsidP="00237E79">
      <w:pPr>
        <w:pStyle w:val="ParaNum"/>
      </w:pPr>
      <w:r>
        <w:t>The Media Bureau settled all matters related to OTA’s Pol</w:t>
      </w:r>
      <w:r w:rsidR="00902BD0">
        <w:t>i</w:t>
      </w:r>
      <w:r>
        <w:t xml:space="preserve">tical File </w:t>
      </w:r>
      <w:r w:rsidR="00902BD0">
        <w:t xml:space="preserve">practices prior to receipt of the November 2, 2016, Ash </w:t>
      </w:r>
      <w:r w:rsidR="00902BD0">
        <w:t>Kalra</w:t>
      </w:r>
      <w:r w:rsidR="00902BD0">
        <w:t xml:space="preserve"> complaint as part of the </w:t>
      </w:r>
      <w:r w:rsidR="00902BD0">
        <w:rPr>
          <w:i/>
        </w:rPr>
        <w:t>2017 Consent Decree</w:t>
      </w:r>
      <w:r w:rsidRPr="00B37923" w:rsidR="00902BD0">
        <w:t>.</w:t>
      </w:r>
      <w:r>
        <w:rPr>
          <w:rStyle w:val="FootnoteReference"/>
          <w:szCs w:val="22"/>
        </w:rPr>
        <w:footnoteReference w:id="28"/>
      </w:r>
      <w:r w:rsidR="0064368A">
        <w:t xml:space="preserve"> </w:t>
      </w:r>
      <w:r w:rsidR="00902BD0">
        <w:t xml:space="preserve"> </w:t>
      </w:r>
      <w:r w:rsidRPr="00F961A0" w:rsidR="00F961A0">
        <w:rPr>
          <w:szCs w:val="22"/>
        </w:rPr>
        <w:t xml:space="preserve">By its terms, the </w:t>
      </w:r>
      <w:r w:rsidRPr="00F961A0" w:rsidR="00F961A0">
        <w:rPr>
          <w:i/>
          <w:szCs w:val="22"/>
        </w:rPr>
        <w:t>2017 Consent Decree</w:t>
      </w:r>
      <w:r w:rsidRPr="00F961A0" w:rsidR="00F961A0">
        <w:rPr>
          <w:szCs w:val="22"/>
        </w:rPr>
        <w:t xml:space="preserve">, included a settlement of the alleged “new material” violations.  </w:t>
      </w:r>
      <w:r w:rsidR="00902BD0">
        <w:t>T</w:t>
      </w:r>
      <w:r w:rsidRPr="0064368A" w:rsidR="0064368A">
        <w:t xml:space="preserve">he Bureau's determination to resolve these issues pursuant to the terms of the </w:t>
      </w:r>
      <w:r w:rsidRPr="00B37923" w:rsidR="0064368A">
        <w:rPr>
          <w:i/>
        </w:rPr>
        <w:t>2017 Consent Decree</w:t>
      </w:r>
      <w:r w:rsidRPr="0064368A" w:rsidR="0064368A">
        <w:t xml:space="preserve"> amounts to a decision not to pursue an enforcement action that is generally committed to an agency's absolute discretion</w:t>
      </w:r>
      <w:r w:rsidR="00F523FF">
        <w:t>.</w:t>
      </w:r>
      <w:r>
        <w:rPr>
          <w:rStyle w:val="FootnoteReference"/>
          <w:szCs w:val="22"/>
        </w:rPr>
        <w:footnoteReference w:id="29"/>
      </w:r>
      <w:r w:rsidR="00F523FF">
        <w:t xml:space="preserve"> </w:t>
      </w:r>
      <w:r w:rsidR="00A67622">
        <w:t xml:space="preserve"> </w:t>
      </w:r>
      <w:r w:rsidRPr="00237E79" w:rsidR="00237E79">
        <w:t xml:space="preserve">The alleged misconduct cited by the </w:t>
      </w:r>
      <w:r w:rsidRPr="00237E79" w:rsidR="00237E79">
        <w:t>Kapurs</w:t>
      </w:r>
      <w:r w:rsidRPr="00237E79" w:rsidR="00237E79">
        <w:t xml:space="preserve"> took place prior to the adoption and release of the 2017 Consent Decree, and the consent decree therefore captures those purported violations.  </w:t>
      </w:r>
      <w:r w:rsidR="00902BD0">
        <w:t xml:space="preserve">Any </w:t>
      </w:r>
      <w:r w:rsidR="00F523FF">
        <w:t xml:space="preserve">challenge </w:t>
      </w:r>
      <w:r w:rsidR="00902BD0">
        <w:t xml:space="preserve">to the </w:t>
      </w:r>
      <w:r w:rsidRPr="00977195" w:rsidR="00F523FF">
        <w:rPr>
          <w:i/>
        </w:rPr>
        <w:t>2017 Consent Decree</w:t>
      </w:r>
      <w:r w:rsidR="00902BD0">
        <w:rPr>
          <w:i/>
        </w:rPr>
        <w:t xml:space="preserve"> </w:t>
      </w:r>
      <w:r w:rsidR="00221C50">
        <w:t xml:space="preserve">itself in the context of this separate proceeding </w:t>
      </w:r>
      <w:r w:rsidR="00F523FF">
        <w:t>constitute</w:t>
      </w:r>
      <w:r w:rsidR="00221C50">
        <w:t>s</w:t>
      </w:r>
      <w:r w:rsidR="00F523FF">
        <w:t xml:space="preserve"> an impermissible collateral attack.</w:t>
      </w:r>
      <w:r>
        <w:rPr>
          <w:rStyle w:val="FootnoteReference"/>
          <w:szCs w:val="22"/>
        </w:rPr>
        <w:footnoteReference w:id="30"/>
      </w:r>
      <w:r w:rsidR="00F523FF">
        <w:t xml:space="preserve"> </w:t>
      </w:r>
      <w:r w:rsidR="00221C50">
        <w:t xml:space="preserve"> </w:t>
      </w:r>
      <w:r w:rsidR="009356BF">
        <w:t xml:space="preserve">The Bureau has </w:t>
      </w:r>
      <w:r w:rsidR="00221C50">
        <w:t>reviewed the allegation that OTA subsequently committed a separate violation of Section 73</w:t>
      </w:r>
      <w:r w:rsidR="00F961A0">
        <w:t>.</w:t>
      </w:r>
      <w:r w:rsidR="00221C50">
        <w:t>3526(e)(10) of the rules by failing to place in KAXT-CD’s public inspection files certain emails related to the investigation</w:t>
      </w:r>
      <w:r w:rsidR="000A64BB">
        <w:t>,</w:t>
      </w:r>
      <w:r w:rsidR="00221C50">
        <w:t xml:space="preserve"> and do not find that such failure raises a substantial and material question of fact as to character</w:t>
      </w:r>
      <w:r w:rsidR="00DE5070">
        <w:t>.</w:t>
      </w:r>
    </w:p>
    <w:p w:rsidR="00C87BA3" w:rsidRPr="009B0820" w:rsidP="00E6138D">
      <w:pPr>
        <w:pStyle w:val="ParaNum"/>
        <w:widowControl/>
        <w:tabs>
          <w:tab w:val="clear" w:pos="1080"/>
          <w:tab w:val="num" w:pos="1440"/>
        </w:tabs>
      </w:pPr>
      <w:r>
        <w:t xml:space="preserve">After reviewing the record, we </w:t>
      </w:r>
      <w:r w:rsidR="00495191">
        <w:t>find that the Applicants possess</w:t>
      </w:r>
      <w:r>
        <w:t xml:space="preserve"> the necessary quali</w:t>
      </w:r>
      <w:r w:rsidR="00732D96">
        <w:t>fications to hold a Commission l</w:t>
      </w:r>
      <w:r>
        <w:t xml:space="preserve">icense and that the proposed transaction does not violate the Act, the Rules, or Commission policies.  </w:t>
      </w:r>
      <w:r w:rsidRPr="00D84FFB" w:rsidR="003A0740">
        <w:rPr>
          <w:szCs w:val="22"/>
        </w:rPr>
        <w:t>Pursua</w:t>
      </w:r>
      <w:r w:rsidR="00732D96">
        <w:rPr>
          <w:szCs w:val="22"/>
        </w:rPr>
        <w:t>nt to Section 310(d) of the Act</w:t>
      </w:r>
      <w:r w:rsidR="0084659A">
        <w:rPr>
          <w:szCs w:val="22"/>
        </w:rPr>
        <w:t>, w</w:t>
      </w:r>
      <w:r>
        <w:t>e find it in the public interest, convenience, and necessity to grant the application</w:t>
      </w:r>
      <w:r w:rsidR="00A00B50">
        <w:t>s</w:t>
      </w:r>
      <w:r>
        <w:t xml:space="preserve"> for consent to assign the Station</w:t>
      </w:r>
      <w:r w:rsidR="00495191">
        <w:t>s</w:t>
      </w:r>
      <w:r>
        <w:t xml:space="preserve"> from </w:t>
      </w:r>
      <w:r w:rsidRPr="009B0820">
        <w:t xml:space="preserve">the </w:t>
      </w:r>
      <w:r w:rsidRPr="009B0820" w:rsidR="009B0820">
        <w:t>OTA</w:t>
      </w:r>
      <w:r w:rsidRPr="009B0820">
        <w:t xml:space="preserve"> to </w:t>
      </w:r>
      <w:r w:rsidR="00442F3C">
        <w:t>TV</w:t>
      </w:r>
      <w:r w:rsidRPr="009B0820" w:rsidR="009B0820">
        <w:t>-49, Inc</w:t>
      </w:r>
      <w:r w:rsidRPr="009B0820">
        <w:t>.</w:t>
      </w:r>
    </w:p>
    <w:p w:rsidR="0097100D" w:rsidP="0097100D">
      <w:pPr>
        <w:pStyle w:val="Heading1"/>
      </w:pPr>
      <w:r>
        <w:t>Ordering Clause</w:t>
      </w:r>
      <w:r w:rsidR="0054292D">
        <w:t>S</w:t>
      </w:r>
    </w:p>
    <w:p w:rsidR="0097100D" w:rsidP="00381FBF">
      <w:pPr>
        <w:pStyle w:val="ParaNum"/>
        <w:tabs>
          <w:tab w:val="clear" w:pos="1080"/>
          <w:tab w:val="num" w:pos="1440"/>
        </w:tabs>
      </w:pPr>
      <w:r>
        <w:t xml:space="preserve">Accordingly, </w:t>
      </w:r>
      <w:r w:rsidRPr="004F7F73">
        <w:rPr>
          <w:b/>
        </w:rPr>
        <w:t>IT IS ORDERED</w:t>
      </w:r>
      <w:r>
        <w:t xml:space="preserve">, </w:t>
      </w:r>
      <w:r w:rsidR="000222D0">
        <w:t>t</w:t>
      </w:r>
      <w:r w:rsidR="00A56FA3">
        <w:t>hat the Petition to Deny and the Informal Objection</w:t>
      </w:r>
      <w:r>
        <w:t xml:space="preserve"> </w:t>
      </w:r>
      <w:r w:rsidR="001D34E1">
        <w:t>to</w:t>
      </w:r>
      <w:r w:rsidR="004F7F73">
        <w:t xml:space="preserve"> the </w:t>
      </w:r>
      <w:r w:rsidR="00A56FA3">
        <w:t xml:space="preserve">above-captioned </w:t>
      </w:r>
      <w:r w:rsidR="000222D0">
        <w:t>a</w:t>
      </w:r>
      <w:r w:rsidR="004F7F73">
        <w:t>pplication</w:t>
      </w:r>
      <w:r w:rsidR="00F45FF3">
        <w:t>s</w:t>
      </w:r>
      <w:r>
        <w:t xml:space="preserve"> </w:t>
      </w:r>
      <w:r w:rsidR="00F45FF3">
        <w:rPr>
          <w:b/>
        </w:rPr>
        <w:t>ARE</w:t>
      </w:r>
      <w:r w:rsidRPr="004F7F73">
        <w:rPr>
          <w:b/>
        </w:rPr>
        <w:t xml:space="preserve"> DISMISSED</w:t>
      </w:r>
      <w:r w:rsidR="00A56FA3">
        <w:rPr>
          <w:b/>
        </w:rPr>
        <w:t xml:space="preserve"> </w:t>
      </w:r>
      <w:r w:rsidR="00A56FA3">
        <w:t xml:space="preserve">to the extent set forth </w:t>
      </w:r>
      <w:r w:rsidR="000222D0">
        <w:t>above,</w:t>
      </w:r>
      <w:r w:rsidRPr="000222D0" w:rsidR="000222D0">
        <w:t xml:space="preserve"> and</w:t>
      </w:r>
      <w:r w:rsidR="00A56FA3">
        <w:t xml:space="preserve"> </w:t>
      </w:r>
      <w:r w:rsidR="00A56FA3">
        <w:rPr>
          <w:b/>
        </w:rPr>
        <w:t>DENIED</w:t>
      </w:r>
      <w:r w:rsidR="00B312F3">
        <w:rPr>
          <w:b/>
        </w:rPr>
        <w:t xml:space="preserve"> </w:t>
      </w:r>
      <w:r w:rsidR="00B312F3">
        <w:t>in all other respects.</w:t>
      </w:r>
      <w:r w:rsidR="00A56FA3">
        <w:rPr>
          <w:b/>
        </w:rPr>
        <w:t xml:space="preserve"> </w:t>
      </w:r>
    </w:p>
    <w:p w:rsidR="004F7F73" w:rsidP="00381FBF">
      <w:pPr>
        <w:pStyle w:val="ParaNum"/>
        <w:tabs>
          <w:tab w:val="clear" w:pos="1080"/>
          <w:tab w:val="num" w:pos="1440"/>
        </w:tabs>
      </w:pPr>
      <w:r w:rsidRPr="0054292D">
        <w:rPr>
          <w:b/>
        </w:rPr>
        <w:t>IT IS FURTHER ORDERD</w:t>
      </w:r>
      <w:r>
        <w:t xml:space="preserve"> that the application</w:t>
      </w:r>
      <w:r w:rsidR="00A00B50">
        <w:t>s</w:t>
      </w:r>
      <w:r>
        <w:t xml:space="preserve"> </w:t>
      </w:r>
      <w:r w:rsidR="0054292D">
        <w:t xml:space="preserve">for consent </w:t>
      </w:r>
      <w:r>
        <w:t>to assig</w:t>
      </w:r>
      <w:r w:rsidR="00481C2D">
        <w:t>n the license of station KAXT-CD</w:t>
      </w:r>
      <w:r>
        <w:t xml:space="preserve">, </w:t>
      </w:r>
      <w:r w:rsidR="00594AFB">
        <w:rPr>
          <w:spacing w:val="-2"/>
        </w:rPr>
        <w:t xml:space="preserve">San </w:t>
      </w:r>
      <w:r w:rsidR="00481C2D">
        <w:rPr>
          <w:spacing w:val="-2"/>
        </w:rPr>
        <w:t>Francisco-San Jose</w:t>
      </w:r>
      <w:r w:rsidRPr="00105057">
        <w:rPr>
          <w:spacing w:val="-2"/>
        </w:rPr>
        <w:t xml:space="preserve">, </w:t>
      </w:r>
      <w:r w:rsidR="00594AFB">
        <w:rPr>
          <w:spacing w:val="-2"/>
        </w:rPr>
        <w:t>California</w:t>
      </w:r>
      <w:r>
        <w:rPr>
          <w:spacing w:val="-2"/>
        </w:rPr>
        <w:t>, File No</w:t>
      </w:r>
      <w:r w:rsidR="00442F3C">
        <w:rPr>
          <w:spacing w:val="-2"/>
        </w:rPr>
        <w:t>. BAL-</w:t>
      </w:r>
      <w:r w:rsidR="00481C2D">
        <w:rPr>
          <w:spacing w:val="-2"/>
        </w:rPr>
        <w:t>20171026ABS</w:t>
      </w:r>
      <w:r w:rsidR="00A56FA3">
        <w:rPr>
          <w:spacing w:val="-2"/>
        </w:rPr>
        <w:t>,</w:t>
      </w:r>
      <w:r w:rsidR="00495191">
        <w:rPr>
          <w:spacing w:val="-2"/>
        </w:rPr>
        <w:t xml:space="preserve"> and KTLN-TV, Novato, CA, File No. BALCDT-20171101ACJ,</w:t>
      </w:r>
      <w:r>
        <w:rPr>
          <w:spacing w:val="-2"/>
        </w:rPr>
        <w:t xml:space="preserve"> </w:t>
      </w:r>
      <w:r w:rsidR="00F45FF3">
        <w:rPr>
          <w:b/>
          <w:spacing w:val="-2"/>
        </w:rPr>
        <w:t>ARE</w:t>
      </w:r>
      <w:r>
        <w:rPr>
          <w:b/>
          <w:spacing w:val="-2"/>
        </w:rPr>
        <w:t xml:space="preserve"> GRANTED</w:t>
      </w:r>
      <w:r>
        <w:rPr>
          <w:spacing w:val="-2"/>
        </w:rPr>
        <w:t>.</w:t>
      </w:r>
      <w:r w:rsidR="00225452">
        <w:rPr>
          <w:spacing w:val="-2"/>
        </w:rPr>
        <w:t xml:space="preserve"> </w:t>
      </w:r>
    </w:p>
    <w:p w:rsidR="00932D93" w:rsidP="00932D93">
      <w:pPr>
        <w:pStyle w:val="Paranum0"/>
        <w:keepNext/>
        <w:numPr>
          <w:ilvl w:val="0"/>
          <w:numId w:val="0"/>
        </w:numPr>
        <w:tabs>
          <w:tab w:val="clear" w:pos="1440"/>
        </w:tabs>
        <w:spacing w:after="220"/>
        <w:ind w:left="720"/>
        <w:rPr>
          <w:szCs w:val="22"/>
        </w:rPr>
      </w:pPr>
    </w:p>
    <w:p w:rsidR="00932D93" w:rsidP="00932D93">
      <w:pPr>
        <w:keepNext/>
        <w:tabs>
          <w:tab w:val="left" w:pos="0"/>
        </w:tabs>
        <w:suppressAutoHyphens/>
        <w:spacing w:line="240" w:lineRule="atLeast"/>
        <w:jc w:val="both"/>
        <w:rPr>
          <w:spacing w:val="-2"/>
          <w:szCs w:val="22"/>
        </w:rPr>
      </w:pPr>
      <w:r>
        <w:rPr>
          <w:szCs w:val="22"/>
        </w:rPr>
        <w:tab/>
      </w:r>
      <w:r>
        <w:rPr>
          <w:szCs w:val="22"/>
        </w:rPr>
        <w:tab/>
      </w:r>
      <w:r>
        <w:rPr>
          <w:szCs w:val="22"/>
        </w:rPr>
        <w:tab/>
      </w:r>
      <w:r>
        <w:rPr>
          <w:szCs w:val="22"/>
        </w:rPr>
        <w:tab/>
      </w:r>
      <w:r>
        <w:rPr>
          <w:szCs w:val="22"/>
        </w:rPr>
        <w:tab/>
      </w:r>
      <w:r>
        <w:rPr>
          <w:spacing w:val="-2"/>
          <w:szCs w:val="22"/>
        </w:rPr>
        <w:t>FEDERAL COMMUNICATIONS COMMISSION</w:t>
      </w:r>
    </w:p>
    <w:p w:rsidR="00932D93" w:rsidP="00932D93">
      <w:pPr>
        <w:keepNext/>
        <w:tabs>
          <w:tab w:val="left" w:pos="0"/>
        </w:tabs>
        <w:suppressAutoHyphens/>
        <w:spacing w:line="240" w:lineRule="atLeast"/>
        <w:jc w:val="both"/>
        <w:rPr>
          <w:spacing w:val="-2"/>
          <w:szCs w:val="22"/>
        </w:rPr>
      </w:pPr>
    </w:p>
    <w:p w:rsidR="00932D93" w:rsidP="00932D93">
      <w:pPr>
        <w:keepNext/>
        <w:tabs>
          <w:tab w:val="left" w:pos="0"/>
        </w:tabs>
        <w:suppressAutoHyphens/>
        <w:spacing w:line="240" w:lineRule="atLeast"/>
        <w:jc w:val="both"/>
        <w:rPr>
          <w:spacing w:val="-2"/>
          <w:szCs w:val="22"/>
        </w:rPr>
      </w:pPr>
    </w:p>
    <w:p w:rsidR="00932D93" w:rsidP="00932D93">
      <w:pPr>
        <w:keepNext/>
        <w:tabs>
          <w:tab w:val="left" w:pos="0"/>
        </w:tabs>
        <w:suppressAutoHyphens/>
        <w:spacing w:line="240" w:lineRule="atLeast"/>
        <w:jc w:val="both"/>
        <w:rPr>
          <w:spacing w:val="-2"/>
          <w:szCs w:val="22"/>
        </w:rPr>
      </w:pPr>
    </w:p>
    <w:p w:rsidR="00932D93" w:rsidP="00932D93">
      <w:pPr>
        <w:keepNext/>
        <w:tabs>
          <w:tab w:val="left" w:pos="0"/>
        </w:tabs>
        <w:suppressAutoHyphens/>
        <w:spacing w:line="240" w:lineRule="atLeast"/>
        <w:jc w:val="both"/>
        <w:rPr>
          <w:spacing w:val="-2"/>
          <w:szCs w:val="22"/>
        </w:rPr>
      </w:pPr>
      <w:r>
        <w:rPr>
          <w:spacing w:val="-2"/>
          <w:szCs w:val="22"/>
        </w:rPr>
        <w:tab/>
      </w:r>
      <w:r>
        <w:rPr>
          <w:spacing w:val="-2"/>
          <w:szCs w:val="22"/>
        </w:rPr>
        <w:tab/>
      </w:r>
      <w:r>
        <w:rPr>
          <w:spacing w:val="-2"/>
          <w:szCs w:val="22"/>
        </w:rPr>
        <w:tab/>
      </w:r>
      <w:r>
        <w:rPr>
          <w:spacing w:val="-2"/>
          <w:szCs w:val="22"/>
        </w:rPr>
        <w:tab/>
      </w:r>
      <w:r>
        <w:rPr>
          <w:spacing w:val="-2"/>
          <w:szCs w:val="22"/>
        </w:rPr>
        <w:tab/>
      </w:r>
      <w:r>
        <w:rPr>
          <w:spacing w:val="-2"/>
          <w:szCs w:val="22"/>
        </w:rPr>
        <w:tab/>
      </w:r>
      <w:r>
        <w:rPr>
          <w:spacing w:val="-2"/>
          <w:szCs w:val="22"/>
        </w:rPr>
        <w:tab/>
      </w:r>
      <w:r>
        <w:rPr>
          <w:spacing w:val="-2"/>
          <w:szCs w:val="22"/>
        </w:rPr>
        <w:tab/>
      </w:r>
      <w:r>
        <w:rPr>
          <w:spacing w:val="-2"/>
          <w:szCs w:val="22"/>
        </w:rPr>
        <w:tab/>
      </w:r>
      <w:r>
        <w:rPr>
          <w:spacing w:val="-2"/>
          <w:szCs w:val="22"/>
        </w:rPr>
        <w:tab/>
      </w:r>
    </w:p>
    <w:p w:rsidR="00B87A8E" w:rsidP="00932D93">
      <w:pPr>
        <w:keepNext/>
        <w:widowControl/>
        <w:ind w:left="3600"/>
        <w:rPr>
          <w:szCs w:val="22"/>
        </w:rPr>
      </w:pPr>
      <w:r>
        <w:rPr>
          <w:szCs w:val="22"/>
        </w:rPr>
        <w:t>Barbara A. Kreisman</w:t>
      </w:r>
      <w:r w:rsidR="00932D93">
        <w:rPr>
          <w:szCs w:val="22"/>
        </w:rPr>
        <w:br/>
        <w:t xml:space="preserve">Chief, </w:t>
      </w:r>
      <w:r>
        <w:rPr>
          <w:szCs w:val="22"/>
        </w:rPr>
        <w:t>Video Division</w:t>
      </w:r>
    </w:p>
    <w:p w:rsidR="00932D93" w:rsidP="00932D93">
      <w:pPr>
        <w:keepNext/>
        <w:widowControl/>
        <w:ind w:left="3600"/>
      </w:pPr>
      <w:r>
        <w:rPr>
          <w:szCs w:val="22"/>
        </w:rPr>
        <w:t>Media Bureau</w:t>
      </w:r>
    </w:p>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t>5</w:t>
    </w:r>
    <w: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02F6">
      <w:r>
        <w:separator/>
      </w:r>
    </w:p>
  </w:footnote>
  <w:footnote w:type="continuationSeparator" w:id="1">
    <w:p w:rsidR="007A02F6" w:rsidP="00C721AC">
      <w:pPr>
        <w:spacing w:before="120"/>
        <w:rPr>
          <w:sz w:val="20"/>
        </w:rPr>
      </w:pPr>
      <w:r>
        <w:rPr>
          <w:sz w:val="20"/>
        </w:rPr>
        <w:t xml:space="preserve">(Continued from previous page)  </w:t>
      </w:r>
      <w:r>
        <w:rPr>
          <w:sz w:val="20"/>
        </w:rPr>
        <w:separator/>
      </w:r>
    </w:p>
  </w:footnote>
  <w:footnote w:type="continuationNotice" w:id="2">
    <w:p w:rsidR="007A02F6" w:rsidP="00C721AC">
      <w:pPr>
        <w:jc w:val="right"/>
        <w:rPr>
          <w:sz w:val="20"/>
        </w:rPr>
      </w:pPr>
    </w:p>
  </w:footnote>
  <w:footnote w:id="3">
    <w:p w:rsidR="001D34E1">
      <w:pPr>
        <w:pStyle w:val="FootnoteText"/>
      </w:pPr>
      <w:r>
        <w:rPr>
          <w:rStyle w:val="FootnoteReference"/>
        </w:rPr>
        <w:footnoteRef/>
      </w:r>
      <w:r>
        <w:t xml:space="preserve"> We are evaluating </w:t>
      </w:r>
      <w:r w:rsidR="00F44CE8">
        <w:t xml:space="preserve">the </w:t>
      </w:r>
      <w:r>
        <w:t>petition to deny the assignment application as an informal objection under Section 73.3587 of the Commission’s rules.  47 C.F.R. § 73.3597</w:t>
      </w:r>
      <w:r w:rsidR="0084659A">
        <w:t>,</w:t>
      </w:r>
      <w:r>
        <w:t xml:space="preserve"> </w:t>
      </w:r>
      <w:r w:rsidR="0084659A">
        <w:t>because t</w:t>
      </w:r>
      <w:r>
        <w:t>he pleading was not supported by an affidavit asserting standing.  47 U.S.C. § 309(d)(1).</w:t>
      </w:r>
    </w:p>
  </w:footnote>
  <w:footnote w:id="4">
    <w:p w:rsidR="00A74C58" w:rsidRPr="00931DF0" w:rsidP="00B1783B">
      <w:pPr>
        <w:pStyle w:val="FootnoteText"/>
      </w:pPr>
      <w:r w:rsidRPr="00931DF0">
        <w:rPr>
          <w:rStyle w:val="FootnoteReference"/>
        </w:rPr>
        <w:footnoteRef/>
      </w:r>
      <w:r w:rsidRPr="00931DF0">
        <w:t xml:space="preserve"> </w:t>
      </w:r>
      <w:r w:rsidR="00F5433B">
        <w:t xml:space="preserve">KTLN Informal Objection by Nalini </w:t>
      </w:r>
      <w:r w:rsidR="00F5433B">
        <w:t>Kapur</w:t>
      </w:r>
      <w:r w:rsidR="00F5433B">
        <w:t xml:space="preserve">, Rishi </w:t>
      </w:r>
      <w:r w:rsidR="00F5433B">
        <w:t>Kapur</w:t>
      </w:r>
      <w:r w:rsidR="00F5433B">
        <w:t xml:space="preserve">, and Ravi </w:t>
      </w:r>
      <w:r w:rsidR="00F5433B">
        <w:t>Kapur</w:t>
      </w:r>
      <w:r w:rsidR="00F5433B">
        <w:t xml:space="preserve"> (filed Dec. 6, 2017) (</w:t>
      </w:r>
      <w:r w:rsidRPr="001C4024" w:rsidR="00F5433B">
        <w:t xml:space="preserve">2017 </w:t>
      </w:r>
      <w:r w:rsidR="00F5433B">
        <w:t>KTLN Objection)</w:t>
      </w:r>
      <w:r w:rsidR="00F44CE8">
        <w:t>;</w:t>
      </w:r>
      <w:r w:rsidRPr="00F44CE8" w:rsidR="00F44CE8">
        <w:t xml:space="preserve"> </w:t>
      </w:r>
      <w:r w:rsidR="00F44CE8">
        <w:t xml:space="preserve">KAXT Petition to Deny by Nalini </w:t>
      </w:r>
      <w:r w:rsidR="00F44CE8">
        <w:t>Kapur</w:t>
      </w:r>
      <w:r w:rsidR="00F44CE8">
        <w:t xml:space="preserve">, Rishi </w:t>
      </w:r>
      <w:r w:rsidR="00F44CE8">
        <w:t>Kapur</w:t>
      </w:r>
      <w:r w:rsidR="00F44CE8">
        <w:t xml:space="preserve">, and Ravi </w:t>
      </w:r>
      <w:r w:rsidR="00F44CE8">
        <w:t>Kapur</w:t>
      </w:r>
      <w:r w:rsidR="00F44CE8">
        <w:t xml:space="preserve"> (filed Nov. 30, 2017) (</w:t>
      </w:r>
      <w:r w:rsidRPr="001C4024" w:rsidR="00F44CE8">
        <w:t xml:space="preserve">2017 </w:t>
      </w:r>
      <w:r w:rsidR="00F44CE8">
        <w:t>KAXT Objection).</w:t>
      </w:r>
    </w:p>
  </w:footnote>
  <w:footnote w:id="5">
    <w:p w:rsidR="00573414" w:rsidRPr="00CD0A76" w:rsidP="00573414">
      <w:pPr>
        <w:pStyle w:val="FootnoteText"/>
      </w:pPr>
      <w:r>
        <w:rPr>
          <w:rStyle w:val="FootnoteReference"/>
        </w:rPr>
        <w:footnoteRef/>
      </w:r>
      <w:r>
        <w:t xml:space="preserve"> </w:t>
      </w:r>
      <w:r>
        <w:rPr>
          <w:i/>
        </w:rPr>
        <w:t>See</w:t>
      </w:r>
      <w:r w:rsidR="007D5A05">
        <w:rPr>
          <w:i/>
        </w:rPr>
        <w:t xml:space="preserve"> e.g.</w:t>
      </w:r>
      <w:r>
        <w:rPr>
          <w:i/>
        </w:rPr>
        <w:t xml:space="preserve"> KAXT, LLC (Assignor and OTA Broadcasting (SFO), LLC (Assignee) for Consent to Assign the License of Station KAXT-CD, San Francisco-San Jose, California</w:t>
      </w:r>
      <w:r>
        <w:t xml:space="preserve">, Memorandum Opinion and Order, 29 FCC </w:t>
      </w:r>
      <w:r>
        <w:t>Rcd</w:t>
      </w:r>
      <w:r>
        <w:t xml:space="preserve"> 8266 (Vid. Div. 2014) (</w:t>
      </w:r>
      <w:r>
        <w:rPr>
          <w:i/>
        </w:rPr>
        <w:t>July 2014 MO&amp;O</w:t>
      </w:r>
      <w:r>
        <w:t>).</w:t>
      </w:r>
    </w:p>
  </w:footnote>
  <w:footnote w:id="6">
    <w:p w:rsidR="00244C84" w:rsidRPr="00603D0E" w:rsidP="00244C84">
      <w:pPr>
        <w:pStyle w:val="FootnoteText"/>
      </w:pPr>
      <w:r>
        <w:rPr>
          <w:rStyle w:val="FootnoteReference"/>
        </w:rPr>
        <w:footnoteRef/>
      </w:r>
      <w:r>
        <w:t xml:space="preserve"> </w:t>
      </w:r>
      <w:r w:rsidRPr="00884E1B">
        <w:rPr>
          <w:i/>
        </w:rPr>
        <w:t>In the Matter of KAXT, LLC (Assignor) and OTA Broadcasting (SFO), LLC (Assignee) For Consent to Assign the License of Class A Television Station KAXT-CD, San Francisco-San Jose, California</w:t>
      </w:r>
      <w:r>
        <w:t xml:space="preserve">, Memorandum Opinion and </w:t>
      </w:r>
      <w:r w:rsidR="007E489A">
        <w:t xml:space="preserve">Order, 32 FCC </w:t>
      </w:r>
      <w:r w:rsidR="007E489A">
        <w:t>Rcd</w:t>
      </w:r>
      <w:r w:rsidR="007E489A">
        <w:t xml:space="preserve"> 9638 (</w:t>
      </w:r>
      <w:r>
        <w:t>2017) (</w:t>
      </w:r>
      <w:r w:rsidRPr="00B05DF7">
        <w:rPr>
          <w:i/>
        </w:rPr>
        <w:t>Commission</w:t>
      </w:r>
      <w:r w:rsidR="00AB30CE">
        <w:rPr>
          <w:i/>
        </w:rPr>
        <w:t xml:space="preserve"> Order</w:t>
      </w:r>
      <w:r>
        <w:t xml:space="preserve">). </w:t>
      </w:r>
      <w:r w:rsidR="00AB30CE">
        <w:t xml:space="preserve"> In addition to the pleadings addressed herein, the </w:t>
      </w:r>
      <w:r w:rsidR="00AB30CE">
        <w:t>Kapurs</w:t>
      </w:r>
      <w:r w:rsidR="00AB30CE">
        <w:t xml:space="preserve"> have filed a petition for reconsideration of the </w:t>
      </w:r>
      <w:r w:rsidR="00AB30CE">
        <w:rPr>
          <w:i/>
        </w:rPr>
        <w:t>Commission Order</w:t>
      </w:r>
      <w:r w:rsidR="00AB30CE">
        <w:t xml:space="preserve">, which will be addressed in a separate decision.  </w:t>
      </w:r>
      <w:r w:rsidR="00343A6A">
        <w:t xml:space="preserve">The </w:t>
      </w:r>
      <w:r w:rsidR="00343A6A">
        <w:rPr>
          <w:i/>
        </w:rPr>
        <w:t>Commission Order</w:t>
      </w:r>
      <w:r w:rsidR="006D3352">
        <w:t>, and p</w:t>
      </w:r>
      <w:r w:rsidR="00884E1B">
        <w:t>r</w:t>
      </w:r>
      <w:r w:rsidR="006D3352">
        <w:t>ior</w:t>
      </w:r>
      <w:r w:rsidR="000228EB">
        <w:t xml:space="preserve"> staff decisions involving this dispute,</w:t>
      </w:r>
      <w:r w:rsidR="00343A6A">
        <w:rPr>
          <w:i/>
        </w:rPr>
        <w:t xml:space="preserve"> </w:t>
      </w:r>
      <w:r w:rsidR="000228EB">
        <w:t xml:space="preserve">comprehensively discuss </w:t>
      </w:r>
      <w:r w:rsidR="007C5C4E">
        <w:t xml:space="preserve">the factual background and procedural history.  We need not revisit </w:t>
      </w:r>
      <w:r w:rsidR="000228EB">
        <w:t>the procedural background in this order</w:t>
      </w:r>
      <w:r w:rsidR="007C5C4E">
        <w:t>.</w:t>
      </w:r>
    </w:p>
  </w:footnote>
  <w:footnote w:id="7">
    <w:p w:rsidR="001C4024" w:rsidP="001C4024">
      <w:pPr>
        <w:pStyle w:val="FootnoteText"/>
      </w:pPr>
      <w:r>
        <w:rPr>
          <w:rStyle w:val="FootnoteReference"/>
        </w:rPr>
        <w:footnoteRef/>
      </w:r>
      <w:r>
        <w:t xml:space="preserve"> </w:t>
      </w:r>
      <w:r w:rsidRPr="001C4024" w:rsidR="00AB6187">
        <w:t xml:space="preserve">2017 </w:t>
      </w:r>
      <w:r w:rsidR="00AB6187">
        <w:t>KAXT Objection</w:t>
      </w:r>
      <w:r w:rsidRPr="00C6072B" w:rsidR="00AB6187">
        <w:rPr>
          <w:i/>
        </w:rPr>
        <w:t xml:space="preserve"> </w:t>
      </w:r>
      <w:r>
        <w:t>at 2</w:t>
      </w:r>
      <w:r w:rsidR="00123B98">
        <w:t>.</w:t>
      </w:r>
    </w:p>
  </w:footnote>
  <w:footnote w:id="8">
    <w:p w:rsidR="00895DDF" w:rsidP="00895DDF">
      <w:pPr>
        <w:pStyle w:val="FootnoteText"/>
      </w:pPr>
      <w:r>
        <w:rPr>
          <w:rStyle w:val="FootnoteReference"/>
        </w:rPr>
        <w:footnoteRef/>
      </w:r>
      <w:r w:rsidR="00123B98">
        <w:t xml:space="preserve"> </w:t>
      </w:r>
      <w:r w:rsidRPr="00C6072B" w:rsidR="00C6072B">
        <w:rPr>
          <w:i/>
        </w:rPr>
        <w:t>Id.</w:t>
      </w:r>
      <w:r w:rsidR="00C6072B">
        <w:rPr>
          <w:i/>
        </w:rPr>
        <w:t xml:space="preserve"> </w:t>
      </w:r>
    </w:p>
  </w:footnote>
  <w:footnote w:id="9">
    <w:p w:rsidR="000E0E59" w:rsidP="000E0E59">
      <w:pPr>
        <w:pStyle w:val="FootnoteText"/>
      </w:pPr>
      <w:r>
        <w:rPr>
          <w:rStyle w:val="FootnoteReference"/>
        </w:rPr>
        <w:footnoteRef/>
      </w:r>
      <w:r>
        <w:t xml:space="preserve"> </w:t>
      </w:r>
      <w:r w:rsidRPr="00C6072B" w:rsidR="00C6072B">
        <w:rPr>
          <w:i/>
        </w:rPr>
        <w:t>Id.</w:t>
      </w:r>
      <w:r>
        <w:t xml:space="preserve"> at 3</w:t>
      </w:r>
      <w:r w:rsidR="00123B98">
        <w:t>.</w:t>
      </w:r>
    </w:p>
  </w:footnote>
  <w:footnote w:id="10">
    <w:p w:rsidR="001C4024" w:rsidP="001C4024">
      <w:pPr>
        <w:pStyle w:val="FootnoteText"/>
      </w:pPr>
      <w:r>
        <w:rPr>
          <w:rStyle w:val="FootnoteReference"/>
        </w:rPr>
        <w:footnoteRef/>
      </w:r>
      <w:r>
        <w:t xml:space="preserve"> </w:t>
      </w:r>
      <w:r w:rsidRPr="00C6072B" w:rsidR="00C6072B">
        <w:rPr>
          <w:i/>
        </w:rPr>
        <w:t>Id.</w:t>
      </w:r>
      <w:r w:rsidR="00766D77">
        <w:t xml:space="preserve"> </w:t>
      </w:r>
      <w:r w:rsidR="00C6072B">
        <w:t xml:space="preserve"> </w:t>
      </w:r>
    </w:p>
  </w:footnote>
  <w:footnote w:id="11">
    <w:p w:rsidR="001C4024" w:rsidP="001C4024">
      <w:pPr>
        <w:pStyle w:val="FootnoteText"/>
      </w:pPr>
      <w:r>
        <w:rPr>
          <w:rStyle w:val="FootnoteReference"/>
        </w:rPr>
        <w:footnoteRef/>
      </w:r>
      <w:r>
        <w:t xml:space="preserve"> </w:t>
      </w:r>
      <w:r w:rsidRPr="00C6072B" w:rsidR="00C21B86">
        <w:rPr>
          <w:i/>
        </w:rPr>
        <w:t>Id.</w:t>
      </w:r>
      <w:r w:rsidR="00C21B86">
        <w:t xml:space="preserve"> </w:t>
      </w:r>
    </w:p>
  </w:footnote>
  <w:footnote w:id="12">
    <w:p w:rsidR="00036AAB" w:rsidRPr="004A6E57">
      <w:pPr>
        <w:pStyle w:val="FootnoteText"/>
      </w:pPr>
      <w:r>
        <w:rPr>
          <w:rStyle w:val="FootnoteReference"/>
        </w:rPr>
        <w:footnoteRef/>
      </w:r>
      <w:r>
        <w:t xml:space="preserve"> </w:t>
      </w:r>
      <w:r>
        <w:rPr>
          <w:i/>
        </w:rPr>
        <w:t>In the Matter of Investigation into the Political File Practices of O</w:t>
      </w:r>
      <w:r w:rsidR="00CF550F">
        <w:rPr>
          <w:i/>
        </w:rPr>
        <w:t xml:space="preserve">TA Broadcasting (SFO), LLC, </w:t>
      </w:r>
      <w:r w:rsidR="00CF550F">
        <w:t xml:space="preserve">Order and Consent Decree, 32 FCC </w:t>
      </w:r>
      <w:r w:rsidR="00CF550F">
        <w:t>Rcd</w:t>
      </w:r>
      <w:r w:rsidR="00CF550F">
        <w:t xml:space="preserve"> 795 (2017)</w:t>
      </w:r>
      <w:r w:rsidR="00E72828">
        <w:t xml:space="preserve"> </w:t>
      </w:r>
      <w:r w:rsidR="00CF550F">
        <w:t>(</w:t>
      </w:r>
      <w:r w:rsidRPr="00884E1B" w:rsidR="00713CAE">
        <w:rPr>
          <w:i/>
        </w:rPr>
        <w:t xml:space="preserve">2017 </w:t>
      </w:r>
      <w:r w:rsidRPr="00884E1B" w:rsidR="00CF550F">
        <w:rPr>
          <w:i/>
        </w:rPr>
        <w:t>Consent Decree</w:t>
      </w:r>
      <w:r w:rsidR="00CF550F">
        <w:t>) (paying $32,000</w:t>
      </w:r>
      <w:r w:rsidR="00713CAE">
        <w:t xml:space="preserve"> and implementing a compliance plan for failure to place paid political advertisements in its political file)</w:t>
      </w:r>
      <w:r w:rsidR="00CF550F">
        <w:t>.</w:t>
      </w:r>
      <w:r w:rsidR="004A6E57">
        <w:t xml:space="preserve">  </w:t>
      </w:r>
      <w:r w:rsidR="004A6E57">
        <w:rPr>
          <w:i/>
        </w:rPr>
        <w:t xml:space="preserve">See </w:t>
      </w:r>
      <w:r w:rsidR="004A6E57">
        <w:t>47 U.S.C. § 305(e); 47 C.F.R. § 73.1943(requiring maintenance of a Political File for certain types of political advertisements and setting forth the information to be included in the Political File</w:t>
      </w:r>
      <w:r w:rsidR="00BF3479">
        <w:t>).</w:t>
      </w:r>
    </w:p>
  </w:footnote>
  <w:footnote w:id="13">
    <w:p w:rsidR="001C4024" w:rsidP="001C4024">
      <w:pPr>
        <w:pStyle w:val="FootnoteText"/>
      </w:pPr>
      <w:r>
        <w:rPr>
          <w:rStyle w:val="FootnoteReference"/>
        </w:rPr>
        <w:footnoteRef/>
      </w:r>
      <w:r w:rsidR="00713CAE">
        <w:rPr>
          <w:i/>
        </w:rPr>
        <w:t xml:space="preserve"> </w:t>
      </w:r>
      <w:r w:rsidR="00713CAE">
        <w:t>2017 KAXT Objection</w:t>
      </w:r>
      <w:r w:rsidR="00C6072B">
        <w:t xml:space="preserve"> at 5</w:t>
      </w:r>
      <w:r>
        <w:t>.</w:t>
      </w:r>
    </w:p>
  </w:footnote>
  <w:footnote w:id="14">
    <w:p w:rsidR="00BB195E">
      <w:pPr>
        <w:pStyle w:val="FootnoteText"/>
      </w:pPr>
      <w:r>
        <w:rPr>
          <w:rStyle w:val="FootnoteReference"/>
        </w:rPr>
        <w:footnoteRef/>
      </w:r>
      <w:r>
        <w:t xml:space="preserve"> </w:t>
      </w:r>
      <w:r w:rsidR="00F523FF">
        <w:rPr>
          <w:i/>
        </w:rPr>
        <w:t>Id.</w:t>
      </w:r>
    </w:p>
  </w:footnote>
  <w:footnote w:id="15">
    <w:p w:rsidR="00DF3B0B">
      <w:pPr>
        <w:pStyle w:val="FootnoteText"/>
      </w:pPr>
      <w:r>
        <w:rPr>
          <w:rStyle w:val="FootnoteReference"/>
        </w:rPr>
        <w:footnoteRef/>
      </w:r>
      <w:r>
        <w:t xml:space="preserve"> </w:t>
      </w:r>
      <w:r w:rsidRPr="00C6072B">
        <w:rPr>
          <w:i/>
        </w:rPr>
        <w:t>Id.</w:t>
      </w:r>
    </w:p>
  </w:footnote>
  <w:footnote w:id="16">
    <w:p w:rsidR="002F2B88">
      <w:pPr>
        <w:pStyle w:val="FootnoteText"/>
      </w:pPr>
      <w:r>
        <w:rPr>
          <w:rStyle w:val="FootnoteReference"/>
        </w:rPr>
        <w:footnoteRef/>
      </w:r>
      <w:r w:rsidRPr="002F2B88">
        <w:t xml:space="preserve"> KAXT Supplement by Nalini </w:t>
      </w:r>
      <w:r w:rsidRPr="002F2B88">
        <w:t>Kapur</w:t>
      </w:r>
      <w:r w:rsidRPr="002F2B88">
        <w:t xml:space="preserve">, Rishi </w:t>
      </w:r>
      <w:r w:rsidRPr="002F2B88">
        <w:t>Kapur</w:t>
      </w:r>
      <w:r w:rsidRPr="002F2B88">
        <w:t xml:space="preserve">, and Ravi </w:t>
      </w:r>
      <w:r w:rsidRPr="002F2B88">
        <w:t>Kapur</w:t>
      </w:r>
      <w:r w:rsidRPr="002F2B88">
        <w:t xml:space="preserve">, File No. BAL-20171026ABS at 2 (filed Feb. 9, 2017); KTLN Supplement by Nalini </w:t>
      </w:r>
      <w:r w:rsidRPr="002F2B88">
        <w:t>Kapur</w:t>
      </w:r>
      <w:r w:rsidRPr="002F2B88">
        <w:t xml:space="preserve">, Rishi </w:t>
      </w:r>
      <w:r w:rsidRPr="002F2B88">
        <w:t>Kapur</w:t>
      </w:r>
      <w:r w:rsidRPr="002F2B88">
        <w:t xml:space="preserve">, and Ravi </w:t>
      </w:r>
      <w:r w:rsidRPr="002F2B88">
        <w:t>Kapur</w:t>
      </w:r>
      <w:r w:rsidRPr="002F2B88">
        <w:t>, File No. BALCDT-20171101ACJ at 2 (filed Feb. 9, 2017) (collectively, Supplements)</w:t>
      </w:r>
      <w:r w:rsidR="00732D96">
        <w:t>;</w:t>
      </w:r>
      <w:r w:rsidRPr="00732D96" w:rsidR="00732D96">
        <w:t xml:space="preserve"> </w:t>
      </w:r>
      <w:r w:rsidR="00732D96">
        <w:t>47 C.F.R. § 73.3526(e</w:t>
      </w:r>
      <w:r w:rsidR="00732D96">
        <w:t>)(</w:t>
      </w:r>
      <w:r w:rsidR="00732D96">
        <w:t>10).</w:t>
      </w:r>
    </w:p>
  </w:footnote>
  <w:footnote w:id="17">
    <w:p w:rsidR="002F2B88" w:rsidRPr="002F2B88">
      <w:pPr>
        <w:pStyle w:val="FootnoteText"/>
      </w:pPr>
      <w:r>
        <w:rPr>
          <w:rStyle w:val="FootnoteReference"/>
        </w:rPr>
        <w:footnoteRef/>
      </w:r>
      <w:r>
        <w:t xml:space="preserve"> </w:t>
      </w:r>
      <w:r w:rsidR="00732D96">
        <w:t>Supplement</w:t>
      </w:r>
      <w:r>
        <w:rPr>
          <w:i/>
        </w:rPr>
        <w:t xml:space="preserve"> </w:t>
      </w:r>
      <w:r>
        <w:t>at 4.</w:t>
      </w:r>
    </w:p>
  </w:footnote>
  <w:footnote w:id="18">
    <w:p w:rsidR="00123B98" w:rsidRPr="00481C2D">
      <w:pPr>
        <w:pStyle w:val="FootnoteText"/>
      </w:pPr>
      <w:r w:rsidRPr="00F523FF">
        <w:rPr>
          <w:rStyle w:val="FootnoteReference"/>
        </w:rPr>
        <w:footnoteRef/>
      </w:r>
      <w:r w:rsidRPr="00481C2D">
        <w:t xml:space="preserve"> </w:t>
      </w:r>
      <w:r w:rsidRPr="002F2B88" w:rsidR="002F2B88">
        <w:t>KAXT Opposition to Petition to Deny filed by OTA Broadcasting (SFO), LLC (filed December 13, 2017); KTLN Response to Informal Objection filed by OTA Broadcasting (SFO), LLC (filed December 13, 2017) (Oppositions).</w:t>
      </w:r>
      <w:r w:rsidRPr="00481C2D">
        <w:t xml:space="preserve"> at 1. </w:t>
      </w:r>
    </w:p>
  </w:footnote>
  <w:footnote w:id="19">
    <w:p w:rsidR="00123B98" w:rsidRPr="00481C2D">
      <w:pPr>
        <w:pStyle w:val="FootnoteText"/>
      </w:pPr>
      <w:r w:rsidRPr="00481C2D">
        <w:rPr>
          <w:rStyle w:val="FootnoteReference"/>
        </w:rPr>
        <w:footnoteRef/>
      </w:r>
      <w:r w:rsidRPr="00481C2D">
        <w:t xml:space="preserve"> </w:t>
      </w:r>
      <w:r w:rsidRPr="00481C2D">
        <w:rPr>
          <w:i/>
        </w:rPr>
        <w:t>Id</w:t>
      </w:r>
      <w:r w:rsidRPr="00481C2D" w:rsidR="007409C5">
        <w:rPr>
          <w:i/>
        </w:rPr>
        <w:t>.</w:t>
      </w:r>
      <w:r w:rsidRPr="00481C2D">
        <w:t xml:space="preserve"> at 2.</w:t>
      </w:r>
    </w:p>
  </w:footnote>
  <w:footnote w:id="20">
    <w:p w:rsidR="0046530A" w:rsidRPr="009B4E6B">
      <w:pPr>
        <w:pStyle w:val="FootnoteText"/>
      </w:pPr>
      <w:r>
        <w:rPr>
          <w:rStyle w:val="FootnoteReference"/>
        </w:rPr>
        <w:footnoteRef/>
      </w:r>
      <w:r>
        <w:t xml:space="preserve"> </w:t>
      </w:r>
      <w:r w:rsidR="009B4E6B">
        <w:rPr>
          <w:i/>
        </w:rPr>
        <w:t xml:space="preserve">Id. </w:t>
      </w:r>
      <w:r w:rsidR="009B4E6B">
        <w:t>at 4.</w:t>
      </w:r>
    </w:p>
  </w:footnote>
  <w:footnote w:id="21">
    <w:p w:rsidR="001D34E1" w:rsidRPr="00F32944" w:rsidP="001D34E1">
      <w:pPr>
        <w:pStyle w:val="FootnoteText"/>
      </w:pPr>
      <w:r w:rsidRPr="00F32944">
        <w:rPr>
          <w:rStyle w:val="FootnoteReference"/>
        </w:rPr>
        <w:footnoteRef/>
      </w:r>
      <w:r w:rsidRPr="00F32944">
        <w:t xml:space="preserve"> </w:t>
      </w:r>
      <w:r>
        <w:fldChar w:fldCharType="begin"/>
      </w:r>
      <w:r>
        <w:instrText xml:space="preserve"> HYPERLINK "http://web2.westlaw.com/find/default.wl?mt=Westlaw&amp;db=1000546&amp;docname=47USCAS309&amp;rp=%2ffind%2fdefault.wl&amp;findtype=L&amp;ordoc=2021629629&amp;tc=-1&amp;vr=2.0&amp;fn=_top&amp;sv=Split&amp;tf=-1&amp;referencepositiontype=T&amp;pbc=D4631530&amp;referenceposition=SP%3be07e0000a9f57&amp;rs=WLW12.10" \t "_top" </w:instrText>
      </w:r>
      <w:r>
        <w:fldChar w:fldCharType="separate"/>
      </w:r>
      <w:r w:rsidRPr="00F32944">
        <w:t>47 U.S.C. §309(d)(1)</w:t>
      </w:r>
      <w:r>
        <w:fldChar w:fldCharType="end"/>
      </w:r>
      <w:r w:rsidRPr="00F32944">
        <w:t xml:space="preserve">; </w:t>
      </w:r>
      <w:r>
        <w:fldChar w:fldCharType="begin"/>
      </w:r>
      <w:r>
        <w:instrText xml:space="preserve"> HYPERLINK "http://web2.westlaw.com/find/default.wl?mt=Westlaw&amp;db=350&amp;tc=-1&amp;rp=%2ffind%2fdefault.wl&amp;findtype=Y&amp;ordoc=2021629629&amp;serialnum=1988122452&amp;vr=2.0&amp;fn=_top&amp;sv=Split&amp;tf=-1&amp;pbc=D4631530&amp;rs=WLW12.10" \t "_top" </w:instrText>
      </w:r>
      <w:r>
        <w:fldChar w:fldCharType="separate"/>
      </w:r>
      <w:r w:rsidRPr="00F32944">
        <w:rPr>
          <w:i/>
        </w:rPr>
        <w:t>Astroline</w:t>
      </w:r>
      <w:r w:rsidRPr="00F32944">
        <w:rPr>
          <w:i/>
        </w:rPr>
        <w:t xml:space="preserve"> Communications Co. Ltd. Partnership v. FCC</w:t>
      </w:r>
      <w:r w:rsidRPr="00F32944">
        <w:t>, 857 F.2d 1556 (D.C. Cir. 1988)</w:t>
      </w:r>
      <w:r>
        <w:fldChar w:fldCharType="end"/>
      </w:r>
      <w:r w:rsidRPr="00F32944">
        <w:t>.</w:t>
      </w:r>
    </w:p>
  </w:footnote>
  <w:footnote w:id="22">
    <w:p w:rsidR="001D34E1" w:rsidRPr="00F32944" w:rsidP="001D34E1">
      <w:pPr>
        <w:pStyle w:val="FootnoteText"/>
      </w:pPr>
      <w:r w:rsidRPr="00F32944">
        <w:rPr>
          <w:rStyle w:val="FootnoteReference"/>
        </w:rPr>
        <w:footnoteRef/>
      </w:r>
      <w:r w:rsidRPr="00F32944">
        <w:t xml:space="preserve"> 47 U.S.C. §§309(d)(1) and 310(d); </w:t>
      </w:r>
      <w:r>
        <w:fldChar w:fldCharType="begin"/>
      </w:r>
      <w:r>
        <w:instrText xml:space="preserve"> HYPERLINK "http://web2.westlaw.com/find/default.wl?mt=Westlaw&amp;db=350&amp;tc=-1&amp;rp=%2ffind%2fdefault.wl&amp;findtype=Y&amp;ordoc=2021629629&amp;serialnum=1988122452&amp;vr=2.0&amp;fn=_top&amp;sv=Split&amp;tf=-1&amp;pbc=D4631530&amp;rs=WLW12.10" \t "_top" </w:instrText>
      </w:r>
      <w:r>
        <w:fldChar w:fldCharType="separate"/>
      </w:r>
      <w:r w:rsidRPr="00F32944">
        <w:rPr>
          <w:i/>
        </w:rPr>
        <w:t>Astroline</w:t>
      </w:r>
      <w:r w:rsidRPr="00F32944">
        <w:rPr>
          <w:i/>
        </w:rPr>
        <w:t xml:space="preserve"> Communications Co. Ltd. Partnership v. FCC</w:t>
      </w:r>
      <w:r w:rsidRPr="00F32944">
        <w:t>, 857 F.2d 1556, 1561 (D.C. Cir. 1988)</w:t>
      </w:r>
      <w:r>
        <w:fldChar w:fldCharType="end"/>
      </w:r>
      <w:r w:rsidRPr="00F32944">
        <w:t>.</w:t>
      </w:r>
    </w:p>
  </w:footnote>
  <w:footnote w:id="23">
    <w:p w:rsidR="001D34E1" w:rsidRPr="00F32944" w:rsidP="001D34E1">
      <w:pPr>
        <w:pStyle w:val="FootnoteText"/>
      </w:pPr>
      <w:r w:rsidRPr="00F32944">
        <w:rPr>
          <w:rStyle w:val="FootnoteReference"/>
        </w:rPr>
        <w:footnoteRef/>
      </w:r>
      <w:r w:rsidRPr="00F32944">
        <w:t xml:space="preserve"> </w:t>
      </w:r>
      <w:r w:rsidRPr="00F32944">
        <w:rPr>
          <w:i/>
        </w:rPr>
        <w:t>See e.g.,</w:t>
      </w:r>
      <w:r w:rsidRPr="00F32944">
        <w:t xml:space="preserve"> </w:t>
      </w:r>
      <w:r w:rsidRPr="00F32944">
        <w:rPr>
          <w:i/>
          <w:iCs/>
        </w:rPr>
        <w:t>Citizens for Jazz on WRVR v. FCC</w:t>
      </w:r>
      <w:r w:rsidRPr="00F32944">
        <w:t>, 775 F.2d 392, 395 (D.C. Cir. 1985).</w:t>
      </w:r>
    </w:p>
  </w:footnote>
  <w:footnote w:id="24">
    <w:p w:rsidR="001D34E1" w:rsidRPr="00F32944" w:rsidP="001D34E1">
      <w:pPr>
        <w:pStyle w:val="FootnoteText"/>
      </w:pPr>
      <w:r w:rsidRPr="00F32944">
        <w:rPr>
          <w:rStyle w:val="FootnoteReference"/>
        </w:rPr>
        <w:footnoteRef/>
      </w:r>
      <w:r w:rsidRPr="00F32944">
        <w:t xml:space="preserve"> 47 U.S.C. §§ 309(d)(2) and 310(d).</w:t>
      </w:r>
    </w:p>
  </w:footnote>
  <w:footnote w:id="25">
    <w:p w:rsidR="008B25E0">
      <w:pPr>
        <w:pStyle w:val="FootnoteText"/>
      </w:pPr>
      <w:r>
        <w:rPr>
          <w:rStyle w:val="FootnoteReference"/>
        </w:rPr>
        <w:footnoteRef/>
      </w:r>
      <w:r>
        <w:t xml:space="preserve"> </w:t>
      </w:r>
      <w:r w:rsidRPr="008B25E0">
        <w:rPr>
          <w:i/>
        </w:rPr>
        <w:t>Commission Order</w:t>
      </w:r>
      <w:r>
        <w:t xml:space="preserve"> at 9647, para. 19.</w:t>
      </w:r>
    </w:p>
  </w:footnote>
  <w:footnote w:id="26">
    <w:p w:rsidR="00DE5070" w:rsidRPr="00DE5070">
      <w:pPr>
        <w:pStyle w:val="FootnoteText"/>
        <w:rPr>
          <w:i/>
        </w:rPr>
      </w:pPr>
      <w:r>
        <w:rPr>
          <w:rStyle w:val="FootnoteReference"/>
        </w:rPr>
        <w:footnoteRef/>
      </w:r>
      <w:r>
        <w:t xml:space="preserve"> </w:t>
      </w:r>
      <w:r>
        <w:rPr>
          <w:i/>
        </w:rPr>
        <w:t>Id.</w:t>
      </w:r>
    </w:p>
  </w:footnote>
  <w:footnote w:id="27">
    <w:p w:rsidR="00DA1ECF" w:rsidP="00DA1ECF">
      <w:pPr>
        <w:pStyle w:val="FootnoteText"/>
      </w:pPr>
      <w:r>
        <w:rPr>
          <w:rStyle w:val="FootnoteReference"/>
        </w:rPr>
        <w:footnoteRef/>
      </w:r>
      <w:r>
        <w:t xml:space="preserve"> BRDTA-20140731ANH, OTA Opposition to Application for Review at 10 (filed Jan. 28, 2016).</w:t>
      </w:r>
    </w:p>
  </w:footnote>
  <w:footnote w:id="28">
    <w:p w:rsidR="00902BD0" w:rsidRPr="00902BD0">
      <w:pPr>
        <w:pStyle w:val="FootnoteText"/>
      </w:pPr>
      <w:r>
        <w:rPr>
          <w:rStyle w:val="FootnoteReference"/>
        </w:rPr>
        <w:footnoteRef/>
      </w:r>
      <w:r>
        <w:t xml:space="preserve"> </w:t>
      </w:r>
      <w:r>
        <w:rPr>
          <w:i/>
        </w:rPr>
        <w:t>See 2017 Consent Decree</w:t>
      </w:r>
      <w:r>
        <w:t xml:space="preserve">, 32 FCC </w:t>
      </w:r>
      <w:r>
        <w:t>Rcd</w:t>
      </w:r>
      <w:r>
        <w:t xml:space="preserve"> at 797 (definition of “Investigation”)</w:t>
      </w:r>
      <w:r w:rsidR="00B312F3">
        <w:t xml:space="preserve">.  We agree that, to the extent character issues have been raised, </w:t>
      </w:r>
      <w:r w:rsidR="006057E9">
        <w:t xml:space="preserve">the </w:t>
      </w:r>
      <w:r w:rsidR="006057E9">
        <w:t>Kapurs</w:t>
      </w:r>
      <w:r w:rsidR="006057E9">
        <w:t xml:space="preserve"> have inadequately </w:t>
      </w:r>
      <w:r w:rsidR="00732D96">
        <w:t xml:space="preserve">demonstrated </w:t>
      </w:r>
      <w:r w:rsidR="006057E9">
        <w:t xml:space="preserve">how such alleged misconduct would bear on the operation of station KTLN-TV.  </w:t>
      </w:r>
      <w:r w:rsidR="00AF766C">
        <w:rPr>
          <w:i/>
        </w:rPr>
        <w:t xml:space="preserve">See </w:t>
      </w:r>
      <w:r w:rsidRPr="00B37923" w:rsidR="00AF766C">
        <w:rPr>
          <w:i/>
        </w:rPr>
        <w:t>Policy Regarding Character Qualifications in Broadcast Licensing</w:t>
      </w:r>
      <w:r w:rsidRPr="00AF766C" w:rsidR="00AF766C">
        <w:t>, Report, Order and Policy Statement, 102 FCC 2d 1179, 1123-25, ¶¶ 92-95 (1986).</w:t>
      </w:r>
    </w:p>
  </w:footnote>
  <w:footnote w:id="29">
    <w:p w:rsidR="00A67622">
      <w:pPr>
        <w:pStyle w:val="FootnoteText"/>
      </w:pPr>
      <w:r>
        <w:rPr>
          <w:rStyle w:val="FootnoteReference"/>
        </w:rPr>
        <w:footnoteRef/>
      </w:r>
      <w:r>
        <w:t xml:space="preserve"> </w:t>
      </w:r>
      <w:r w:rsidRPr="000222D0">
        <w:rPr>
          <w:i/>
        </w:rPr>
        <w:t>New York State Dep't of Law v. FCC</w:t>
      </w:r>
      <w:r w:rsidRPr="00A67622">
        <w:t xml:space="preserve">, 984 F.2d 1209 (D.C. Cir. 1993); </w:t>
      </w:r>
      <w:r w:rsidRPr="000222D0">
        <w:rPr>
          <w:i/>
        </w:rPr>
        <w:t>accord, NTCH, Inc. v. FCC</w:t>
      </w:r>
      <w:r w:rsidRPr="00A67622">
        <w:t xml:space="preserve">, 841 F.3d 497, 503 (D.C. Cir. 2016). </w:t>
      </w:r>
      <w:r w:rsidRPr="000222D0">
        <w:rPr>
          <w:i/>
        </w:rPr>
        <w:t>See also SEC v. Citigroup Global Markets Inc.</w:t>
      </w:r>
      <w:r w:rsidRPr="00A67622">
        <w:t>, 673 F.3d 158, 163 (2d Cir. 2012) (“... the scope of a court's authority to second-guess an agency's discretionary and policy-based decision</w:t>
      </w:r>
      <w:r w:rsidR="003E02E0">
        <w:t xml:space="preserve"> to settle is at best minimal”)</w:t>
      </w:r>
      <w:r w:rsidRPr="00A67622">
        <w:t>.</w:t>
      </w:r>
    </w:p>
  </w:footnote>
  <w:footnote w:id="30">
    <w:p w:rsidR="00A67622">
      <w:pPr>
        <w:pStyle w:val="FootnoteText"/>
      </w:pPr>
      <w:r>
        <w:rPr>
          <w:rStyle w:val="FootnoteReference"/>
        </w:rPr>
        <w:footnoteRef/>
      </w:r>
      <w:r>
        <w:t xml:space="preserve"> </w:t>
      </w:r>
      <w:r w:rsidRPr="003E02E0" w:rsidR="003E02E0">
        <w:rPr>
          <w:i/>
        </w:rPr>
        <w:t xml:space="preserve">In the Matter of </w:t>
      </w:r>
      <w:r w:rsidRPr="003E02E0" w:rsidR="00DB6381">
        <w:rPr>
          <w:i/>
        </w:rPr>
        <w:t>Verizon Communications Inc. and Straight Path Communications, Inc. For Consent to Transfer Control of Local Multipoint Distribution Service, 39 GHz, Common Carrier Point-to-Point Microwave, and 3650-3700 MHz Service Licenses</w:t>
      </w:r>
      <w:r w:rsidR="00DB6381">
        <w:t xml:space="preserve">, Memorandum Opinion and Order, </w:t>
      </w:r>
      <w:r w:rsidR="003E02E0">
        <w:t>FCC 18-85</w:t>
      </w:r>
      <w:r w:rsidR="00DB6381">
        <w:t xml:space="preserve"> (July 2, 2018)</w:t>
      </w:r>
      <w:r w:rsidR="003E02E0">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4534B2">
      <w:t xml:space="preserve">DA </w:t>
    </w:r>
    <w:r w:rsidR="00B42B47">
      <w:t>18</w:t>
    </w:r>
    <w:r w:rsidR="004534B2">
      <w:t>-</w:t>
    </w:r>
    <w:r w:rsidR="00BF52EB">
      <w:t>959</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sidR="004534B2">
      <w:t xml:space="preserve">DA </w:t>
    </w:r>
    <w:r w:rsidR="00156B25">
      <w:t>18</w:t>
    </w:r>
    <w:r w:rsidR="004534B2">
      <w:t>-</w:t>
    </w:r>
    <w:r w:rsidR="00BF52EB">
      <w:t>959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1572F17"/>
    <w:multiLevelType w:val="hybridMultilevel"/>
    <w:tmpl w:val="478651C8"/>
    <w:lvl w:ilvl="0">
      <w:start w:val="1"/>
      <w:numFmt w:val="decimal"/>
      <w:lvlText w:val="%1."/>
      <w:lvlJc w:val="left"/>
      <w:pPr>
        <w:ind w:left="2160" w:hanging="72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6D2B48D2"/>
    <w:multiLevelType w:val="singleLevel"/>
    <w:tmpl w:val="462A4EC8"/>
    <w:lvl w:ilvl="0">
      <w:start w:val="0"/>
      <w:numFmt w:val="decimal"/>
      <w:pStyle w:val="Paranum0"/>
      <w:lvlJc w:val="left"/>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4"/>
  </w:num>
  <w:num w:numId="8">
    <w:abstractNumId w:val="6"/>
  </w:num>
  <w:num w:numId="9">
    <w:abstractNumId w:val="7"/>
  </w:num>
  <w:num w:numId="10">
    <w:abstractNumId w:val="7"/>
    <w:lvlOverride w:ilvl="0">
      <w:startOverride w:val="1"/>
    </w:lvlOverride>
  </w:num>
  <w:num w:numId="11">
    <w:abstractNumId w:val="7"/>
  </w:num>
  <w:num w:numId="12">
    <w:abstractNumId w:val="8"/>
  </w:num>
  <w:num w:numId="13">
    <w:abstractNumId w:val="7"/>
    <w:lvlOverride w:ilvl="0">
      <w:startOverride w:val="1"/>
    </w:lvlOverride>
  </w:num>
  <w:num w:numId="14">
    <w:abstractNumId w:val="7"/>
    <w:lvlOverride w:ilvl="0">
      <w:startOverride w:val="1"/>
    </w:lvlOverride>
  </w:num>
  <w:num w:numId="15">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outlineLvl w:val="6"/>
    </w:pPr>
    <w:rPr>
      <w:b/>
    </w:rPr>
  </w:style>
  <w:style w:type="paragraph" w:styleId="Heading8">
    <w:name w:val="heading 8"/>
    <w:basedOn w:val="Normal"/>
    <w:next w:val="ParaNum"/>
    <w:qFormat/>
    <w:rsid w:val="001E01CA"/>
    <w:pPr>
      <w:numPr>
        <w:ilvl w:val="7"/>
        <w:numId w:val="3"/>
      </w:numPr>
      <w:tabs>
        <w:tab w:val="left" w:pos="5760"/>
      </w:tabs>
      <w:spacing w:after="120"/>
      <w:outlineLvl w:val="7"/>
    </w:pPr>
    <w:rPr>
      <w:b/>
    </w:rPr>
  </w:style>
  <w:style w:type="paragraph" w:styleId="Heading9">
    <w:name w:val="heading 9"/>
    <w:basedOn w:val="Normal"/>
    <w:next w:val="ParaNum"/>
    <w:qFormat/>
    <w:rsid w:val="001E01CA"/>
    <w:pPr>
      <w:numPr>
        <w:ilvl w:val="8"/>
        <w:numId w:val="3"/>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4 Char,Footnote Text Char1,Footnote Text Char2,Footnote Text Char4 Char1 Char,Footnote Text Char4 Char1 Char Char Char Char,Footnote Text Char7 Char,Footnote Text Char7 Char Char Char Char,f,fn,fn Char Char"/>
    <w:link w:val="FootnoteTextChar"/>
    <w:uiPriority w:val="99"/>
    <w:rsid w:val="000E3D42"/>
    <w:pPr>
      <w:spacing w:after="120"/>
    </w:pPr>
  </w:style>
  <w:style w:type="character" w:styleId="FootnoteReference">
    <w:name w:val="footnote reference"/>
    <w:aliases w:val="(NECG) Footnote Reference,Appel note de bas de p,FR,Footnote Reference/,Style 12,Style 124,Style 13,Style 17,Style 3,Style 4,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
    <w:name w:val="Footnote Text Char"/>
    <w:aliases w:val="Footnote Text Char Char Char4 Char Char,Footnote Text Char1 Char,Footnote Text Char4 Char1 Char Char,Footnote Text Char4 Char1 Char Char Char Char Char,Footnote Text Char7 Char Char,Footnote Text Char7 Char Char Char Char Char,fn Char"/>
    <w:link w:val="FootnoteText"/>
    <w:uiPriority w:val="99"/>
    <w:rsid w:val="00EB061E"/>
  </w:style>
  <w:style w:type="paragraph" w:customStyle="1" w:styleId="Paranum0">
    <w:name w:val="Paranum"/>
    <w:rsid w:val="00932D93"/>
    <w:pPr>
      <w:numPr>
        <w:numId w:val="12"/>
      </w:numPr>
      <w:tabs>
        <w:tab w:val="left" w:pos="1440"/>
      </w:tabs>
      <w:spacing w:after="240"/>
      <w:jc w:val="both"/>
    </w:pPr>
    <w:rPr>
      <w:sz w:val="22"/>
    </w:rPr>
  </w:style>
  <w:style w:type="character" w:customStyle="1" w:styleId="ParaNumChar">
    <w:name w:val="ParaNum Char"/>
    <w:link w:val="ParaNum"/>
    <w:rsid w:val="00932D93"/>
    <w:rPr>
      <w:snapToGrid w:val="0"/>
      <w:kern w:val="28"/>
      <w:sz w:val="22"/>
    </w:rPr>
  </w:style>
  <w:style w:type="paragraph" w:styleId="BalloonText">
    <w:name w:val="Balloon Text"/>
    <w:basedOn w:val="Normal"/>
    <w:link w:val="BalloonTextChar"/>
    <w:rsid w:val="00932D93"/>
    <w:rPr>
      <w:rFonts w:ascii="Segoe UI" w:hAnsi="Segoe UI" w:cs="Segoe UI"/>
      <w:sz w:val="18"/>
      <w:szCs w:val="18"/>
    </w:rPr>
  </w:style>
  <w:style w:type="character" w:customStyle="1" w:styleId="BalloonTextChar">
    <w:name w:val="Balloon Text Char"/>
    <w:link w:val="BalloonText"/>
    <w:rsid w:val="00932D93"/>
    <w:rPr>
      <w:rFonts w:ascii="Segoe UI" w:hAnsi="Segoe UI" w:cs="Segoe UI"/>
      <w:snapToGrid w:val="0"/>
      <w:kern w:val="28"/>
      <w:sz w:val="18"/>
      <w:szCs w:val="18"/>
    </w:rPr>
  </w:style>
  <w:style w:type="character" w:styleId="CommentReference">
    <w:name w:val="annotation reference"/>
    <w:basedOn w:val="DefaultParagraphFont"/>
    <w:semiHidden/>
    <w:unhideWhenUsed/>
    <w:rsid w:val="00CA55E7"/>
    <w:rPr>
      <w:sz w:val="16"/>
      <w:szCs w:val="16"/>
    </w:rPr>
  </w:style>
  <w:style w:type="paragraph" w:styleId="CommentText">
    <w:name w:val="annotation text"/>
    <w:basedOn w:val="Normal"/>
    <w:link w:val="CommentTextChar"/>
    <w:semiHidden/>
    <w:unhideWhenUsed/>
    <w:rsid w:val="00CA55E7"/>
    <w:rPr>
      <w:sz w:val="20"/>
    </w:rPr>
  </w:style>
  <w:style w:type="character" w:customStyle="1" w:styleId="CommentTextChar">
    <w:name w:val="Comment Text Char"/>
    <w:basedOn w:val="DefaultParagraphFont"/>
    <w:link w:val="CommentText"/>
    <w:semiHidden/>
    <w:rsid w:val="00CA55E7"/>
    <w:rPr>
      <w:snapToGrid w:val="0"/>
      <w:kern w:val="28"/>
    </w:rPr>
  </w:style>
  <w:style w:type="paragraph" w:styleId="CommentSubject">
    <w:name w:val="annotation subject"/>
    <w:basedOn w:val="CommentText"/>
    <w:next w:val="CommentText"/>
    <w:link w:val="CommentSubjectChar"/>
    <w:semiHidden/>
    <w:unhideWhenUsed/>
    <w:rsid w:val="00CA55E7"/>
    <w:rPr>
      <w:b/>
      <w:bCs/>
    </w:rPr>
  </w:style>
  <w:style w:type="character" w:customStyle="1" w:styleId="CommentSubjectChar">
    <w:name w:val="Comment Subject Char"/>
    <w:basedOn w:val="CommentTextChar"/>
    <w:link w:val="CommentSubject"/>
    <w:semiHidden/>
    <w:rsid w:val="00CA55E7"/>
    <w:rPr>
      <w:b/>
      <w:bCs/>
      <w:snapToGrid w:val="0"/>
      <w:kern w:val="28"/>
    </w:rPr>
  </w:style>
  <w:style w:type="paragraph" w:styleId="Revision">
    <w:name w:val="Revision"/>
    <w:hidden/>
    <w:uiPriority w:val="99"/>
    <w:semiHidden/>
    <w:rsid w:val="00CA55E7"/>
    <w:rPr>
      <w:snapToGrid w:val="0"/>
      <w:kern w:val="28"/>
      <w:sz w:val="22"/>
    </w:rPr>
  </w:style>
  <w:style w:type="character" w:styleId="Emphasis">
    <w:name w:val="Emphasis"/>
    <w:basedOn w:val="DefaultParagraphFont"/>
    <w:uiPriority w:val="20"/>
    <w:qFormat/>
    <w:rsid w:val="00F523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5</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