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Pr>
          <w:rFonts w:ascii="Times New Roman Bold" w:hAnsi="Times New Roman Bold"/>
          <w:b/>
          <w:kern w:val="0"/>
          <w:szCs w:val="22"/>
        </w:rPr>
        <w:t xml:space="preserve"> </w:t>
      </w: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 xml:space="preserve">In the Matter </w:t>
            </w:r>
            <w:r w:rsidR="00727C12">
              <w:rPr>
                <w:spacing w:val="-2"/>
              </w:rPr>
              <w:t>of</w:t>
            </w:r>
          </w:p>
          <w:p w:rsidR="004C2EE3">
            <w:pPr>
              <w:tabs>
                <w:tab w:val="center" w:pos="4680"/>
              </w:tabs>
              <w:suppressAutoHyphens/>
              <w:rPr>
                <w:spacing w:val="-2"/>
              </w:rPr>
            </w:pPr>
          </w:p>
          <w:p w:rsidR="00727C12">
            <w:pPr>
              <w:tabs>
                <w:tab w:val="center" w:pos="4680"/>
              </w:tabs>
              <w:suppressAutoHyphens/>
              <w:rPr>
                <w:spacing w:val="-2"/>
              </w:rPr>
            </w:pPr>
          </w:p>
          <w:p w:rsidR="003179B7" w:rsidP="00105057">
            <w:pPr>
              <w:widowControl/>
              <w:autoSpaceDE w:val="0"/>
              <w:autoSpaceDN w:val="0"/>
              <w:adjustRightInd w:val="0"/>
              <w:rPr>
                <w:spacing w:val="-2"/>
              </w:rPr>
            </w:pPr>
            <w:r>
              <w:rPr>
                <w:spacing w:val="-2"/>
              </w:rPr>
              <w:t>Amendment of Section 73.</w:t>
            </w:r>
            <w:r w:rsidR="00671F04">
              <w:rPr>
                <w:spacing w:val="-2"/>
              </w:rPr>
              <w:t>622(</w:t>
            </w:r>
            <w:r w:rsidR="00671F04">
              <w:rPr>
                <w:spacing w:val="-2"/>
              </w:rPr>
              <w:t>i</w:t>
            </w:r>
            <w:r w:rsidR="00671F04">
              <w:rPr>
                <w:spacing w:val="-2"/>
              </w:rPr>
              <w:t>)</w:t>
            </w:r>
            <w:r>
              <w:rPr>
                <w:spacing w:val="-2"/>
              </w:rPr>
              <w:t xml:space="preserve"> </w:t>
            </w:r>
          </w:p>
          <w:p w:rsidR="003179B7" w:rsidP="00105057">
            <w:pPr>
              <w:widowControl/>
              <w:autoSpaceDE w:val="0"/>
              <w:autoSpaceDN w:val="0"/>
              <w:adjustRightInd w:val="0"/>
              <w:rPr>
                <w:spacing w:val="-2"/>
              </w:rPr>
            </w:pPr>
            <w:r>
              <w:rPr>
                <w:spacing w:val="-2"/>
              </w:rPr>
              <w:t>Digital Television Broadcast Stations</w:t>
            </w:r>
          </w:p>
          <w:p w:rsidR="003179B7" w:rsidRPr="00105057" w:rsidP="00105057">
            <w:pPr>
              <w:widowControl/>
              <w:autoSpaceDE w:val="0"/>
              <w:autoSpaceDN w:val="0"/>
              <w:adjustRightInd w:val="0"/>
              <w:rPr>
                <w:spacing w:val="-2"/>
              </w:rPr>
            </w:pPr>
            <w:r>
              <w:rPr>
                <w:spacing w:val="-2"/>
              </w:rPr>
              <w:t>(Block Island and Newport, Rhode Island)</w:t>
            </w:r>
          </w:p>
          <w:p w:rsidR="004C2EE3" w:rsidRPr="007115F7" w:rsidP="00CF0B5C">
            <w:pPr>
              <w:widowControl/>
              <w:autoSpaceDE w:val="0"/>
              <w:autoSpaceDN w:val="0"/>
              <w:adjustRightInd w:val="0"/>
              <w:rPr>
                <w:spacing w:val="-2"/>
              </w:rPr>
            </w:pPr>
          </w:p>
        </w:tc>
        <w:tc>
          <w:tcPr>
            <w:tcW w:w="630" w:type="dxa"/>
          </w:tcPr>
          <w:p w:rsidR="004C2EE3" w:rsidRPr="00105057">
            <w:pPr>
              <w:tabs>
                <w:tab w:val="center" w:pos="4680"/>
              </w:tabs>
              <w:suppressAutoHyphens/>
              <w:rPr>
                <w:spacing w:val="-2"/>
              </w:rPr>
            </w:pPr>
            <w:r w:rsidRPr="00105057">
              <w:rPr>
                <w:spacing w:val="-2"/>
              </w:rPr>
              <w:t>)</w:t>
            </w:r>
          </w:p>
          <w:p w:rsidR="004C2EE3" w:rsidRPr="00105057">
            <w:pPr>
              <w:tabs>
                <w:tab w:val="center" w:pos="4680"/>
              </w:tabs>
              <w:suppressAutoHyphens/>
              <w:rPr>
                <w:spacing w:val="-2"/>
              </w:rPr>
            </w:pPr>
            <w:r w:rsidRPr="00105057">
              <w:rPr>
                <w:spacing w:val="-2"/>
              </w:rPr>
              <w:t>)</w:t>
            </w:r>
          </w:p>
          <w:p w:rsidR="004C2EE3" w:rsidRPr="00105057">
            <w:pPr>
              <w:tabs>
                <w:tab w:val="center" w:pos="4680"/>
              </w:tabs>
              <w:suppressAutoHyphens/>
              <w:rPr>
                <w:spacing w:val="-2"/>
              </w:rPr>
            </w:pPr>
            <w:r w:rsidRPr="00105057">
              <w:rPr>
                <w:spacing w:val="-2"/>
              </w:rPr>
              <w:t>)</w:t>
            </w:r>
          </w:p>
          <w:p w:rsidR="004C2EE3" w:rsidRPr="00105057">
            <w:pPr>
              <w:tabs>
                <w:tab w:val="center" w:pos="4680"/>
              </w:tabs>
              <w:suppressAutoHyphens/>
              <w:rPr>
                <w:spacing w:val="-2"/>
              </w:rPr>
            </w:pPr>
            <w:r w:rsidRPr="00105057">
              <w:rPr>
                <w:spacing w:val="-2"/>
              </w:rPr>
              <w:t>)</w:t>
            </w:r>
          </w:p>
          <w:p w:rsidR="004C2EE3" w:rsidRPr="00105057">
            <w:pPr>
              <w:tabs>
                <w:tab w:val="center" w:pos="4680"/>
              </w:tabs>
              <w:suppressAutoHyphens/>
              <w:rPr>
                <w:spacing w:val="-2"/>
              </w:rPr>
            </w:pPr>
            <w:r w:rsidRPr="00105057">
              <w:rPr>
                <w:spacing w:val="-2"/>
              </w:rPr>
              <w:t>)</w:t>
            </w:r>
          </w:p>
          <w:p w:rsidR="00CF0B5C">
            <w:pPr>
              <w:tabs>
                <w:tab w:val="center" w:pos="4680"/>
              </w:tabs>
              <w:suppressAutoHyphens/>
              <w:rPr>
                <w:spacing w:val="-2"/>
              </w:rPr>
            </w:pPr>
            <w:r>
              <w:rPr>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727C12">
            <w:pPr>
              <w:tabs>
                <w:tab w:val="center" w:pos="4680"/>
              </w:tabs>
              <w:suppressAutoHyphens/>
              <w:rPr>
                <w:spacing w:val="-2"/>
              </w:rPr>
            </w:pPr>
            <w:bookmarkStart w:id="0" w:name="_Hlk500146806"/>
          </w:p>
          <w:p w:rsidR="0091419E">
            <w:pPr>
              <w:tabs>
                <w:tab w:val="center" w:pos="4680"/>
              </w:tabs>
              <w:suppressAutoHyphens/>
              <w:rPr>
                <w:spacing w:val="-2"/>
              </w:rPr>
            </w:pPr>
            <w:r>
              <w:rPr>
                <w:spacing w:val="-2"/>
              </w:rPr>
              <w:t>MB Docket No.</w:t>
            </w:r>
            <w:r w:rsidR="00EF26ED">
              <w:rPr>
                <w:spacing w:val="-2"/>
              </w:rPr>
              <w:t xml:space="preserve"> 18-</w:t>
            </w:r>
            <w:r w:rsidR="004F790A">
              <w:rPr>
                <w:spacing w:val="-2"/>
              </w:rPr>
              <w:t>153</w:t>
            </w:r>
          </w:p>
          <w:p w:rsidR="00C7372D">
            <w:pPr>
              <w:tabs>
                <w:tab w:val="center" w:pos="4680"/>
              </w:tabs>
              <w:suppressAutoHyphens/>
              <w:rPr>
                <w:spacing w:val="-2"/>
              </w:rPr>
            </w:pPr>
            <w:r>
              <w:rPr>
                <w:spacing w:val="-2"/>
              </w:rPr>
              <w:t>RM-</w:t>
            </w:r>
            <w:r w:rsidR="004F790A">
              <w:rPr>
                <w:spacing w:val="-2"/>
              </w:rPr>
              <w:t>11801</w:t>
            </w:r>
          </w:p>
          <w:p w:rsidR="00105057" w:rsidP="00C7372D">
            <w:pPr>
              <w:widowControl/>
              <w:autoSpaceDE w:val="0"/>
              <w:autoSpaceDN w:val="0"/>
              <w:adjustRightInd w:val="0"/>
              <w:rPr>
                <w:spacing w:val="-2"/>
              </w:rPr>
            </w:pPr>
            <w:bookmarkEnd w:id="0"/>
          </w:p>
        </w:tc>
      </w:tr>
    </w:tbl>
    <w:p w:rsidR="004C2EE3" w:rsidP="0070224F"/>
    <w:p w:rsidR="00841AB1" w:rsidP="00F021FA">
      <w:pPr>
        <w:pStyle w:val="StyleBoldCentered"/>
      </w:pPr>
      <w:r>
        <w:t>Report and Order</w:t>
      </w:r>
      <w:r w:rsidR="00C7372D">
        <w:t xml:space="preserve"> </w:t>
      </w:r>
    </w:p>
    <w:p w:rsidR="00EF0AF7" w:rsidP="00EF0AF7">
      <w:pPr>
        <w:tabs>
          <w:tab w:val="left" w:pos="720"/>
          <w:tab w:val="right" w:pos="9360"/>
        </w:tabs>
        <w:suppressAutoHyphens/>
        <w:spacing w:line="227" w:lineRule="auto"/>
        <w:jc w:val="center"/>
        <w:rPr>
          <w:b/>
          <w:spacing w:val="-2"/>
        </w:rPr>
      </w:pPr>
      <w:r>
        <w:rPr>
          <w:b/>
          <w:spacing w:val="-2"/>
        </w:rPr>
        <w:t>(Proceeding Terminated)</w:t>
      </w:r>
    </w:p>
    <w:p w:rsidR="00EF0AF7" w:rsidP="00133F79">
      <w:pPr>
        <w:tabs>
          <w:tab w:val="left" w:pos="720"/>
          <w:tab w:val="right" w:pos="9360"/>
        </w:tabs>
        <w:suppressAutoHyphens/>
        <w:spacing w:line="227" w:lineRule="auto"/>
        <w:rPr>
          <w:b/>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D2566">
        <w:rPr>
          <w:b/>
          <w:spacing w:val="-2"/>
        </w:rPr>
        <w:t xml:space="preserve"> September 18, 2018</w:t>
      </w:r>
      <w:r w:rsidR="00CE1F7C">
        <w:rPr>
          <w:b/>
          <w:spacing w:val="-2"/>
        </w:rPr>
        <w:t xml:space="preserve">                                              </w:t>
      </w:r>
      <w:r w:rsidR="00BD2566">
        <w:rPr>
          <w:b/>
          <w:spacing w:val="-2"/>
        </w:rPr>
        <w:t xml:space="preserve">                </w:t>
      </w:r>
      <w:r w:rsidR="00CE1F7C">
        <w:rPr>
          <w:b/>
          <w:spacing w:val="-2"/>
        </w:rPr>
        <w:t xml:space="preserve">         </w:t>
      </w:r>
      <w:r w:rsidR="00822CE0">
        <w:rPr>
          <w:b/>
          <w:spacing w:val="-2"/>
        </w:rPr>
        <w:t>Released</w:t>
      </w:r>
      <w:r>
        <w:rPr>
          <w:b/>
          <w:spacing w:val="-2"/>
        </w:rPr>
        <w:t>:</w:t>
      </w:r>
      <w:r w:rsidR="00822CE0">
        <w:rPr>
          <w:b/>
          <w:spacing w:val="-2"/>
        </w:rPr>
        <w:t xml:space="preserve"> </w:t>
      </w:r>
      <w:r w:rsidR="00BD2566">
        <w:rPr>
          <w:b/>
          <w:spacing w:val="-2"/>
        </w:rPr>
        <w:t>September 18, 2018</w:t>
      </w:r>
      <w:bookmarkStart w:id="1" w:name="_GoBack"/>
      <w:bookmarkEnd w:id="1"/>
    </w:p>
    <w:p w:rsidR="00C7372D"/>
    <w:p w:rsidR="004C2EE3">
      <w:pPr>
        <w:rPr>
          <w:spacing w:val="-2"/>
        </w:rPr>
      </w:pPr>
      <w:r>
        <w:t xml:space="preserve">By </w:t>
      </w:r>
      <w:r w:rsidR="004E4A22">
        <w:t>the</w:t>
      </w:r>
      <w:r w:rsidR="002A2D2E">
        <w:t xml:space="preserve"> </w:t>
      </w:r>
      <w:r w:rsidR="003F47A5">
        <w:t>Chief, Video Division</w:t>
      </w:r>
      <w:r>
        <w:rPr>
          <w:spacing w:val="-2"/>
        </w:rPr>
        <w:t>:</w:t>
      </w:r>
    </w:p>
    <w:p w:rsidR="00412FC5" w:rsidP="00412FC5"/>
    <w:p w:rsidR="00BE45E7" w:rsidP="00BE45E7">
      <w:pPr>
        <w:pStyle w:val="ListParagraph"/>
        <w:numPr>
          <w:ilvl w:val="0"/>
          <w:numId w:val="17"/>
        </w:numPr>
        <w:ind w:left="720"/>
        <w:rPr>
          <w:b/>
        </w:rPr>
      </w:pPr>
      <w:r>
        <w:rPr>
          <w:b/>
        </w:rPr>
        <w:t>INTRODUCTION</w:t>
      </w:r>
    </w:p>
    <w:p w:rsidR="00BE45E7" w:rsidRPr="00BE45E7" w:rsidP="00BE45E7">
      <w:pPr>
        <w:rPr>
          <w:b/>
        </w:rPr>
      </w:pPr>
    </w:p>
    <w:p w:rsidR="00B87078" w:rsidP="00A25603">
      <w:pPr>
        <w:pStyle w:val="ParaNum"/>
        <w:tabs>
          <w:tab w:val="clear" w:pos="1080"/>
          <w:tab w:val="num" w:pos="1440"/>
        </w:tabs>
      </w:pPr>
      <w:r>
        <w:t xml:space="preserve">At the request of </w:t>
      </w:r>
      <w:r w:rsidR="00757FA9">
        <w:t>ION Television License, LLC (ION),</w:t>
      </w:r>
      <w:r w:rsidR="00C7372D">
        <w:t xml:space="preserve"> licensee of television station WPXQ-TV, channel 17</w:t>
      </w:r>
      <w:r w:rsidR="001947B7">
        <w:t>, Block Island, Rhode Island</w:t>
      </w:r>
      <w:r w:rsidR="00DF3050">
        <w:t xml:space="preserve"> (WPXQ)</w:t>
      </w:r>
      <w:r>
        <w:t>, the Commission has before it a</w:t>
      </w:r>
      <w:r w:rsidR="00BE45E7">
        <w:t>n unopposed</w:t>
      </w:r>
      <w:r>
        <w:t xml:space="preserve"> </w:t>
      </w:r>
      <w:r>
        <w:rPr>
          <w:i/>
        </w:rPr>
        <w:t>Notice of Proposed Rulemaking</w:t>
      </w:r>
      <w:r>
        <w:t xml:space="preserve"> (</w:t>
      </w:r>
      <w:r>
        <w:rPr>
          <w:i/>
        </w:rPr>
        <w:t>NPRM</w:t>
      </w:r>
      <w:r w:rsidR="00D846EC">
        <w:t>)</w:t>
      </w:r>
      <w:r>
        <w:t xml:space="preserve"> proposing </w:t>
      </w:r>
      <w:r w:rsidR="00E85EA2">
        <w:t xml:space="preserve">to </w:t>
      </w:r>
      <w:r>
        <w:t>amend the DTV Table of Allotments to reallot channel 17 from Block Island</w:t>
      </w:r>
      <w:r w:rsidR="006D49FB">
        <w:t>, Rhode Island,</w:t>
      </w:r>
      <w:r>
        <w:t xml:space="preserve"> to Newport, Rhode Island</w:t>
      </w:r>
      <w:r w:rsidR="001947B7">
        <w:t>.</w:t>
      </w:r>
      <w:r>
        <w:rPr>
          <w:rStyle w:val="FootnoteReference"/>
        </w:rPr>
        <w:footnoteReference w:id="3"/>
      </w:r>
      <w:r w:rsidR="001947B7">
        <w:t xml:space="preserve"> </w:t>
      </w:r>
      <w:r w:rsidR="005E47D2">
        <w:t xml:space="preserve"> </w:t>
      </w:r>
      <w:r>
        <w:t>ION filed</w:t>
      </w:r>
      <w:r w:rsidR="004F790A">
        <w:t xml:space="preserve"> comments</w:t>
      </w:r>
      <w:r w:rsidR="008A21E8">
        <w:t xml:space="preserve"> in support of, and expressing </w:t>
      </w:r>
      <w:r w:rsidR="004F790A">
        <w:t>continued interest in,</w:t>
      </w:r>
      <w:r>
        <w:t xml:space="preserve"> the proposed reallotment.</w:t>
      </w:r>
      <w:r>
        <w:rPr>
          <w:rStyle w:val="FootnoteReference"/>
        </w:rPr>
        <w:footnoteReference w:id="4"/>
      </w:r>
      <w:r>
        <w:t xml:space="preserve"> </w:t>
      </w:r>
      <w:r w:rsidR="00CB115E">
        <w:t xml:space="preserve"> For the reasons </w:t>
      </w:r>
      <w:r w:rsidR="00670CA9">
        <w:t>discussed below, we:  (1) grant</w:t>
      </w:r>
      <w:r w:rsidR="00757FA9">
        <w:t xml:space="preserve"> ION</w:t>
      </w:r>
      <w:r w:rsidR="008A21E8">
        <w:t>’s</w:t>
      </w:r>
      <w:r w:rsidR="00CB115E">
        <w:t xml:space="preserve"> request to change WPXQ’s community </w:t>
      </w:r>
      <w:r w:rsidR="008A21E8">
        <w:t xml:space="preserve">of license </w:t>
      </w:r>
      <w:r w:rsidR="00CB115E">
        <w:t xml:space="preserve">to </w:t>
      </w:r>
      <w:r w:rsidR="008A21E8">
        <w:t>Newport,</w:t>
      </w:r>
      <w:r w:rsidR="00670CA9">
        <w:t xml:space="preserve"> Rhode Island</w:t>
      </w:r>
      <w:r w:rsidR="0040322D">
        <w:t xml:space="preserve">; </w:t>
      </w:r>
      <w:r w:rsidR="00CB115E">
        <w:t>(2</w:t>
      </w:r>
      <w:r w:rsidR="00920850">
        <w:t>) amend</w:t>
      </w:r>
      <w:r w:rsidR="00CB115E">
        <w:t xml:space="preserve"> the </w:t>
      </w:r>
      <w:r w:rsidR="006D49FB">
        <w:t xml:space="preserve">DTV </w:t>
      </w:r>
      <w:r w:rsidR="00CB115E">
        <w:t xml:space="preserve">Table of Allotments to reflect the change; (3) </w:t>
      </w:r>
      <w:r w:rsidR="00670CA9">
        <w:t>modify</w:t>
      </w:r>
      <w:r w:rsidR="00CB115E">
        <w:t xml:space="preserve"> WPXQ’s license to reflect that its comm</w:t>
      </w:r>
      <w:r w:rsidR="008A21E8">
        <w:t>unity of license is Newport</w:t>
      </w:r>
      <w:r w:rsidR="00CB115E">
        <w:t>, Rhode Island</w:t>
      </w:r>
      <w:r w:rsidR="00302AE3">
        <w:t xml:space="preserve">; </w:t>
      </w:r>
      <w:r w:rsidR="00840544">
        <w:t xml:space="preserve">and </w:t>
      </w:r>
      <w:r w:rsidR="00302AE3">
        <w:t>(4) condition any authorizations implementing this community of license change on continued service to Block Island</w:t>
      </w:r>
      <w:r w:rsidR="00816070">
        <w:t>.</w:t>
      </w:r>
    </w:p>
    <w:p w:rsidR="00BE45E7" w:rsidP="00BE45E7">
      <w:pPr>
        <w:pStyle w:val="ParaNum"/>
        <w:numPr>
          <w:ilvl w:val="0"/>
          <w:numId w:val="17"/>
        </w:numPr>
        <w:ind w:left="720"/>
      </w:pPr>
      <w:r>
        <w:rPr>
          <w:b/>
        </w:rPr>
        <w:t>BACKGROUND</w:t>
      </w:r>
    </w:p>
    <w:p w:rsidR="005639FD" w:rsidP="00631BF7">
      <w:pPr>
        <w:pStyle w:val="ParaNum"/>
        <w:tabs>
          <w:tab w:val="clear" w:pos="1080"/>
          <w:tab w:val="num" w:pos="1440"/>
        </w:tabs>
      </w:pPr>
      <w:bookmarkStart w:id="2" w:name="_Hlk501539640"/>
      <w:r>
        <w:t xml:space="preserve"> </w:t>
      </w:r>
      <w:r w:rsidR="00757FA9">
        <w:t>On December 12, 2017, ION</w:t>
      </w:r>
      <w:r w:rsidR="008720D6">
        <w:t xml:space="preserve"> filed a petition for rulemaking proposing to reallot channel 17 from Block</w:t>
      </w:r>
      <w:r w:rsidR="008A21E8">
        <w:t xml:space="preserve"> Island to Newport</w:t>
      </w:r>
      <w:r w:rsidR="00920850">
        <w:t xml:space="preserve"> (rulemaking petition)</w:t>
      </w:r>
      <w:r>
        <w:rPr>
          <w:rStyle w:val="FootnoteReference"/>
        </w:rPr>
        <w:footnoteReference w:id="5"/>
      </w:r>
      <w:r w:rsidR="00920850">
        <w:t xml:space="preserve"> </w:t>
      </w:r>
      <w:r w:rsidR="008D1E02">
        <w:t>pursuant</w:t>
      </w:r>
      <w:r w:rsidR="00EF0AF7">
        <w:t xml:space="preserve"> to Section </w:t>
      </w:r>
      <w:r w:rsidR="00CE1F7C">
        <w:t>1.</w:t>
      </w:r>
      <w:r w:rsidR="005052EA">
        <w:t>42</w:t>
      </w:r>
      <w:r w:rsidR="00CE1F7C">
        <w:t>0</w:t>
      </w:r>
      <w:r w:rsidR="005052EA">
        <w:t>(</w:t>
      </w:r>
      <w:r w:rsidR="005052EA">
        <w:t>i</w:t>
      </w:r>
      <w:r w:rsidR="005052EA">
        <w:t>) of the</w:t>
      </w:r>
      <w:r w:rsidR="00EF0AF7">
        <w:t xml:space="preserve"> Commission’s rul</w:t>
      </w:r>
      <w:r w:rsidR="00DC76CF">
        <w:t>es</w:t>
      </w:r>
      <w:r w:rsidR="00920850">
        <w:t>.</w:t>
      </w:r>
      <w:r>
        <w:rPr>
          <w:rStyle w:val="FootnoteReference"/>
        </w:rPr>
        <w:footnoteReference w:id="6"/>
      </w:r>
      <w:r w:rsidR="00670CA9">
        <w:t xml:space="preserve"> </w:t>
      </w:r>
      <w:r w:rsidR="00341124">
        <w:t xml:space="preserve"> </w:t>
      </w:r>
      <w:r w:rsidR="00757FA9">
        <w:t>ION</w:t>
      </w:r>
      <w:r>
        <w:t xml:space="preserve"> stated</w:t>
      </w:r>
      <w:r w:rsidR="00BE45E7">
        <w:t xml:space="preserve"> that it</w:t>
      </w:r>
      <w:r w:rsidR="00684BF9">
        <w:t>s proposed reallotment</w:t>
      </w:r>
      <w:r w:rsidR="00BE45E7">
        <w:t xml:space="preserve"> is based on the technical specifications currently </w:t>
      </w:r>
      <w:r w:rsidR="00BE45E7">
        <w:t>authorized for WPXQ</w:t>
      </w:r>
      <w:r>
        <w:t xml:space="preserve"> – meaning the new allotment will be mutually exclusive with WPXQ’s existing allotment</w:t>
      </w:r>
      <w:r w:rsidR="00BE45E7">
        <w:t>.</w:t>
      </w:r>
      <w:r>
        <w:rPr>
          <w:rStyle w:val="FootnoteReference"/>
        </w:rPr>
        <w:footnoteReference w:id="7"/>
      </w:r>
      <w:r w:rsidR="00BE45E7">
        <w:t xml:space="preserve"> </w:t>
      </w:r>
      <w:r w:rsidR="00684BF9">
        <w:t xml:space="preserve"> </w:t>
      </w:r>
      <w:r w:rsidR="00757FA9">
        <w:t>ION</w:t>
      </w:r>
      <w:r w:rsidR="00670CA9">
        <w:t xml:space="preserve"> </w:t>
      </w:r>
      <w:r w:rsidR="00684BF9">
        <w:t xml:space="preserve">also </w:t>
      </w:r>
      <w:r w:rsidR="00670CA9">
        <w:t xml:space="preserve">stated </w:t>
      </w:r>
      <w:r w:rsidR="00684BF9">
        <w:t xml:space="preserve">that the proposed reallotment will result in a preferential arrangement of allotments pursuant to the </w:t>
      </w:r>
      <w:r w:rsidR="00B22ECF">
        <w:t>Commission’s second</w:t>
      </w:r>
      <w:r w:rsidR="00670CA9">
        <w:t xml:space="preserve"> allotment priority by pro</w:t>
      </w:r>
      <w:r w:rsidR="00B22ECF">
        <w:t xml:space="preserve">viding Newport </w:t>
      </w:r>
      <w:r w:rsidR="00670CA9">
        <w:t>with its first local television service.</w:t>
      </w:r>
      <w:r>
        <w:rPr>
          <w:rStyle w:val="FootnoteReference"/>
        </w:rPr>
        <w:footnoteReference w:id="8"/>
      </w:r>
      <w:r w:rsidR="00670CA9">
        <w:t xml:space="preserve">  </w:t>
      </w:r>
    </w:p>
    <w:p w:rsidR="008720D6" w:rsidP="00B22ECF">
      <w:pPr>
        <w:pStyle w:val="ParaNum"/>
        <w:widowControl/>
        <w:tabs>
          <w:tab w:val="clear" w:pos="1080"/>
        </w:tabs>
      </w:pPr>
      <w:r>
        <w:t xml:space="preserve">Because Block Island will lose its first and only local service if the proposed reallotment is granted, </w:t>
      </w:r>
      <w:r w:rsidR="00757FA9">
        <w:t>ION</w:t>
      </w:r>
      <w:r w:rsidR="00E01FDD">
        <w:t xml:space="preserve"> also requested a waiver of the Commission’s general prohibition on </w:t>
      </w:r>
      <w:r w:rsidR="00960638">
        <w:t>such removals</w:t>
      </w:r>
      <w:r w:rsidR="00E01FDD">
        <w:t>.</w:t>
      </w:r>
      <w:r>
        <w:rPr>
          <w:rStyle w:val="FootnoteReference"/>
        </w:rPr>
        <w:footnoteReference w:id="9"/>
      </w:r>
      <w:r w:rsidR="00C65C59">
        <w:t xml:space="preserve">  </w:t>
      </w:r>
      <w:r w:rsidRPr="00374D46" w:rsidR="00374D46">
        <w:t>According to ION, a waiver is justified because there are “substantial public interest benefits” that heavily favor reallocating WPXQ to Newport.</w:t>
      </w:r>
      <w:r>
        <w:rPr>
          <w:vertAlign w:val="superscript"/>
        </w:rPr>
        <w:footnoteReference w:id="10"/>
      </w:r>
      <w:r w:rsidRPr="00374D46" w:rsidR="00374D46">
        <w:t xml:space="preserve">  First, ION claims that Newport is a much larger community than Block Island.</w:t>
      </w:r>
      <w:r>
        <w:rPr>
          <w:vertAlign w:val="superscript"/>
        </w:rPr>
        <w:footnoteReference w:id="11"/>
      </w:r>
      <w:r w:rsidRPr="00374D46" w:rsidR="00374D46">
        <w:t xml:space="preserve">  Specifically, ION notes that Newport has a population of 24,027</w:t>
      </w:r>
      <w:r>
        <w:rPr>
          <w:vertAlign w:val="superscript"/>
        </w:rPr>
        <w:footnoteReference w:id="12"/>
      </w:r>
      <w:r w:rsidRPr="00374D46" w:rsidR="00374D46">
        <w:t xml:space="preserve"> and is located on </w:t>
      </w:r>
      <w:r w:rsidRPr="00374D46" w:rsidR="00374D46">
        <w:t>Acquidneck</w:t>
      </w:r>
      <w:r w:rsidRPr="00374D46" w:rsidR="00374D46">
        <w:t xml:space="preserve"> Island (home to nearly 60,000 full-year residents)</w:t>
      </w:r>
      <w:r>
        <w:rPr>
          <w:vertAlign w:val="superscript"/>
        </w:rPr>
        <w:footnoteReference w:id="13"/>
      </w:r>
      <w:r w:rsidRPr="00374D46" w:rsidR="00374D46">
        <w:t xml:space="preserve"> – unlike </w:t>
      </w:r>
      <w:r w:rsidR="00374D46">
        <w:t xml:space="preserve">Block Island, which has a </w:t>
      </w:r>
      <w:r w:rsidRPr="00374D46" w:rsidR="00374D46">
        <w:t>population of approximately 1,000.</w:t>
      </w:r>
      <w:r>
        <w:rPr>
          <w:vertAlign w:val="superscript"/>
        </w:rPr>
        <w:footnoteReference w:id="14"/>
      </w:r>
      <w:r w:rsidRPr="00374D46" w:rsidR="00374D46">
        <w:t xml:space="preserve">  Second, ION claims that Newport, the county seat of Newport County, has a “robust local government”</w:t>
      </w:r>
      <w:r>
        <w:rPr>
          <w:vertAlign w:val="superscript"/>
        </w:rPr>
        <w:footnoteReference w:id="15"/>
      </w:r>
      <w:r w:rsidRPr="00374D46" w:rsidR="00374D46">
        <w:t xml:space="preserve"> and “more of every type of public service and cultural indicia that the Commission generally considers in allotting local service.”</w:t>
      </w:r>
      <w:r>
        <w:rPr>
          <w:vertAlign w:val="superscript"/>
        </w:rPr>
        <w:footnoteReference w:id="16"/>
      </w:r>
      <w:r w:rsidRPr="00374D46" w:rsidR="00374D46">
        <w:t xml:space="preserve">  For example, ION notes that Newport, with an annual operating budget of $125 million, has four police stations; three fire stations; a hospital; 27 places of worship; 11 museums; five performing arts centers; several colleges, including the U.S. Navy War College and the Naval Undersea Warfare Center; a diverse local economy with the U.S. Navy being the largest employer (approximately 14,922 employees</w:t>
      </w:r>
      <w:r w:rsidR="00756A07">
        <w:t>)</w:t>
      </w:r>
      <w:r w:rsidRPr="00374D46" w:rsidR="00374D46">
        <w:t>; and has a historical significance as it once was “one of the largest and most important colonial seaports in the British Empire before the American Revolution.”</w:t>
      </w:r>
      <w:r>
        <w:rPr>
          <w:vertAlign w:val="superscript"/>
        </w:rPr>
        <w:footnoteReference w:id="17"/>
      </w:r>
      <w:r w:rsidRPr="00374D46" w:rsidR="00374D46">
        <w:t xml:space="preserve">  </w:t>
      </w:r>
      <w:r w:rsidR="007917F4">
        <w:t xml:space="preserve">In comparison, </w:t>
      </w:r>
      <w:r w:rsidRPr="00374D46" w:rsidR="00374D46">
        <w:t>ION states that Block Island</w:t>
      </w:r>
      <w:r w:rsidR="00E36429">
        <w:t>, with</w:t>
      </w:r>
      <w:r w:rsidRPr="00374D46" w:rsidR="00374D46">
        <w:t xml:space="preserve"> an operating budget of $15 million</w:t>
      </w:r>
      <w:r w:rsidR="007917F4">
        <w:t>,</w:t>
      </w:r>
      <w:r w:rsidRPr="00374D46" w:rsidR="00374D46">
        <w:t xml:space="preserve"> has one police station; one volunteer fire station; one medical center; four places of worship; one museum; no performing arts centers; no colleges; and a local economy whose three largest employers employ around 100 employee</w:t>
      </w:r>
      <w:r w:rsidR="008C26EA">
        <w:t>s each</w:t>
      </w:r>
      <w:r w:rsidRPr="00374D46" w:rsidR="00374D46">
        <w:t>.</w:t>
      </w:r>
      <w:r>
        <w:rPr>
          <w:vertAlign w:val="superscript"/>
        </w:rPr>
        <w:footnoteReference w:id="18"/>
      </w:r>
      <w:r w:rsidRPr="00374D46" w:rsidR="00374D46">
        <w:t xml:space="preserve">  Lastly, ION claims that the proposed reallotment “will cause no public harm” because Block Island will not only continue to be served by five full</w:t>
      </w:r>
      <w:r w:rsidR="007917F4">
        <w:t xml:space="preserve"> </w:t>
      </w:r>
      <w:r w:rsidRPr="00374D46" w:rsidR="00374D46">
        <w:t xml:space="preserve">power commercial and </w:t>
      </w:r>
      <w:r w:rsidRPr="00374D46" w:rsidR="00374D46">
        <w:t>one full</w:t>
      </w:r>
      <w:r w:rsidR="00840544">
        <w:t xml:space="preserve"> </w:t>
      </w:r>
      <w:r w:rsidRPr="00374D46" w:rsidR="00374D46">
        <w:t>power non-commercial television stations,</w:t>
      </w:r>
      <w:r>
        <w:rPr>
          <w:vertAlign w:val="superscript"/>
        </w:rPr>
        <w:footnoteReference w:id="19"/>
      </w:r>
      <w:r w:rsidRPr="00374D46" w:rsidR="00374D46">
        <w:t xml:space="preserve"> but will also continue to receive “exactly the same over-the-air service from [WPXQ] that </w:t>
      </w:r>
      <w:r w:rsidR="00840544">
        <w:t>[it is]</w:t>
      </w:r>
      <w:r w:rsidRPr="00374D46" w:rsidR="00374D46">
        <w:t xml:space="preserve"> receiving today.”</w:t>
      </w:r>
      <w:r>
        <w:rPr>
          <w:vertAlign w:val="superscript"/>
        </w:rPr>
        <w:footnoteReference w:id="20"/>
      </w:r>
      <w:r w:rsidRPr="00374D46" w:rsidR="00374D46">
        <w:rPr>
          <w:b/>
        </w:rPr>
        <w:t xml:space="preserve">  </w:t>
      </w:r>
    </w:p>
    <w:p w:rsidR="00CE1F7C" w:rsidP="00873850">
      <w:pPr>
        <w:pStyle w:val="ParaNum"/>
        <w:widowControl/>
        <w:tabs>
          <w:tab w:val="clear" w:pos="1080"/>
          <w:tab w:val="num" w:pos="1440"/>
        </w:tabs>
      </w:pPr>
      <w:r>
        <w:t>On May 14, 2018, the Video Division</w:t>
      </w:r>
      <w:r w:rsidR="00757FA9">
        <w:t xml:space="preserve"> </w:t>
      </w:r>
      <w:r w:rsidR="007144DA">
        <w:t xml:space="preserve">issued the </w:t>
      </w:r>
      <w:r w:rsidR="007144DA">
        <w:rPr>
          <w:i/>
        </w:rPr>
        <w:t>NPRM</w:t>
      </w:r>
      <w:r w:rsidR="00873850">
        <w:t>, which</w:t>
      </w:r>
      <w:r w:rsidR="00873850">
        <w:rPr>
          <w:i/>
        </w:rPr>
        <w:t xml:space="preserve"> </w:t>
      </w:r>
      <w:r w:rsidR="00873850">
        <w:t xml:space="preserve">concluded that ION provided sufficient information to warrant further consideration of:  (1) its request for a waiver of the Commission’s general prohibition on the removal of a </w:t>
      </w:r>
      <w:r w:rsidR="009232E9">
        <w:t>c</w:t>
      </w:r>
      <w:r w:rsidR="00873850">
        <w:t>ommunities first local service; and (2) its</w:t>
      </w:r>
      <w:r w:rsidRPr="00873850" w:rsidR="00873850">
        <w:t xml:space="preserve"> </w:t>
      </w:r>
      <w:r w:rsidR="00873850">
        <w:t>proposal to amend the DTV Table of Allotments by deleting channel 17 at Block Island and substitut</w:t>
      </w:r>
      <w:r w:rsidR="002A2B92">
        <w:t>ing</w:t>
      </w:r>
      <w:r w:rsidR="00873850">
        <w:t xml:space="preserve"> channel 17 at Newport.</w:t>
      </w:r>
      <w:r>
        <w:rPr>
          <w:rStyle w:val="FootnoteReference"/>
        </w:rPr>
        <w:footnoteReference w:id="21"/>
      </w:r>
      <w:r w:rsidR="00873850">
        <w:t xml:space="preserve"> </w:t>
      </w:r>
      <w:r>
        <w:t xml:space="preserve"> </w:t>
      </w:r>
      <w:r w:rsidR="00F6492D">
        <w:t>Accordingly, t</w:t>
      </w:r>
      <w:r w:rsidR="009E6436">
        <w:t>he</w:t>
      </w:r>
      <w:r w:rsidR="00F6492D">
        <w:t xml:space="preserve"> Video Division</w:t>
      </w:r>
      <w:r w:rsidR="009E6436">
        <w:t xml:space="preserve"> </w:t>
      </w:r>
      <w:r w:rsidR="00CD615F">
        <w:t xml:space="preserve">sought </w:t>
      </w:r>
      <w:r w:rsidR="00873850">
        <w:t xml:space="preserve">public </w:t>
      </w:r>
      <w:r w:rsidR="00CD615F">
        <w:t xml:space="preserve">comment </w:t>
      </w:r>
      <w:r w:rsidR="00873850">
        <w:t xml:space="preserve">on whether </w:t>
      </w:r>
      <w:r w:rsidR="004F3488">
        <w:t xml:space="preserve">the Commission should grant </w:t>
      </w:r>
      <w:r w:rsidR="00873850">
        <w:t xml:space="preserve">ION’s requested waiver and </w:t>
      </w:r>
      <w:r w:rsidR="004F3488">
        <w:t>grant its proposed reallotment.</w:t>
      </w:r>
      <w:r>
        <w:rPr>
          <w:rStyle w:val="FootnoteReference"/>
        </w:rPr>
        <w:footnoteReference w:id="22"/>
      </w:r>
    </w:p>
    <w:p w:rsidR="009E6436" w:rsidP="00EE51A8">
      <w:pPr>
        <w:pStyle w:val="ParaNum"/>
        <w:tabs>
          <w:tab w:val="clear" w:pos="1080"/>
          <w:tab w:val="num" w:pos="1440"/>
        </w:tabs>
      </w:pPr>
      <w:bookmarkStart w:id="4" w:name="_Hlk506449115"/>
      <w:r>
        <w:t xml:space="preserve"> </w:t>
      </w:r>
      <w:r w:rsidR="005D3787">
        <w:t>On July 13, 2018, ION</w:t>
      </w:r>
      <w:r w:rsidR="009E0DB1">
        <w:t xml:space="preserve"> filed comments expressing continued</w:t>
      </w:r>
      <w:r w:rsidR="00F6492D">
        <w:t xml:space="preserve"> support for the proposed reallotment.</w:t>
      </w:r>
      <w:r>
        <w:rPr>
          <w:rStyle w:val="FootnoteReference"/>
        </w:rPr>
        <w:footnoteReference w:id="23"/>
      </w:r>
      <w:r w:rsidR="00B3031B">
        <w:t xml:space="preserve"> </w:t>
      </w:r>
      <w:r w:rsidR="00EE51A8">
        <w:t xml:space="preserve"> </w:t>
      </w:r>
      <w:r w:rsidR="00D3086F">
        <w:t xml:space="preserve">ION </w:t>
      </w:r>
      <w:r w:rsidR="00B3031B">
        <w:t xml:space="preserve">reiterated </w:t>
      </w:r>
      <w:r w:rsidR="00671FBA">
        <w:t>that the propose</w:t>
      </w:r>
      <w:r w:rsidR="00A46A7A">
        <w:t>d reallotment</w:t>
      </w:r>
      <w:r w:rsidR="00CD615F">
        <w:t xml:space="preserve"> would serve the public interest because it satisfies the Commission’s second allotment priority</w:t>
      </w:r>
      <w:r w:rsidR="00671FBA">
        <w:t>.</w:t>
      </w:r>
      <w:r>
        <w:rPr>
          <w:rStyle w:val="FootnoteReference"/>
        </w:rPr>
        <w:footnoteReference w:id="24"/>
      </w:r>
      <w:r w:rsidR="00671FBA">
        <w:t xml:space="preserve">  </w:t>
      </w:r>
      <w:r w:rsidR="00285CAA">
        <w:t xml:space="preserve">ION </w:t>
      </w:r>
      <w:r w:rsidR="00A46A7A">
        <w:t>also reiterated that</w:t>
      </w:r>
      <w:r w:rsidR="00CD615F">
        <w:t xml:space="preserve"> a waiver of the Commission’s general prohibition on the removal of a community’s first local service is warranted.</w:t>
      </w:r>
      <w:r>
        <w:rPr>
          <w:rStyle w:val="FootnoteReference"/>
        </w:rPr>
        <w:footnoteReference w:id="25"/>
      </w:r>
      <w:r w:rsidR="00CD615F">
        <w:t xml:space="preserve">  ION, as it did in the rulemaking petition, stated that there are “</w:t>
      </w:r>
      <w:r w:rsidR="00A46A7A">
        <w:t>offsetting factors</w:t>
      </w:r>
      <w:r w:rsidR="00CD615F">
        <w:t>”</w:t>
      </w:r>
      <w:r w:rsidR="00A46A7A">
        <w:t xml:space="preserve"> show</w:t>
      </w:r>
      <w:r w:rsidR="00CD615F">
        <w:t>ing</w:t>
      </w:r>
      <w:r w:rsidR="00DC64B9">
        <w:t xml:space="preserve"> why removal of Block Island’s first local service is consistent with</w:t>
      </w:r>
      <w:r w:rsidR="00A46A7A">
        <w:t xml:space="preserve"> the public interest.</w:t>
      </w:r>
      <w:r>
        <w:rPr>
          <w:rStyle w:val="FootnoteReference"/>
        </w:rPr>
        <w:footnoteReference w:id="26"/>
      </w:r>
      <w:r w:rsidR="00A46A7A">
        <w:t xml:space="preserve">  </w:t>
      </w:r>
      <w:r w:rsidR="00DC64B9">
        <w:t xml:space="preserve">Furthermore, </w:t>
      </w:r>
      <w:r w:rsidR="005F4BC0">
        <w:t>ION</w:t>
      </w:r>
      <w:r w:rsidR="00CD615F">
        <w:t xml:space="preserve"> again</w:t>
      </w:r>
      <w:r w:rsidR="005F4BC0">
        <w:t xml:space="preserve"> stated that it did not propose any chang</w:t>
      </w:r>
      <w:r w:rsidR="007F5BC6">
        <w:t>es to</w:t>
      </w:r>
      <w:r w:rsidR="00DC64B9">
        <w:t xml:space="preserve"> WPXQ’s</w:t>
      </w:r>
      <w:r w:rsidR="007F5BC6">
        <w:t xml:space="preserve"> technical facilities</w:t>
      </w:r>
      <w:r w:rsidR="00D92BE1">
        <w:t>.</w:t>
      </w:r>
      <w:r>
        <w:rPr>
          <w:rStyle w:val="FootnoteReference"/>
        </w:rPr>
        <w:footnoteReference w:id="27"/>
      </w:r>
      <w:r w:rsidR="00D92BE1">
        <w:t xml:space="preserve">  ION also </w:t>
      </w:r>
      <w:r w:rsidR="007F5BC6">
        <w:t>re</w:t>
      </w:r>
      <w:r w:rsidR="00DC64B9">
        <w:t>committed to</w:t>
      </w:r>
      <w:r w:rsidR="005F4BC0">
        <w:t xml:space="preserve"> </w:t>
      </w:r>
      <w:r w:rsidR="00DC64B9">
        <w:t xml:space="preserve">continuing to provide </w:t>
      </w:r>
      <w:r w:rsidR="005F4BC0">
        <w:t>service to Block Island’s viewers</w:t>
      </w:r>
      <w:r w:rsidR="00D92BE1">
        <w:t xml:space="preserve"> – noting that </w:t>
      </w:r>
      <w:r w:rsidR="00292880">
        <w:t>the over-the-air service WPXQ provides to Block Island will not change</w:t>
      </w:r>
      <w:r w:rsidR="005F4BC0">
        <w:t>.</w:t>
      </w:r>
      <w:r>
        <w:rPr>
          <w:rStyle w:val="FootnoteReference"/>
        </w:rPr>
        <w:footnoteReference w:id="28"/>
      </w:r>
      <w:r w:rsidR="00876CF1">
        <w:t xml:space="preserve">  </w:t>
      </w:r>
      <w:r w:rsidR="000875A5">
        <w:t>We note that no comments</w:t>
      </w:r>
      <w:r w:rsidR="007D37F0">
        <w:t xml:space="preserve"> were filed</w:t>
      </w:r>
      <w:r w:rsidR="000875A5">
        <w:t xml:space="preserve"> in support of, or in opposition to, ION’s</w:t>
      </w:r>
      <w:r w:rsidR="00A958BE">
        <w:t xml:space="preserve"> comments</w:t>
      </w:r>
      <w:r w:rsidR="000875A5">
        <w:t>.</w:t>
      </w:r>
    </w:p>
    <w:p w:rsidR="00F6492D" w:rsidRPr="00F6492D" w:rsidP="00F6492D">
      <w:pPr>
        <w:pStyle w:val="ParaNum"/>
        <w:numPr>
          <w:ilvl w:val="0"/>
          <w:numId w:val="17"/>
        </w:numPr>
        <w:ind w:left="720"/>
        <w:rPr>
          <w:b/>
        </w:rPr>
      </w:pPr>
      <w:r w:rsidRPr="00F6492D">
        <w:rPr>
          <w:b/>
        </w:rPr>
        <w:t>DISCUSSION</w:t>
      </w:r>
    </w:p>
    <w:p w:rsidR="005E226C" w:rsidP="001364E3">
      <w:pPr>
        <w:pStyle w:val="ParaNum"/>
        <w:tabs>
          <w:tab w:val="clear" w:pos="1080"/>
          <w:tab w:val="num" w:pos="1440"/>
        </w:tabs>
      </w:pPr>
      <w:r>
        <w:t>When</w:t>
      </w:r>
      <w:r w:rsidR="00793EAC">
        <w:t xml:space="preserve"> evaluating a proposed</w:t>
      </w:r>
      <w:r>
        <w:t xml:space="preserve"> reallotment, the Commission compares the</w:t>
      </w:r>
      <w:r w:rsidR="003D26A2">
        <w:t xml:space="preserve"> proposal against the</w:t>
      </w:r>
      <w:r>
        <w:t xml:space="preserve"> existing allotment to determine whether the change would result in a preferential arrangement of allotments.</w:t>
      </w:r>
      <w:r>
        <w:rPr>
          <w:rStyle w:val="FootnoteReference"/>
        </w:rPr>
        <w:footnoteReference w:id="29"/>
      </w:r>
      <w:r>
        <w:t xml:space="preserve">  </w:t>
      </w:r>
      <w:r w:rsidR="003D26A2">
        <w:t>The Commission</w:t>
      </w:r>
      <w:r w:rsidR="002E75D1">
        <w:t xml:space="preserve"> will consider any proposal to change the DTV Table of Allotments </w:t>
      </w:r>
      <w:r>
        <w:t>to be in the pub</w:t>
      </w:r>
      <w:r w:rsidR="00163428">
        <w:t xml:space="preserve">lic interest if it </w:t>
      </w:r>
      <w:r w:rsidR="0082292A">
        <w:t>satisfies</w:t>
      </w:r>
      <w:r>
        <w:t xml:space="preserve"> one of the Commission’s</w:t>
      </w:r>
      <w:r w:rsidRPr="00762A73">
        <w:t xml:space="preserve"> five </w:t>
      </w:r>
      <w:r>
        <w:t xml:space="preserve">allotment </w:t>
      </w:r>
      <w:r w:rsidR="002E75D1">
        <w:t>priorities</w:t>
      </w:r>
      <w:r w:rsidRPr="00762A73">
        <w:t>.</w:t>
      </w:r>
      <w:r>
        <w:rPr>
          <w:rStyle w:val="FootnoteReference"/>
        </w:rPr>
        <w:footnoteReference w:id="30"/>
      </w:r>
      <w:r>
        <w:t xml:space="preserve">  Her</w:t>
      </w:r>
      <w:r w:rsidR="003D26A2">
        <w:t>e, we find that the proposal represents a preferential arrangement of allotments pursuant to the Commission’s second allotment priority</w:t>
      </w:r>
      <w:r w:rsidR="007F5BC6">
        <w:t xml:space="preserve"> by</w:t>
      </w:r>
      <w:r w:rsidR="0082292A">
        <w:t xml:space="preserve"> providing</w:t>
      </w:r>
      <w:r>
        <w:t xml:space="preserve"> Newport, the county seat of, and the largest city in, Newport County, with </w:t>
      </w:r>
      <w:r>
        <w:t>its first local television service</w:t>
      </w:r>
      <w:r w:rsidR="002E75D1">
        <w:t>.  However,</w:t>
      </w:r>
      <w:r w:rsidR="003D26A2">
        <w:t xml:space="preserve"> </w:t>
      </w:r>
      <w:r w:rsidR="001B483D">
        <w:t>grant of</w:t>
      </w:r>
      <w:r w:rsidR="0082292A">
        <w:t xml:space="preserve"> the proposed </w:t>
      </w:r>
      <w:r w:rsidR="001B483D">
        <w:t xml:space="preserve">reallotment will </w:t>
      </w:r>
      <w:r w:rsidR="0082292A">
        <w:t>cause</w:t>
      </w:r>
      <w:r>
        <w:t xml:space="preserve"> Block Island</w:t>
      </w:r>
      <w:r w:rsidR="0082292A">
        <w:t xml:space="preserve"> to</w:t>
      </w:r>
      <w:r w:rsidR="00563E06">
        <w:t xml:space="preserve"> lose its </w:t>
      </w:r>
      <w:r>
        <w:t>first and only local service</w:t>
      </w:r>
      <w:r w:rsidR="003D26A2">
        <w:t>, which the Commission generally prohibits</w:t>
      </w:r>
      <w:r w:rsidR="001B483D">
        <w:t>.</w:t>
      </w:r>
      <w:r>
        <w:rPr>
          <w:rStyle w:val="FootnoteReference"/>
        </w:rPr>
        <w:footnoteReference w:id="31"/>
      </w:r>
    </w:p>
    <w:p w:rsidR="00A9333F" w:rsidP="00CB3745">
      <w:pPr>
        <w:pStyle w:val="ParaNum"/>
        <w:widowControl/>
        <w:tabs>
          <w:tab w:val="clear" w:pos="1080"/>
          <w:tab w:val="num" w:pos="1440"/>
        </w:tabs>
      </w:pPr>
      <w:r>
        <w:t xml:space="preserve"> </w:t>
      </w:r>
      <w:r w:rsidR="00800DF1">
        <w:t>T</w:t>
      </w:r>
      <w:r w:rsidR="005E226C">
        <w:t>he</w:t>
      </w:r>
      <w:r w:rsidR="00597B3C">
        <w:t xml:space="preserve"> </w:t>
      </w:r>
      <w:r w:rsidR="00AC1B96">
        <w:t>Commission will e</w:t>
      </w:r>
      <w:r w:rsidR="003D26A2">
        <w:t>ntertain a request to waive its</w:t>
      </w:r>
      <w:r w:rsidR="00AC1B96">
        <w:t xml:space="preserve"> general prohibition </w:t>
      </w:r>
      <w:r w:rsidR="003D26A2">
        <w:t xml:space="preserve">on the removal of a community’s first local service </w:t>
      </w:r>
      <w:r w:rsidR="00AC1B96">
        <w:t>in the rare circumstances where such a removal might serve the public interest</w:t>
      </w:r>
      <w:r w:rsidR="004E55B0">
        <w:t xml:space="preserve"> – </w:t>
      </w:r>
      <w:r w:rsidR="004E55B0">
        <w:rPr>
          <w:i/>
        </w:rPr>
        <w:t>e.g.</w:t>
      </w:r>
      <w:r w:rsidR="00CC031A">
        <w:t>,</w:t>
      </w:r>
      <w:r w:rsidR="004E55B0">
        <w:rPr>
          <w:i/>
        </w:rPr>
        <w:t xml:space="preserve"> </w:t>
      </w:r>
      <w:r w:rsidR="004E55B0">
        <w:t>providing a first reception service to a significantly sized population</w:t>
      </w:r>
      <w:r w:rsidR="005E5893">
        <w:t>.</w:t>
      </w:r>
      <w:r>
        <w:rPr>
          <w:rStyle w:val="FootnoteReference"/>
        </w:rPr>
        <w:footnoteReference w:id="32"/>
      </w:r>
      <w:r w:rsidR="001B483D">
        <w:t xml:space="preserve">  </w:t>
      </w:r>
      <w:r w:rsidR="00B929E7">
        <w:t xml:space="preserve">Even then, </w:t>
      </w:r>
      <w:r>
        <w:t>“</w:t>
      </w:r>
      <w:r w:rsidR="00B929E7">
        <w:t>special circumstances</w:t>
      </w:r>
      <w:r>
        <w:t>”</w:t>
      </w:r>
      <w:r w:rsidR="00B929E7">
        <w:t xml:space="preserve"> must exist to warrant such a removal.</w:t>
      </w:r>
      <w:r>
        <w:rPr>
          <w:rStyle w:val="FootnoteReference"/>
        </w:rPr>
        <w:footnoteReference w:id="33"/>
      </w:r>
      <w:r w:rsidR="00B929E7">
        <w:t xml:space="preserve">  </w:t>
      </w:r>
      <w:r>
        <w:t>After reviewing the record</w:t>
      </w:r>
      <w:r w:rsidR="00B57082">
        <w:t xml:space="preserve">, </w:t>
      </w:r>
      <w:r w:rsidR="00800DF1">
        <w:t xml:space="preserve">we find </w:t>
      </w:r>
      <w:r w:rsidR="002E1EAC">
        <w:t xml:space="preserve">on balance </w:t>
      </w:r>
      <w:r w:rsidR="00B53FFF">
        <w:t xml:space="preserve">that </w:t>
      </w:r>
      <w:r w:rsidR="002E1EAC">
        <w:t xml:space="preserve">the public would benefit from </w:t>
      </w:r>
      <w:r w:rsidR="00DC0346">
        <w:t>grant</w:t>
      </w:r>
      <w:r w:rsidR="002E1EAC">
        <w:t xml:space="preserve"> of</w:t>
      </w:r>
      <w:r w:rsidR="00800DF1">
        <w:t xml:space="preserve"> a waiver</w:t>
      </w:r>
      <w:r>
        <w:t xml:space="preserve"> of our general prohibition</w:t>
      </w:r>
      <w:r w:rsidR="00D75B94">
        <w:t xml:space="preserve">. </w:t>
      </w:r>
      <w:r>
        <w:t xml:space="preserve"> </w:t>
      </w:r>
      <w:r w:rsidR="002E1EAC">
        <w:t>First, t</w:t>
      </w:r>
      <w:r>
        <w:t xml:space="preserve">he </w:t>
      </w:r>
      <w:r w:rsidR="004F0B32">
        <w:t xml:space="preserve">proposed reallotment would provide </w:t>
      </w:r>
      <w:r w:rsidR="003D26A2">
        <w:t>Newport</w:t>
      </w:r>
      <w:r w:rsidR="00DE0442">
        <w:t xml:space="preserve">, </w:t>
      </w:r>
      <w:r w:rsidR="00B9168E">
        <w:t xml:space="preserve">a community with </w:t>
      </w:r>
      <w:r w:rsidR="00DE0442">
        <w:t>a population that</w:t>
      </w:r>
      <w:r w:rsidR="003D26A2">
        <w:t xml:space="preserve"> </w:t>
      </w:r>
      <w:r>
        <w:t xml:space="preserve">is </w:t>
      </w:r>
      <w:r w:rsidR="003D26A2">
        <w:t>approximately 2</w:t>
      </w:r>
      <w:r w:rsidR="00D92BE1">
        <w:t>4</w:t>
      </w:r>
      <w:r w:rsidR="003D26A2">
        <w:t xml:space="preserve"> times larger than B</w:t>
      </w:r>
      <w:r w:rsidR="00B57082">
        <w:t>lock Island</w:t>
      </w:r>
      <w:r w:rsidR="005D019E">
        <w:t>’s</w:t>
      </w:r>
      <w:r w:rsidR="00DE0442">
        <w:t xml:space="preserve"> population, with its first local</w:t>
      </w:r>
      <w:r w:rsidR="002A2B92">
        <w:t xml:space="preserve"> television</w:t>
      </w:r>
      <w:r w:rsidR="00DE0442">
        <w:t xml:space="preserve"> service</w:t>
      </w:r>
      <w:r w:rsidR="00776921">
        <w:t>.</w:t>
      </w:r>
      <w:r>
        <w:t xml:space="preserve">  </w:t>
      </w:r>
      <w:r w:rsidR="002E1EAC">
        <w:t>Specifically, as</w:t>
      </w:r>
      <w:r w:rsidR="004358A1">
        <w:t xml:space="preserve"> ION</w:t>
      </w:r>
      <w:r w:rsidR="002E1EAC">
        <w:t xml:space="preserve"> note</w:t>
      </w:r>
      <w:r w:rsidR="004358A1">
        <w:t>d</w:t>
      </w:r>
      <w:r w:rsidR="002E1EAC">
        <w:t>, Newpor</w:t>
      </w:r>
      <w:r w:rsidR="008C26EA">
        <w:t>t</w:t>
      </w:r>
      <w:r w:rsidR="002E1EAC">
        <w:t xml:space="preserve">, including </w:t>
      </w:r>
      <w:r w:rsidR="002E1EAC">
        <w:t>Acquidneck</w:t>
      </w:r>
      <w:r w:rsidR="002E1EAC">
        <w:t xml:space="preserve"> Island where </w:t>
      </w:r>
      <w:r w:rsidR="00840544">
        <w:t>Newport</w:t>
      </w:r>
      <w:r w:rsidR="002E1EAC">
        <w:t xml:space="preserve"> is located, has a full-year population of almost 60,000</w:t>
      </w:r>
      <w:r w:rsidR="00756A07">
        <w:t xml:space="preserve"> </w:t>
      </w:r>
      <w:r w:rsidR="002E1EAC">
        <w:t>as compared to Block Island, with a population of just over 1,000.</w:t>
      </w:r>
      <w:r w:rsidR="001E202E">
        <w:t xml:space="preserve"> </w:t>
      </w:r>
      <w:r>
        <w:t xml:space="preserve"> </w:t>
      </w:r>
      <w:r w:rsidR="006F792B">
        <w:t>The difference in c</w:t>
      </w:r>
      <w:r>
        <w:t>ommunity services</w:t>
      </w:r>
      <w:r w:rsidR="006F792B">
        <w:t xml:space="preserve"> between Newport and Block Island</w:t>
      </w:r>
      <w:r>
        <w:t xml:space="preserve"> also reflect</w:t>
      </w:r>
      <w:r w:rsidR="00BC3CFC">
        <w:t>s</w:t>
      </w:r>
      <w:r>
        <w:t xml:space="preserve"> the disparity in </w:t>
      </w:r>
      <w:r w:rsidR="008C26EA">
        <w:t>the</w:t>
      </w:r>
      <w:r w:rsidR="006F792B">
        <w:t>ir</w:t>
      </w:r>
      <w:r w:rsidR="008C26EA">
        <w:t xml:space="preserve"> respective </w:t>
      </w:r>
      <w:r>
        <w:t>permanent population</w:t>
      </w:r>
      <w:r w:rsidR="006F792B">
        <w:t>s.</w:t>
      </w:r>
      <w:r>
        <w:t xml:space="preserve">  Newport</w:t>
      </w:r>
      <w:r w:rsidR="00747615">
        <w:t>,</w:t>
      </w:r>
      <w:r>
        <w:t xml:space="preserve"> for example</w:t>
      </w:r>
      <w:r w:rsidR="00747615">
        <w:t>,</w:t>
      </w:r>
      <w:r>
        <w:t xml:space="preserve"> has </w:t>
      </w:r>
      <w:r w:rsidR="00747615">
        <w:t>four</w:t>
      </w:r>
      <w:r>
        <w:t xml:space="preserve"> polic</w:t>
      </w:r>
      <w:r w:rsidR="00242466">
        <w:t xml:space="preserve">e stations, </w:t>
      </w:r>
      <w:r w:rsidR="00747615">
        <w:t>three</w:t>
      </w:r>
      <w:r w:rsidR="00242466">
        <w:t xml:space="preserve"> fire stations, a hospital, and an annual</w:t>
      </w:r>
      <w:r>
        <w:t xml:space="preserve"> operating budget of </w:t>
      </w:r>
      <w:r w:rsidR="00242466">
        <w:t>approximately $125 million. In comparison, Block Island</w:t>
      </w:r>
      <w:r>
        <w:t xml:space="preserve"> </w:t>
      </w:r>
      <w:r w:rsidR="00242466">
        <w:t>operates with an annual budget</w:t>
      </w:r>
      <w:r>
        <w:t xml:space="preserve"> of </w:t>
      </w:r>
      <w:r w:rsidR="00242466">
        <w:t xml:space="preserve">only </w:t>
      </w:r>
      <w:r>
        <w:t>$15 million</w:t>
      </w:r>
      <w:r w:rsidR="00242466">
        <w:t xml:space="preserve">, resulting in </w:t>
      </w:r>
      <w:r>
        <w:t xml:space="preserve">much more limited city services. </w:t>
      </w:r>
      <w:r w:rsidR="00747615">
        <w:t xml:space="preserve"> A</w:t>
      </w:r>
      <w:r>
        <w:t>ddition</w:t>
      </w:r>
      <w:r w:rsidR="00747615">
        <w:t>ally</w:t>
      </w:r>
      <w:r w:rsidR="00242466">
        <w:t>,</w:t>
      </w:r>
      <w:r>
        <w:t xml:space="preserve"> there are significant disparities in </w:t>
      </w:r>
      <w:r w:rsidR="008C26EA">
        <w:t xml:space="preserve">the </w:t>
      </w:r>
      <w:r>
        <w:t>employment and cultural opportunities</w:t>
      </w:r>
      <w:r w:rsidR="008C26EA">
        <w:t xml:space="preserve"> between Newport and Block Island</w:t>
      </w:r>
      <w:r>
        <w:t xml:space="preserve">, with </w:t>
      </w:r>
      <w:r w:rsidR="008C26EA">
        <w:t xml:space="preserve">Newport providing </w:t>
      </w:r>
      <w:r>
        <w:t xml:space="preserve">many more </w:t>
      </w:r>
      <w:r w:rsidR="008C26EA">
        <w:t>of each.</w:t>
      </w:r>
      <w:r>
        <w:t xml:space="preserve">  In fact, the record supports the </w:t>
      </w:r>
      <w:r w:rsidR="00242466">
        <w:t xml:space="preserve">general </w:t>
      </w:r>
      <w:r>
        <w:t xml:space="preserve">conclusion that Newport is a </w:t>
      </w:r>
      <w:r w:rsidR="00242466">
        <w:t xml:space="preserve">vibrant year-round </w:t>
      </w:r>
      <w:r>
        <w:t xml:space="preserve">community, while Block </w:t>
      </w:r>
      <w:r w:rsidR="00747615">
        <w:t>I</w:t>
      </w:r>
      <w:r>
        <w:t xml:space="preserve">sland </w:t>
      </w:r>
      <w:r w:rsidR="00242466">
        <w:t>may be</w:t>
      </w:r>
      <w:r>
        <w:t xml:space="preserve"> associated with more seasonal occupancy.  </w:t>
      </w:r>
    </w:p>
    <w:p w:rsidR="00800DF1" w:rsidP="00A9333F">
      <w:pPr>
        <w:pStyle w:val="ParaNum"/>
        <w:widowControl/>
        <w:tabs>
          <w:tab w:val="clear" w:pos="1080"/>
          <w:tab w:val="num" w:pos="1440"/>
        </w:tabs>
      </w:pPr>
      <w:r>
        <w:t>Further</w:t>
      </w:r>
      <w:r w:rsidR="00747615">
        <w:t>,</w:t>
      </w:r>
      <w:r>
        <w:t xml:space="preserve"> our decision in this case is influenced by the fact that</w:t>
      </w:r>
      <w:r w:rsidR="00747615">
        <w:t xml:space="preserve"> </w:t>
      </w:r>
      <w:r w:rsidR="00A55136">
        <w:t xml:space="preserve">Block Island will continue to be served by five full power </w:t>
      </w:r>
      <w:r w:rsidR="00A55136">
        <w:t>commercial</w:t>
      </w:r>
      <w:r w:rsidR="001D0802">
        <w:t>,</w:t>
      </w:r>
      <w:r w:rsidR="00A55136">
        <w:t xml:space="preserve"> and one full power non-commercial</w:t>
      </w:r>
      <w:r w:rsidR="001D0802">
        <w:t>,</w:t>
      </w:r>
      <w:r w:rsidR="00A55136">
        <w:t xml:space="preserve"> television stations.  </w:t>
      </w:r>
      <w:r>
        <w:t xml:space="preserve">Significantly, </w:t>
      </w:r>
      <w:r w:rsidR="005D019E">
        <w:t xml:space="preserve">ION has committed </w:t>
      </w:r>
      <w:r w:rsidR="00B57082">
        <w:t xml:space="preserve">to </w:t>
      </w:r>
      <w:r w:rsidR="005D019E">
        <w:t xml:space="preserve">continue </w:t>
      </w:r>
      <w:r>
        <w:t xml:space="preserve">to </w:t>
      </w:r>
      <w:r w:rsidR="00B57082">
        <w:t>provid</w:t>
      </w:r>
      <w:r>
        <w:t>e</w:t>
      </w:r>
      <w:r w:rsidR="00B57082">
        <w:t xml:space="preserve"> </w:t>
      </w:r>
      <w:r w:rsidR="003E2073">
        <w:t xml:space="preserve">the same over-the-air service from WPXQ that Block Island </w:t>
      </w:r>
      <w:r w:rsidR="000B2754">
        <w:t>now receives</w:t>
      </w:r>
      <w:r w:rsidR="007B553A">
        <w:t>,</w:t>
      </w:r>
      <w:r>
        <w:rPr>
          <w:rStyle w:val="FootnoteReference"/>
        </w:rPr>
        <w:footnoteReference w:id="34"/>
      </w:r>
      <w:r w:rsidR="00747615">
        <w:t xml:space="preserve"> </w:t>
      </w:r>
      <w:r w:rsidR="00242466">
        <w:t>a</w:t>
      </w:r>
      <w:r w:rsidR="007B553A">
        <w:t>nd</w:t>
      </w:r>
      <w:r w:rsidR="00242466">
        <w:t xml:space="preserve"> any</w:t>
      </w:r>
      <w:r w:rsidR="007B553A">
        <w:t xml:space="preserve"> authorization implementing this community of license change will be conditioned upon that continued service to Block Island.</w:t>
      </w:r>
      <w:r>
        <w:t xml:space="preserve">  T</w:t>
      </w:r>
      <w:r>
        <w:t>herefore,</w:t>
      </w:r>
      <w:r w:rsidR="000A5648">
        <w:t xml:space="preserve"> </w:t>
      </w:r>
      <w:r w:rsidR="00776921">
        <w:t xml:space="preserve">based on the </w:t>
      </w:r>
      <w:r w:rsidR="00242466">
        <w:t xml:space="preserve">unusual and </w:t>
      </w:r>
      <w:r w:rsidR="00776921">
        <w:t>specific facts of this case</w:t>
      </w:r>
      <w:r w:rsidR="000A5648">
        <w:t>,</w:t>
      </w:r>
      <w:r w:rsidR="005D019E">
        <w:t xml:space="preserve"> we find that a wa</w:t>
      </w:r>
      <w:r w:rsidR="000A5648">
        <w:t>iv</w:t>
      </w:r>
      <w:r w:rsidR="005D019E">
        <w:t>er of the Commission</w:t>
      </w:r>
      <w:r w:rsidR="002A2B92">
        <w:t>’s</w:t>
      </w:r>
      <w:r w:rsidR="005D019E">
        <w:t xml:space="preserve"> general prohibition on removing a community’s first local service is j</w:t>
      </w:r>
      <w:r w:rsidR="000A5648">
        <w:t>ustified because such a removal</w:t>
      </w:r>
      <w:r w:rsidR="005D019E">
        <w:t xml:space="preserve"> would serve the public interest.</w:t>
      </w:r>
      <w:r>
        <w:t xml:space="preserve"> </w:t>
      </w:r>
    </w:p>
    <w:p w:rsidR="005B2C5D" w:rsidRPr="006D429C" w:rsidP="006D429C">
      <w:pPr>
        <w:pStyle w:val="ParaNum"/>
        <w:numPr>
          <w:ilvl w:val="0"/>
          <w:numId w:val="17"/>
        </w:numPr>
        <w:ind w:left="720"/>
      </w:pPr>
      <w:r>
        <w:rPr>
          <w:b/>
        </w:rPr>
        <w:t>ORDERING CLAUSES</w:t>
      </w:r>
    </w:p>
    <w:p w:rsidR="000A5648" w:rsidP="001364E3">
      <w:pPr>
        <w:pStyle w:val="ParaNum"/>
        <w:tabs>
          <w:tab w:val="clear" w:pos="1080"/>
          <w:tab w:val="num" w:pos="1440"/>
        </w:tabs>
      </w:pPr>
      <w:r>
        <w:rPr>
          <w:b/>
        </w:rPr>
        <w:t xml:space="preserve">ACCORDINGLY, IT IS ORDERED </w:t>
      </w:r>
      <w:r>
        <w:t>that</w:t>
      </w:r>
      <w:r>
        <w:t xml:space="preserve"> a waiver of the Commission’s general prohibition on the removal of a community’s first local service </w:t>
      </w:r>
      <w:r>
        <w:rPr>
          <w:b/>
        </w:rPr>
        <w:t>IS GRANTED</w:t>
      </w:r>
      <w:r>
        <w:t>.</w:t>
      </w:r>
    </w:p>
    <w:p w:rsidR="00B57082" w:rsidRPr="00E3073B" w:rsidP="001364E3">
      <w:pPr>
        <w:pStyle w:val="ParaNum"/>
        <w:tabs>
          <w:tab w:val="clear" w:pos="1080"/>
          <w:tab w:val="num" w:pos="1440"/>
        </w:tabs>
      </w:pPr>
      <w:r>
        <w:rPr>
          <w:b/>
        </w:rPr>
        <w:t xml:space="preserve">IT IS FURTHER ORDERED </w:t>
      </w:r>
      <w:r>
        <w:t xml:space="preserve">that </w:t>
      </w:r>
      <w:r w:rsidR="006E3F9D">
        <w:t>t</w:t>
      </w:r>
      <w:r>
        <w:t xml:space="preserve">he Petition for Rulemaking filed by Ocean State </w:t>
      </w:r>
      <w:r w:rsidR="00B548ED">
        <w:t>Television,</w:t>
      </w:r>
      <w:r>
        <w:t xml:space="preserve"> LLC, now known as ION Television, LLC, licensee of WPXQ-TV, Block Island, Rhode Island, </w:t>
      </w:r>
      <w:r>
        <w:rPr>
          <w:b/>
        </w:rPr>
        <w:t>IS GRANTED.</w:t>
      </w:r>
    </w:p>
    <w:p w:rsidR="001D1734" w:rsidP="001364E3">
      <w:pPr>
        <w:pStyle w:val="ParaNum"/>
        <w:tabs>
          <w:tab w:val="clear" w:pos="1080"/>
          <w:tab w:val="num" w:pos="1440"/>
        </w:tabs>
      </w:pPr>
      <w:r>
        <w:rPr>
          <w:b/>
        </w:rPr>
        <w:t xml:space="preserve">IT IS FURTHER </w:t>
      </w:r>
      <w:r w:rsidRPr="00B57082">
        <w:rPr>
          <w:b/>
        </w:rPr>
        <w:t>ORDERED</w:t>
      </w:r>
      <w:r>
        <w:rPr>
          <w:b/>
        </w:rPr>
        <w:t xml:space="preserve"> </w:t>
      </w:r>
      <w:r w:rsidR="00B548ED">
        <w:t xml:space="preserve">that, pursuant to the authority in </w:t>
      </w:r>
      <w:r w:rsidR="00897AB6">
        <w:t>S</w:t>
      </w:r>
      <w:r w:rsidR="00B548ED">
        <w:t xml:space="preserve">ections </w:t>
      </w:r>
      <w:r w:rsidR="00572FFC">
        <w:t>15</w:t>
      </w:r>
      <w:r w:rsidR="00B548ED">
        <w:t>4(</w:t>
      </w:r>
      <w:r w:rsidR="00B548ED">
        <w:t>i</w:t>
      </w:r>
      <w:r w:rsidR="00B548ED">
        <w:t xml:space="preserve">), </w:t>
      </w:r>
      <w:r w:rsidR="00572FFC">
        <w:t>155(c)(1</w:t>
      </w:r>
      <w:r w:rsidR="00B548ED">
        <w:t>), 303(g) and (r), and 307(b) of the Communications Act of 1934, as amended,</w:t>
      </w:r>
      <w:r>
        <w:rPr>
          <w:rStyle w:val="FootnoteReference"/>
        </w:rPr>
        <w:footnoteReference w:id="35"/>
      </w:r>
      <w:r w:rsidR="00B548ED">
        <w:t xml:space="preserve"> and </w:t>
      </w:r>
      <w:r w:rsidR="00897AB6">
        <w:t>S</w:t>
      </w:r>
      <w:r w:rsidR="00B548ED">
        <w:t xml:space="preserve">ections 0.61, 0.204(b), and </w:t>
      </w:r>
      <w:r w:rsidR="00177C38">
        <w:t>0</w:t>
      </w:r>
      <w:r w:rsidR="00B548ED">
        <w:t>.283 of the Commission’s rules,</w:t>
      </w:r>
      <w:r>
        <w:rPr>
          <w:rStyle w:val="FootnoteReference"/>
        </w:rPr>
        <w:footnoteReference w:id="36"/>
      </w:r>
      <w:r w:rsidR="00B548ED">
        <w:t xml:space="preserve"> the DTV Table of Allotments, </w:t>
      </w:r>
      <w:r w:rsidR="00897AB6">
        <w:t>S</w:t>
      </w:r>
      <w:r w:rsidR="00B548ED">
        <w:t>ection 73.622(</w:t>
      </w:r>
      <w:r w:rsidR="00B548ED">
        <w:t>i</w:t>
      </w:r>
      <w:r w:rsidR="00B548ED">
        <w:t xml:space="preserve">) of the Commission’s rules, </w:t>
      </w:r>
      <w:r w:rsidR="00B548ED">
        <w:rPr>
          <w:b/>
        </w:rPr>
        <w:t>IS AMENDED</w:t>
      </w:r>
      <w:r w:rsidR="00177C38">
        <w:t xml:space="preserve">, with respect to Block Island and Newport, Rhode Island, </w:t>
      </w:r>
      <w:r w:rsidR="00B548ED">
        <w:t xml:space="preserve">to read </w:t>
      </w:r>
      <w:r w:rsidR="00B548ED">
        <w:t>as follows</w:t>
      </w:r>
      <w:r w:rsidR="00BF6E00">
        <w:t>:</w:t>
      </w:r>
      <w:bookmarkEnd w:id="4"/>
    </w:p>
    <w:p w:rsidR="000636BB" w:rsidP="000636BB">
      <w:pPr>
        <w:pStyle w:val="ParaNum"/>
        <w:numPr>
          <w:ilvl w:val="0"/>
          <w:numId w:val="0"/>
        </w:numPr>
        <w:ind w:left="720"/>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2611"/>
        <w:gridCol w:w="2612"/>
      </w:tblGrid>
      <w:tr w:rsidTr="0031634D">
        <w:tblPrEx>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p>
        </w:tc>
        <w:tc>
          <w:tcPr>
            <w:tcW w:w="5223" w:type="dxa"/>
            <w:gridSpan w:val="2"/>
            <w:shd w:val="clear" w:color="auto" w:fill="auto"/>
          </w:tcPr>
          <w:p w:rsidR="00BF6E00" w:rsidP="001349BA">
            <w:pPr>
              <w:pStyle w:val="AppNum"/>
              <w:numPr>
                <w:ilvl w:val="0"/>
                <w:numId w:val="0"/>
              </w:numPr>
              <w:tabs>
                <w:tab w:val="center" w:pos="2364"/>
                <w:tab w:val="right" w:pos="4728"/>
              </w:tabs>
              <w:spacing w:after="24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Channel No.</w:t>
            </w:r>
            <w:r>
              <w:rPr>
                <w:rFonts w:ascii="Times New Roman" w:hAnsi="Times New Roman"/>
                <w:spacing w:val="-3"/>
                <w:sz w:val="22"/>
                <w:szCs w:val="22"/>
              </w:rPr>
              <w:tab/>
            </w:r>
          </w:p>
        </w:tc>
      </w:tr>
      <w:tr w:rsidTr="0031634D">
        <w:tblPrEx>
          <w:tblW w:w="0" w:type="auto"/>
          <w:tblInd w:w="976" w:type="dxa"/>
          <w:tblLook w:val="04A0"/>
        </w:tblPrEx>
        <w:trPr>
          <w:trHeight w:val="323"/>
        </w:trPr>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City and State</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Present </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Proposed</w:t>
            </w:r>
          </w:p>
        </w:tc>
      </w:tr>
      <w:tr w:rsidTr="0031634D">
        <w:tblPrEx>
          <w:tblW w:w="0" w:type="auto"/>
          <w:tblInd w:w="976" w:type="dxa"/>
          <w:tblLook w:val="04A0"/>
        </w:tblPrEx>
        <w:trPr>
          <w:trHeight w:val="484"/>
        </w:trPr>
        <w:tc>
          <w:tcPr>
            <w:tcW w:w="2611" w:type="dxa"/>
            <w:shd w:val="clear" w:color="auto" w:fill="auto"/>
          </w:tcPr>
          <w:p w:rsidR="00BF6E00" w:rsidP="00BF6E00">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rPr>
              <w:t>Block Island, Rhode Island</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17</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p>
        </w:tc>
      </w:tr>
      <w:tr w:rsidTr="0031634D">
        <w:tblPrEx>
          <w:tblW w:w="0" w:type="auto"/>
          <w:tblInd w:w="976" w:type="dxa"/>
          <w:tblLook w:val="04A0"/>
        </w:tblPrEx>
        <w:trPr>
          <w:trHeight w:val="323"/>
        </w:trPr>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Newport, Rhode Island</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17</w:t>
            </w:r>
          </w:p>
        </w:tc>
      </w:tr>
    </w:tbl>
    <w:p w:rsidR="00BF6E00" w:rsidP="00BF6E00">
      <w:pPr>
        <w:pStyle w:val="ParaNum"/>
        <w:numPr>
          <w:ilvl w:val="0"/>
          <w:numId w:val="0"/>
        </w:numPr>
      </w:pPr>
    </w:p>
    <w:p w:rsidR="00B548ED" w:rsidP="006D321A">
      <w:pPr>
        <w:pStyle w:val="ParaNum"/>
        <w:tabs>
          <w:tab w:val="clear" w:pos="1080"/>
        </w:tabs>
      </w:pPr>
      <w:r>
        <w:rPr>
          <w:b/>
        </w:rPr>
        <w:t>IT IS FURTHER ORDERED</w:t>
      </w:r>
      <w:r>
        <w:t xml:space="preserve"> that the authorization for station WPXQ-TV </w:t>
      </w:r>
      <w:r>
        <w:rPr>
          <w:b/>
        </w:rPr>
        <w:t xml:space="preserve">IS MODIFIED </w:t>
      </w:r>
      <w:r>
        <w:t>to reflect that the station’s community of license is Newport, Rhode Island.</w:t>
      </w:r>
    </w:p>
    <w:p w:rsidR="00BC3CFC" w:rsidP="00E3073B">
      <w:pPr>
        <w:pStyle w:val="ParaNum"/>
        <w:tabs>
          <w:tab w:val="clear" w:pos="1080"/>
          <w:tab w:val="num" w:pos="1440"/>
        </w:tabs>
      </w:pPr>
      <w:r>
        <w:rPr>
          <w:b/>
        </w:rPr>
        <w:t xml:space="preserve">IT IS FURTHER ORDERED </w:t>
      </w:r>
      <w:r>
        <w:t xml:space="preserve">that any authorization implementing this community of license change </w:t>
      </w:r>
      <w:r w:rsidR="00756A07">
        <w:rPr>
          <w:b/>
        </w:rPr>
        <w:t>IS CONDITIONED</w:t>
      </w:r>
      <w:r>
        <w:t xml:space="preserve"> upon continued service to Block Island, Rhode Island.</w:t>
      </w:r>
    </w:p>
    <w:p w:rsidR="00B548ED" w:rsidP="006D321A">
      <w:pPr>
        <w:pStyle w:val="ParaNum"/>
        <w:tabs>
          <w:tab w:val="clear" w:pos="1080"/>
        </w:tabs>
      </w:pPr>
      <w:r>
        <w:rPr>
          <w:b/>
        </w:rPr>
        <w:t xml:space="preserve">IT IS FURTHER ORDERED </w:t>
      </w:r>
      <w:r>
        <w:t>that the Commission will send a copy of this order to Congress and the Government Accountability Office pursuant to the Congressional Review Act.</w:t>
      </w:r>
      <w:r>
        <w:rPr>
          <w:rStyle w:val="FootnoteReference"/>
        </w:rPr>
        <w:footnoteReference w:id="37"/>
      </w:r>
    </w:p>
    <w:p w:rsidR="00B548ED" w:rsidP="006D321A">
      <w:pPr>
        <w:pStyle w:val="ParaNum"/>
        <w:tabs>
          <w:tab w:val="clear" w:pos="1080"/>
        </w:tabs>
      </w:pPr>
      <w:r>
        <w:rPr>
          <w:b/>
        </w:rPr>
        <w:t>IT IS FURTHER OREDERD</w:t>
      </w:r>
      <w:r>
        <w:t xml:space="preserve"> that this proceeding </w:t>
      </w:r>
      <w:r>
        <w:rPr>
          <w:b/>
        </w:rPr>
        <w:t>IS TERMINATED</w:t>
      </w:r>
      <w:r>
        <w:t>.</w:t>
      </w:r>
    </w:p>
    <w:p w:rsidR="003107EF" w:rsidP="003107EF">
      <w:pPr>
        <w:tabs>
          <w:tab w:val="left" w:pos="-1440"/>
          <w:tab w:val="left" w:pos="-720"/>
        </w:tabs>
        <w:suppressAutoHyphens/>
        <w:spacing w:after="240"/>
        <w:jc w:val="both"/>
        <w:rPr>
          <w:spacing w:val="-3"/>
          <w:szCs w:val="22"/>
        </w:rPr>
      </w:pPr>
    </w:p>
    <w:p w:rsidR="00177C38" w:rsidP="003107EF">
      <w:pPr>
        <w:tabs>
          <w:tab w:val="left" w:pos="-1440"/>
          <w:tab w:val="left" w:pos="-720"/>
        </w:tabs>
        <w:suppressAutoHyphens/>
        <w:spacing w:after="240"/>
        <w:jc w:val="both"/>
        <w:rPr>
          <w:spacing w:val="-3"/>
          <w:szCs w:val="22"/>
        </w:rPr>
      </w:pPr>
    </w:p>
    <w:p w:rsidR="00177C38" w:rsidP="003107EF">
      <w:pPr>
        <w:tabs>
          <w:tab w:val="left" w:pos="-1440"/>
          <w:tab w:val="left" w:pos="-720"/>
        </w:tabs>
        <w:suppressAutoHyphens/>
        <w:spacing w:after="240"/>
        <w:jc w:val="both"/>
        <w:rPr>
          <w:spacing w:val="-3"/>
          <w:szCs w:val="22"/>
        </w:rPr>
      </w:pPr>
    </w:p>
    <w:p w:rsidR="003107EF" w:rsidP="003107EF">
      <w:pPr>
        <w:tabs>
          <w:tab w:val="left" w:pos="-1440"/>
          <w:tab w:val="left" w:pos="-720"/>
        </w:tabs>
        <w:suppressAutoHyphens/>
        <w:spacing w:after="24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3107EF" w:rsidP="003107EF">
      <w:pPr>
        <w:tabs>
          <w:tab w:val="left" w:pos="-1440"/>
          <w:tab w:val="left" w:pos="-720"/>
        </w:tabs>
        <w:suppressAutoHyphens/>
        <w:spacing w:after="240"/>
        <w:jc w:val="both"/>
        <w:rPr>
          <w:spacing w:val="-3"/>
          <w:szCs w:val="22"/>
        </w:rPr>
      </w:pPr>
    </w:p>
    <w:p w:rsidR="003107EF" w:rsidP="003107EF">
      <w:pPr>
        <w:tabs>
          <w:tab w:val="left" w:pos="-1440"/>
          <w:tab w:val="left" w:pos="-720"/>
        </w:tabs>
        <w:suppressAutoHyphens/>
        <w:spacing w:after="240"/>
        <w:jc w:val="both"/>
        <w:rPr>
          <w:spacing w:val="-3"/>
          <w:szCs w:val="22"/>
        </w:rPr>
      </w:pPr>
    </w:p>
    <w:p w:rsidR="003107EF" w:rsidP="003107EF">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 xml:space="preserve">Barbara A. Kreisman </w:t>
      </w:r>
    </w:p>
    <w:p w:rsidR="003107EF" w:rsidP="003107EF">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Chief, Video Division</w:t>
      </w:r>
    </w:p>
    <w:p w:rsidR="003107EF" w:rsidP="003107EF">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Media Bureau</w:t>
      </w:r>
    </w:p>
    <w:p w:rsidR="0065028B" w:rsidP="006D321A">
      <w:pPr>
        <w:keepNext/>
        <w:widowControl/>
      </w:pPr>
      <w:bookmarkEnd w:id="2"/>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6</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14C7">
      <w:r>
        <w:separator/>
      </w:r>
    </w:p>
  </w:footnote>
  <w:footnote w:type="continuationSeparator" w:id="1">
    <w:p w:rsidR="009014C7" w:rsidP="00C721AC">
      <w:pPr>
        <w:spacing w:before="120"/>
        <w:rPr>
          <w:sz w:val="20"/>
        </w:rPr>
      </w:pPr>
      <w:r>
        <w:continuationSeparator/>
      </w:r>
    </w:p>
  </w:footnote>
  <w:footnote w:type="continuationNotice" w:id="2">
    <w:p w:rsidR="009014C7" w:rsidP="00C721AC">
      <w:pPr>
        <w:jc w:val="right"/>
        <w:rPr>
          <w:sz w:val="20"/>
        </w:rPr>
      </w:pPr>
    </w:p>
  </w:footnote>
  <w:footnote w:id="3">
    <w:p w:rsidR="001947B7" w:rsidRPr="00374D46">
      <w:pPr>
        <w:pStyle w:val="FootnoteText"/>
      </w:pPr>
      <w:r w:rsidRPr="00374D46">
        <w:rPr>
          <w:rStyle w:val="FootnoteReference"/>
        </w:rPr>
        <w:footnoteRef/>
      </w:r>
      <w:r w:rsidRPr="00374D46">
        <w:t xml:space="preserve"> </w:t>
      </w:r>
      <w:r w:rsidRPr="00374D46" w:rsidR="008720D6">
        <w:rPr>
          <w:i/>
        </w:rPr>
        <w:t>Amendment of Section 73.622(</w:t>
      </w:r>
      <w:r w:rsidRPr="00374D46" w:rsidR="008720D6">
        <w:rPr>
          <w:i/>
        </w:rPr>
        <w:t>i</w:t>
      </w:r>
      <w:r w:rsidRPr="00374D46" w:rsidR="008720D6">
        <w:rPr>
          <w:i/>
        </w:rPr>
        <w:t>), Table of Allotments, Digital Television Broadcast Stations (Block Island and Newport, Rhode Island</w:t>
      </w:r>
      <w:r w:rsidRPr="00374D46" w:rsidR="004A5FCE">
        <w:t>),</w:t>
      </w:r>
      <w:r w:rsidRPr="00374D46" w:rsidR="008720D6">
        <w:t xml:space="preserve"> Notice of Proposed Rulemaki</w:t>
      </w:r>
      <w:r w:rsidRPr="00374D46" w:rsidR="004A5FCE">
        <w:t>ng, DA 18-496 (Vid. Div. 2018)</w:t>
      </w:r>
      <w:r w:rsidRPr="00374D46" w:rsidR="008720D6">
        <w:t>.</w:t>
      </w:r>
      <w:r w:rsidRPr="00374D46" w:rsidR="00AB08D5">
        <w:t xml:space="preserve">  The licensee recently changed its name from</w:t>
      </w:r>
      <w:r w:rsidRPr="00374D46" w:rsidR="00AB4F58">
        <w:t xml:space="preserve"> Ocean State Television, LLC</w:t>
      </w:r>
      <w:r w:rsidRPr="00374D46" w:rsidR="002A2B92">
        <w:t>,</w:t>
      </w:r>
      <w:r w:rsidRPr="00374D46" w:rsidR="00AB4F58">
        <w:t xml:space="preserve"> to ION Television License, LLC.  </w:t>
      </w:r>
      <w:r w:rsidRPr="00374D46" w:rsidR="00AB4F58">
        <w:rPr>
          <w:i/>
        </w:rPr>
        <w:t>See</w:t>
      </w:r>
      <w:r w:rsidRPr="00374D46" w:rsidR="00AB4F58">
        <w:t xml:space="preserve"> File No. BTCCDT-20180529ACJ.</w:t>
      </w:r>
    </w:p>
  </w:footnote>
  <w:footnote w:id="4">
    <w:p w:rsidR="00EF0AF7" w:rsidRPr="00374D46">
      <w:pPr>
        <w:pStyle w:val="FootnoteText"/>
      </w:pPr>
      <w:r w:rsidRPr="00374D46">
        <w:rPr>
          <w:rStyle w:val="FootnoteReference"/>
        </w:rPr>
        <w:footnoteRef/>
      </w:r>
      <w:r w:rsidRPr="00374D46">
        <w:t xml:space="preserve"> </w:t>
      </w:r>
      <w:r w:rsidRPr="00374D46" w:rsidR="009E6436">
        <w:t>ION Television License, LLC, Comments and Expression of Continued Interest (fi</w:t>
      </w:r>
      <w:r w:rsidRPr="00374D46" w:rsidR="008A21E8">
        <w:t>led July 13, 2018) (Ion Comment</w:t>
      </w:r>
      <w:r w:rsidRPr="00374D46" w:rsidR="009E6436">
        <w:t xml:space="preserve">). </w:t>
      </w:r>
    </w:p>
  </w:footnote>
  <w:footnote w:id="5">
    <w:p w:rsidR="00920850" w:rsidRPr="00374D46">
      <w:pPr>
        <w:pStyle w:val="FootnoteText"/>
      </w:pPr>
      <w:r w:rsidRPr="00374D46">
        <w:rPr>
          <w:rStyle w:val="FootnoteReference"/>
        </w:rPr>
        <w:footnoteRef/>
      </w:r>
      <w:r w:rsidRPr="00374D46">
        <w:t xml:space="preserve"> Ocean State Television, LLC, Petition for Rulemaking, as amended (filed Dec. 12, 2017) (Petition).  OST filed a supplement to its Petition on April 18, 2018.  Ocean State Television, LLC, Supplement to Petition for Rulemaking (Supplement).  </w:t>
      </w:r>
    </w:p>
  </w:footnote>
  <w:footnote w:id="6">
    <w:p w:rsidR="006E0A6F" w:rsidRPr="00374D46">
      <w:pPr>
        <w:pStyle w:val="FootnoteText"/>
      </w:pPr>
      <w:r w:rsidRPr="00374D46">
        <w:rPr>
          <w:rStyle w:val="FootnoteReference"/>
        </w:rPr>
        <w:footnoteRef/>
      </w:r>
      <w:r w:rsidRPr="00374D46">
        <w:t xml:space="preserve"> </w:t>
      </w:r>
      <w:r w:rsidRPr="00374D46" w:rsidR="00920850">
        <w:rPr>
          <w:i/>
        </w:rPr>
        <w:t xml:space="preserve">See </w:t>
      </w:r>
      <w:r w:rsidRPr="00374D46">
        <w:t>Petition</w:t>
      </w:r>
      <w:r w:rsidRPr="00374D46" w:rsidR="00920850">
        <w:t xml:space="preserve"> at 1.  We note that Section 1.420(</w:t>
      </w:r>
      <w:r w:rsidRPr="00374D46" w:rsidR="00920850">
        <w:t>i</w:t>
      </w:r>
      <w:r w:rsidRPr="00374D46" w:rsidR="00920850">
        <w:t>) of the rules provides that the Commission, during a rulemaking proceeding to amend the Table of Allotments, may modify a station’s license to specify a new community of license without affording other interest</w:t>
      </w:r>
      <w:r w:rsidRPr="00374D46" w:rsidR="002A2B92">
        <w:t>ed</w:t>
      </w:r>
      <w:r w:rsidRPr="00374D46" w:rsidR="00920850">
        <w:t xml:space="preserve"> parties an opportunity to file competing expressions of interest.  47 CFR § 1.420(</w:t>
      </w:r>
      <w:r w:rsidRPr="00374D46" w:rsidR="00920850">
        <w:t>i</w:t>
      </w:r>
      <w:r w:rsidRPr="00374D46" w:rsidR="00920850">
        <w:t xml:space="preserve">); </w:t>
      </w:r>
      <w:r w:rsidRPr="00374D46" w:rsidR="00B21037">
        <w:rPr>
          <w:i/>
        </w:rPr>
        <w:t>see also</w:t>
      </w:r>
      <w:r w:rsidRPr="00374D46" w:rsidR="00B21037">
        <w:t xml:space="preserve"> </w:t>
      </w:r>
      <w:r>
        <w:fldChar w:fldCharType="begin"/>
      </w:r>
      <w:r>
        <w:instrText xml:space="preserve"> HYPERLINK "https://1.next.westlaw.com/Link/Document/FullText?findType=Y&amp;serNum=1989192501&amp;pubNum=0004493&amp;originatingDoc=I9233453c1c0b11e6b86bd602cb8781fa&amp;refType=CA&amp;originationContext=document&amp;transitionType=DocumentItem&amp;contextData=(sc.DocLink)" </w:instrText>
      </w:r>
      <w:r>
        <w:fldChar w:fldCharType="separate"/>
      </w:r>
      <w:r w:rsidRPr="00374D46" w:rsidR="00920850">
        <w:rPr>
          <w:i/>
          <w:iCs/>
          <w:snapToGrid w:val="0"/>
          <w:kern w:val="28"/>
        </w:rPr>
        <w:t>Modification of FM and TV Authorizations to Specify a New Community of License</w:t>
      </w:r>
      <w:r w:rsidRPr="00374D46" w:rsidR="00920850">
        <w:rPr>
          <w:snapToGrid w:val="0"/>
          <w:kern w:val="28"/>
        </w:rPr>
        <w:t>, Report and Order, 4 FCC Rcd 4870, 4873, para. 22 (1989)</w:t>
      </w:r>
      <w:r>
        <w:fldChar w:fldCharType="end"/>
      </w:r>
      <w:r w:rsidRPr="00374D46" w:rsidR="00920850">
        <w:rPr>
          <w:snapToGrid w:val="0"/>
          <w:kern w:val="28"/>
        </w:rPr>
        <w:t xml:space="preserve"> </w:t>
      </w:r>
      <w:r w:rsidRPr="00374D46" w:rsidR="00920850">
        <w:t>(</w:t>
      </w:r>
      <w:r w:rsidRPr="00374D46" w:rsidR="00920850">
        <w:rPr>
          <w:i/>
        </w:rPr>
        <w:t>Change in Community R&amp;O</w:t>
      </w:r>
      <w:r w:rsidRPr="00374D46" w:rsidR="00920850">
        <w:t>)</w:t>
      </w:r>
      <w:r w:rsidRPr="00374D46" w:rsidR="00920850">
        <w:rPr>
          <w:snapToGrid w:val="0"/>
          <w:kern w:val="28"/>
        </w:rPr>
        <w:t>, </w:t>
      </w:r>
      <w:r w:rsidRPr="00374D46" w:rsidR="00920850">
        <w:rPr>
          <w:i/>
          <w:iCs/>
          <w:snapToGrid w:val="0"/>
          <w:kern w:val="28"/>
        </w:rPr>
        <w:t>recon. granted in part</w:t>
      </w:r>
      <w:r w:rsidRPr="00374D46" w:rsidR="00920850">
        <w:rPr>
          <w:snapToGrid w:val="0"/>
          <w:kern w:val="28"/>
        </w:rPr>
        <w:t>, </w:t>
      </w:r>
      <w:r>
        <w:fldChar w:fldCharType="begin"/>
      </w:r>
      <w:r>
        <w:instrText xml:space="preserve"> HYPERLINK "https://1.next.westlaw.com/Link/Document/FullText?findType=Y&amp;serNum=1990195134&amp;pubNum=0004493&amp;originatingDoc=I9233453c1c0b11e6b86bd602cb8781fa&amp;refType=CA&amp;originationContext=document&amp;transitionType=DocumentItem&amp;contextData=(sc.DocLink)" </w:instrText>
      </w:r>
      <w:r>
        <w:fldChar w:fldCharType="separate"/>
      </w:r>
      <w:r w:rsidRPr="00374D46" w:rsidR="00920850">
        <w:rPr>
          <w:snapToGrid w:val="0"/>
          <w:kern w:val="28"/>
        </w:rPr>
        <w:t>5 FCC Rcd 7094 (1990)</w:t>
      </w:r>
      <w:r>
        <w:fldChar w:fldCharType="end"/>
      </w:r>
      <w:r w:rsidRPr="00374D46" w:rsidR="00920850">
        <w:rPr>
          <w:snapToGrid w:val="0"/>
          <w:kern w:val="28"/>
        </w:rPr>
        <w:t xml:space="preserve"> </w:t>
      </w:r>
      <w:r w:rsidRPr="00374D46" w:rsidR="00920850">
        <w:t>(</w:t>
      </w:r>
      <w:r w:rsidRPr="00374D46" w:rsidR="00920850">
        <w:rPr>
          <w:i/>
        </w:rPr>
        <w:t>Recon MO&amp;O</w:t>
      </w:r>
      <w:r w:rsidRPr="00374D46" w:rsidR="00920850">
        <w:t>)</w:t>
      </w:r>
      <w:r w:rsidRPr="00374D46" w:rsidR="00920850">
        <w:rPr>
          <w:snapToGrid w:val="0"/>
          <w:kern w:val="28"/>
        </w:rPr>
        <w:t xml:space="preserve">.  </w:t>
      </w:r>
      <w:r w:rsidRPr="00374D46" w:rsidR="00920850">
        <w:t>The Commission will apply this procedure in the limited circumstances where</w:t>
      </w:r>
      <w:r w:rsidRPr="00374D46" w:rsidR="00920850">
        <w:t xml:space="preserve">: </w:t>
      </w:r>
      <w:r w:rsidRPr="00374D46" w:rsidR="00D70C9C">
        <w:t xml:space="preserve"> </w:t>
      </w:r>
      <w:r w:rsidRPr="00374D46" w:rsidR="00920850">
        <w:t>(</w:t>
      </w:r>
      <w:r w:rsidRPr="00374D46" w:rsidR="00920850">
        <w:t xml:space="preserve">1) the new allotment will be mutually exclusive with a station’s existing allotment; (2) the new allotment will result in a preferential arrangement of the allotments according to the Commission’s television allotment priorities; and (3) the new allotment will not deprive a community of its sole local transmission outlet.  </w:t>
      </w:r>
      <w:r w:rsidRPr="00374D46" w:rsidR="00920850">
        <w:rPr>
          <w:i/>
        </w:rPr>
        <w:t>Change in Community RO&amp;O</w:t>
      </w:r>
      <w:r w:rsidRPr="00374D46" w:rsidR="00B21037">
        <w:t>, 4 FCC Rcd</w:t>
      </w:r>
      <w:r w:rsidRPr="00374D46" w:rsidR="007144DA">
        <w:t xml:space="preserve"> </w:t>
      </w:r>
      <w:r w:rsidRPr="00374D46" w:rsidR="00920850">
        <w:t>at 4874, para. 28</w:t>
      </w:r>
      <w:r w:rsidRPr="00374D46" w:rsidR="00631BF7">
        <w:t>.</w:t>
      </w:r>
    </w:p>
  </w:footnote>
  <w:footnote w:id="7">
    <w:p w:rsidR="00BE45E7" w:rsidRPr="00374D46">
      <w:pPr>
        <w:pStyle w:val="FootnoteText"/>
      </w:pPr>
      <w:r w:rsidRPr="00374D46">
        <w:rPr>
          <w:rStyle w:val="FootnoteReference"/>
        </w:rPr>
        <w:footnoteRef/>
      </w:r>
      <w:r w:rsidRPr="00374D46">
        <w:t xml:space="preserve"> Petition at 3.</w:t>
      </w:r>
    </w:p>
  </w:footnote>
  <w:footnote w:id="8">
    <w:p w:rsidR="00670CA9" w:rsidRPr="00374D46" w:rsidP="00670CA9">
      <w:pPr>
        <w:pStyle w:val="FootnoteText"/>
      </w:pPr>
      <w:r w:rsidRPr="00374D46">
        <w:rPr>
          <w:rStyle w:val="FootnoteReference"/>
        </w:rPr>
        <w:footnoteRef/>
      </w:r>
      <w:r w:rsidRPr="00374D46">
        <w:t xml:space="preserve"> </w:t>
      </w:r>
      <w:r w:rsidRPr="00374D46">
        <w:rPr>
          <w:i/>
        </w:rPr>
        <w:t>Id</w:t>
      </w:r>
      <w:r w:rsidRPr="00374D46" w:rsidR="00B22ECF">
        <w:t>. at 4.</w:t>
      </w:r>
    </w:p>
  </w:footnote>
  <w:footnote w:id="9">
    <w:p w:rsidR="00E01FDD" w:rsidRPr="00374D46">
      <w:pPr>
        <w:pStyle w:val="FootnoteText"/>
      </w:pPr>
      <w:r w:rsidRPr="00374D46">
        <w:rPr>
          <w:rStyle w:val="FootnoteReference"/>
        </w:rPr>
        <w:footnoteRef/>
      </w:r>
      <w:r w:rsidRPr="00374D46">
        <w:t xml:space="preserve"> </w:t>
      </w:r>
      <w:bookmarkStart w:id="3" w:name="_Hlk524676745"/>
      <w:r w:rsidRPr="00374D46" w:rsidR="00B22ECF">
        <w:rPr>
          <w:i/>
        </w:rPr>
        <w:t>Id.</w:t>
      </w:r>
      <w:r w:rsidRPr="00374D46" w:rsidR="00B22ECF">
        <w:t xml:space="preserve"> </w:t>
      </w:r>
      <w:r w:rsidRPr="00374D46" w:rsidR="00B21037">
        <w:t xml:space="preserve">at </w:t>
      </w:r>
      <w:r w:rsidRPr="00374D46" w:rsidR="00B22ECF">
        <w:t>4-6.</w:t>
      </w:r>
      <w:bookmarkEnd w:id="3"/>
    </w:p>
  </w:footnote>
  <w:footnote w:id="10">
    <w:p w:rsidR="00374D46" w:rsidRPr="00E3073B" w:rsidP="00374D46">
      <w:pPr>
        <w:pStyle w:val="FootnoteText"/>
      </w:pPr>
      <w:r w:rsidRPr="00E3073B">
        <w:rPr>
          <w:rStyle w:val="FootnoteReference"/>
        </w:rPr>
        <w:footnoteRef/>
      </w:r>
      <w:r w:rsidRPr="00E3073B">
        <w:t xml:space="preserve"> Supplement at 1.</w:t>
      </w:r>
    </w:p>
  </w:footnote>
  <w:footnote w:id="11">
    <w:p w:rsidR="00374D46" w:rsidRPr="00E3073B" w:rsidP="00374D46">
      <w:pPr>
        <w:pStyle w:val="FootnoteText"/>
      </w:pPr>
      <w:r w:rsidRPr="00E3073B">
        <w:rPr>
          <w:rStyle w:val="FootnoteReference"/>
        </w:rPr>
        <w:footnoteRef/>
      </w:r>
      <w:r w:rsidRPr="00E3073B">
        <w:t xml:space="preserve"> Petition at 3</w:t>
      </w:r>
      <w:r w:rsidR="00840544">
        <w:t>.</w:t>
      </w:r>
    </w:p>
  </w:footnote>
  <w:footnote w:id="12">
    <w:p w:rsidR="00374D46" w:rsidRPr="00E3073B" w:rsidP="00374D46">
      <w:pPr>
        <w:pStyle w:val="FootnoteText"/>
      </w:pPr>
      <w:r w:rsidRPr="00E3073B">
        <w:rPr>
          <w:rStyle w:val="FootnoteReference"/>
        </w:rPr>
        <w:footnoteRef/>
      </w:r>
      <w:r w:rsidRPr="00E3073B">
        <w:t xml:space="preserve"> </w:t>
      </w:r>
      <w:r w:rsidRPr="00E3073B">
        <w:rPr>
          <w:i/>
        </w:rPr>
        <w:t>Id</w:t>
      </w:r>
      <w:r w:rsidRPr="00E3073B">
        <w:t xml:space="preserve">.; </w:t>
      </w:r>
      <w:r w:rsidRPr="00E3073B">
        <w:rPr>
          <w:i/>
        </w:rPr>
        <w:t xml:space="preserve">see </w:t>
      </w:r>
      <w:r w:rsidRPr="00E3073B">
        <w:t xml:space="preserve">U.S. Census Bureau; American </w:t>
      </w:r>
      <w:r w:rsidRPr="00E3073B">
        <w:t>FactFinder</w:t>
      </w:r>
      <w:r w:rsidRPr="00E3073B">
        <w:t xml:space="preserve">, Community Facts, Newport City, Rhode Island; generated by Darren Fernandez; using American </w:t>
      </w:r>
      <w:r w:rsidRPr="00E3073B">
        <w:t>FactFinder</w:t>
      </w:r>
      <w:r w:rsidRPr="00E3073B">
        <w:t>; https://factfinder.census.gov/bkmk/cf/1.0/en/place/Newport city, Rhode Island/POPULATION/DECENNIAL_CNT.</w:t>
      </w:r>
    </w:p>
  </w:footnote>
  <w:footnote w:id="13">
    <w:p w:rsidR="00374D46" w:rsidRPr="00E3073B" w:rsidP="00374D46">
      <w:pPr>
        <w:pStyle w:val="FootnoteText"/>
      </w:pPr>
      <w:r w:rsidRPr="00E3073B">
        <w:rPr>
          <w:rStyle w:val="FootnoteReference"/>
        </w:rPr>
        <w:footnoteRef/>
      </w:r>
      <w:r w:rsidRPr="00E3073B">
        <w:t xml:space="preserve"> Supplement at 2.</w:t>
      </w:r>
    </w:p>
  </w:footnote>
  <w:footnote w:id="14">
    <w:p w:rsidR="00374D46" w:rsidRPr="00E3073B" w:rsidP="00374D46">
      <w:pPr>
        <w:pStyle w:val="FootnoteText"/>
        <w:rPr>
          <w:i/>
        </w:rPr>
      </w:pPr>
      <w:r w:rsidRPr="00E3073B">
        <w:rPr>
          <w:rStyle w:val="FootnoteReference"/>
        </w:rPr>
        <w:footnoteRef/>
      </w:r>
      <w:r w:rsidRPr="00E3073B">
        <w:t xml:space="preserve"> Petition at 4; </w:t>
      </w:r>
      <w:r w:rsidRPr="00E3073B">
        <w:rPr>
          <w:i/>
        </w:rPr>
        <w:t xml:space="preserve">see </w:t>
      </w:r>
      <w:r w:rsidRPr="00E3073B">
        <w:t xml:space="preserve">U.S. Census Bureau; American </w:t>
      </w:r>
      <w:r w:rsidRPr="00E3073B">
        <w:t>FactFinder</w:t>
      </w:r>
      <w:r w:rsidRPr="00E3073B">
        <w:t xml:space="preserve">, Community Facts –  New Shoreham Town, Rhode Island; generated by Darren Fernandez; using American </w:t>
      </w:r>
      <w:r w:rsidRPr="00E3073B">
        <w:t>FactFinder</w:t>
      </w:r>
      <w:r w:rsidRPr="00E3073B">
        <w:t>; https://factfinder.census.gov/bkmk/cf/1.0/en/place/New Shoreham town, Washington County, Rhode Island/POPULATION/DECENNIAL_CNT.</w:t>
      </w:r>
    </w:p>
  </w:footnote>
  <w:footnote w:id="15">
    <w:p w:rsidR="00374D46" w:rsidRPr="00E3073B" w:rsidP="00374D46">
      <w:pPr>
        <w:pStyle w:val="FootnoteText"/>
      </w:pPr>
      <w:r w:rsidRPr="00E3073B">
        <w:rPr>
          <w:rStyle w:val="FootnoteReference"/>
        </w:rPr>
        <w:footnoteRef/>
      </w:r>
      <w:r w:rsidRPr="00E3073B">
        <w:t xml:space="preserve"> Petition at 4.</w:t>
      </w:r>
    </w:p>
  </w:footnote>
  <w:footnote w:id="16">
    <w:p w:rsidR="00374D46" w:rsidRPr="00E3073B" w:rsidP="00374D46">
      <w:pPr>
        <w:pStyle w:val="FootnoteText"/>
      </w:pPr>
      <w:r w:rsidRPr="00E3073B">
        <w:rPr>
          <w:rStyle w:val="FootnoteReference"/>
        </w:rPr>
        <w:footnoteRef/>
      </w:r>
      <w:r w:rsidRPr="00E3073B">
        <w:t xml:space="preserve"> Supplement at 2; </w:t>
      </w:r>
      <w:r w:rsidRPr="00E3073B">
        <w:rPr>
          <w:i/>
        </w:rPr>
        <w:t xml:space="preserve">see also </w:t>
      </w:r>
      <w:r w:rsidRPr="00E3073B">
        <w:t>Supplement, Exhibit A (Supplement Exhibit A).</w:t>
      </w:r>
    </w:p>
  </w:footnote>
  <w:footnote w:id="17">
    <w:p w:rsidR="00374D46" w:rsidRPr="00E3073B" w:rsidP="00374D46">
      <w:pPr>
        <w:pStyle w:val="FootnoteText"/>
      </w:pPr>
      <w:r w:rsidRPr="00E3073B">
        <w:rPr>
          <w:rStyle w:val="FootnoteReference"/>
        </w:rPr>
        <w:footnoteRef/>
      </w:r>
      <w:r w:rsidRPr="00E3073B">
        <w:t xml:space="preserve"> Petition at 4-6; Supplement at 2; Supplement Exhibit A.</w:t>
      </w:r>
    </w:p>
  </w:footnote>
  <w:footnote w:id="18">
    <w:p w:rsidR="00374D46" w:rsidRPr="00E3073B" w:rsidP="00374D46">
      <w:pPr>
        <w:pStyle w:val="FootnoteText"/>
      </w:pPr>
      <w:r w:rsidRPr="00E3073B">
        <w:rPr>
          <w:rStyle w:val="FootnoteReference"/>
        </w:rPr>
        <w:footnoteRef/>
      </w:r>
      <w:r w:rsidRPr="00E3073B">
        <w:t xml:space="preserve"> Supplement Exhibit A.</w:t>
      </w:r>
    </w:p>
  </w:footnote>
  <w:footnote w:id="19">
    <w:p w:rsidR="00374D46" w:rsidRPr="00E3073B" w:rsidP="00374D46">
      <w:pPr>
        <w:pStyle w:val="FootnoteText"/>
      </w:pPr>
      <w:r w:rsidRPr="00E3073B">
        <w:rPr>
          <w:rStyle w:val="FootnoteReference"/>
        </w:rPr>
        <w:footnoteRef/>
      </w:r>
      <w:r w:rsidRPr="00E3073B">
        <w:t xml:space="preserve"> Petition at 6. </w:t>
      </w:r>
    </w:p>
  </w:footnote>
  <w:footnote w:id="20">
    <w:p w:rsidR="00374D46" w:rsidRPr="00E3073B" w:rsidP="00374D46">
      <w:pPr>
        <w:pStyle w:val="FootnoteText"/>
      </w:pPr>
      <w:r w:rsidRPr="00E3073B">
        <w:rPr>
          <w:rStyle w:val="FootnoteReference"/>
        </w:rPr>
        <w:footnoteRef/>
      </w:r>
      <w:r w:rsidRPr="00E3073B">
        <w:t xml:space="preserve"> Supplement at 2.  The Commission considers a community “well-served” when it is served by at least five full</w:t>
      </w:r>
      <w:r w:rsidR="00816070">
        <w:t xml:space="preserve"> </w:t>
      </w:r>
      <w:r w:rsidRPr="00E3073B">
        <w:t xml:space="preserve">power over-the-air signals.  </w:t>
      </w:r>
      <w:r w:rsidRPr="00E3073B">
        <w:rPr>
          <w:i/>
        </w:rPr>
        <w:t>See Third Periodic Review of the Commission’s Rules and Policies Affecting the Conversion to Digital Television</w:t>
      </w:r>
      <w:r w:rsidRPr="00E3073B">
        <w:t>, Notice of Proposed Rulemaking, 22 FCC Rcd 9478, 9493, para. 38 (2007).</w:t>
      </w:r>
    </w:p>
  </w:footnote>
  <w:footnote w:id="21">
    <w:p w:rsidR="00873850" w:rsidRPr="00374D46">
      <w:pPr>
        <w:pStyle w:val="FootnoteText"/>
      </w:pPr>
      <w:r w:rsidRPr="00374D46">
        <w:rPr>
          <w:rStyle w:val="FootnoteReference"/>
        </w:rPr>
        <w:footnoteRef/>
      </w:r>
      <w:r w:rsidRPr="00374D46">
        <w:t xml:space="preserve"> </w:t>
      </w:r>
      <w:r w:rsidRPr="00374D46">
        <w:rPr>
          <w:i/>
        </w:rPr>
        <w:t>Supra</w:t>
      </w:r>
      <w:r w:rsidRPr="00374D46">
        <w:t xml:space="preserve"> n. 1, para. 4.</w:t>
      </w:r>
    </w:p>
  </w:footnote>
  <w:footnote w:id="22">
    <w:p w:rsidR="009E6436" w:rsidRPr="00374D46">
      <w:pPr>
        <w:pStyle w:val="FootnoteText"/>
      </w:pPr>
      <w:r w:rsidRPr="00374D46">
        <w:rPr>
          <w:rStyle w:val="FootnoteReference"/>
        </w:rPr>
        <w:footnoteRef/>
      </w:r>
      <w:r w:rsidRPr="00374D46">
        <w:t xml:space="preserve"> </w:t>
      </w:r>
      <w:r w:rsidRPr="00374D46">
        <w:rPr>
          <w:i/>
        </w:rPr>
        <w:t>Id</w:t>
      </w:r>
      <w:r w:rsidRPr="00374D46">
        <w:t>.</w:t>
      </w:r>
    </w:p>
  </w:footnote>
  <w:footnote w:id="23">
    <w:p w:rsidR="00F6492D" w:rsidRPr="00374D46">
      <w:pPr>
        <w:pStyle w:val="FootnoteText"/>
      </w:pPr>
      <w:r w:rsidRPr="00374D46">
        <w:rPr>
          <w:rStyle w:val="FootnoteReference"/>
        </w:rPr>
        <w:footnoteRef/>
      </w:r>
      <w:r w:rsidRPr="00374D46">
        <w:t xml:space="preserve"> </w:t>
      </w:r>
      <w:r w:rsidRPr="00374D46">
        <w:rPr>
          <w:i/>
        </w:rPr>
        <w:t xml:space="preserve">Supra </w:t>
      </w:r>
      <w:r w:rsidRPr="00374D46">
        <w:t>n. 2.</w:t>
      </w:r>
    </w:p>
  </w:footnote>
  <w:footnote w:id="24">
    <w:p w:rsidR="00A46A7A" w:rsidRPr="00374D46">
      <w:pPr>
        <w:pStyle w:val="FootnoteText"/>
      </w:pPr>
      <w:r w:rsidRPr="00374D46">
        <w:rPr>
          <w:rStyle w:val="FootnoteReference"/>
        </w:rPr>
        <w:footnoteRef/>
      </w:r>
      <w:r w:rsidRPr="00374D46">
        <w:t xml:space="preserve"> </w:t>
      </w:r>
      <w:r w:rsidRPr="00374D46" w:rsidR="002A2B92">
        <w:t>ION Comment</w:t>
      </w:r>
      <w:r w:rsidRPr="00374D46">
        <w:t xml:space="preserve"> at 2.</w:t>
      </w:r>
    </w:p>
  </w:footnote>
  <w:footnote w:id="25">
    <w:p w:rsidR="00CD615F" w:rsidRPr="00374D46">
      <w:pPr>
        <w:pStyle w:val="FootnoteText"/>
      </w:pPr>
      <w:r w:rsidRPr="00374D46">
        <w:rPr>
          <w:rStyle w:val="FootnoteReference"/>
        </w:rPr>
        <w:footnoteRef/>
      </w:r>
      <w:r w:rsidRPr="00374D46">
        <w:t xml:space="preserve"> </w:t>
      </w:r>
      <w:r w:rsidRPr="00374D46" w:rsidR="00800DF1">
        <w:rPr>
          <w:i/>
        </w:rPr>
        <w:t>Id</w:t>
      </w:r>
      <w:r w:rsidRPr="00374D46" w:rsidR="00800DF1">
        <w:t>. at 2-3.</w:t>
      </w:r>
    </w:p>
  </w:footnote>
  <w:footnote w:id="26">
    <w:p w:rsidR="008F6CD8" w:rsidRPr="00374D46">
      <w:pPr>
        <w:pStyle w:val="FootnoteText"/>
      </w:pPr>
      <w:r w:rsidRPr="00374D46">
        <w:rPr>
          <w:rStyle w:val="FootnoteReference"/>
        </w:rPr>
        <w:footnoteRef/>
      </w:r>
      <w:r w:rsidRPr="00374D46">
        <w:t xml:space="preserve"> </w:t>
      </w:r>
      <w:r w:rsidRPr="00374D46">
        <w:rPr>
          <w:i/>
        </w:rPr>
        <w:t>Id</w:t>
      </w:r>
      <w:r w:rsidRPr="00374D46">
        <w:t>.</w:t>
      </w:r>
    </w:p>
  </w:footnote>
  <w:footnote w:id="27">
    <w:p w:rsidR="00D92BE1" w:rsidRPr="00374D46">
      <w:pPr>
        <w:pStyle w:val="FootnoteText"/>
      </w:pPr>
      <w:r w:rsidRPr="00374D46">
        <w:rPr>
          <w:rStyle w:val="FootnoteReference"/>
        </w:rPr>
        <w:footnoteRef/>
      </w:r>
      <w:r w:rsidRPr="00374D46">
        <w:t xml:space="preserve"> </w:t>
      </w:r>
      <w:r w:rsidRPr="00374D46">
        <w:rPr>
          <w:i/>
        </w:rPr>
        <w:t>Id</w:t>
      </w:r>
      <w:r w:rsidRPr="00374D46">
        <w:t>. at 3.</w:t>
      </w:r>
    </w:p>
  </w:footnote>
  <w:footnote w:id="28">
    <w:p w:rsidR="008F6CD8" w:rsidRPr="00374D46">
      <w:pPr>
        <w:pStyle w:val="FootnoteText"/>
      </w:pPr>
      <w:r w:rsidRPr="00374D46">
        <w:rPr>
          <w:rStyle w:val="FootnoteReference"/>
        </w:rPr>
        <w:footnoteRef/>
      </w:r>
      <w:r w:rsidRPr="00374D46">
        <w:t xml:space="preserve"> </w:t>
      </w:r>
      <w:r w:rsidRPr="00374D46">
        <w:rPr>
          <w:i/>
        </w:rPr>
        <w:t>Id</w:t>
      </w:r>
      <w:r w:rsidRPr="00374D46">
        <w:t>.</w:t>
      </w:r>
    </w:p>
  </w:footnote>
  <w:footnote w:id="29">
    <w:p w:rsidR="005E226C" w:rsidRPr="00374D46">
      <w:pPr>
        <w:pStyle w:val="FootnoteText"/>
      </w:pPr>
      <w:r w:rsidRPr="00374D46">
        <w:rPr>
          <w:rStyle w:val="FootnoteReference"/>
        </w:rPr>
        <w:footnoteRef/>
      </w:r>
      <w:r w:rsidRPr="00374D46">
        <w:t xml:space="preserve"> </w:t>
      </w:r>
      <w:r w:rsidRPr="00374D46">
        <w:rPr>
          <w:i/>
        </w:rPr>
        <w:t xml:space="preserve">Amendment of Section 3.606 of the Commission’s Rules and Regulations, </w:t>
      </w:r>
      <w:r w:rsidRPr="00374D46">
        <w:t>Sixth Report and Order, 41 F.C.C. 148, 167-173 (1952) (</w:t>
      </w:r>
      <w:r w:rsidRPr="00374D46">
        <w:rPr>
          <w:i/>
        </w:rPr>
        <w:t>Sixth Report and Order</w:t>
      </w:r>
      <w:r w:rsidRPr="00374D46">
        <w:t>)</w:t>
      </w:r>
      <w:r w:rsidRPr="00374D46">
        <w:rPr>
          <w:i/>
        </w:rPr>
        <w:t>.</w:t>
      </w:r>
    </w:p>
  </w:footnote>
  <w:footnote w:id="30">
    <w:p w:rsidR="005E226C" w:rsidRPr="00374D46">
      <w:pPr>
        <w:pStyle w:val="FootnoteText"/>
      </w:pPr>
      <w:r w:rsidRPr="00374D46">
        <w:rPr>
          <w:rStyle w:val="FootnoteReference"/>
        </w:rPr>
        <w:footnoteRef/>
      </w:r>
      <w:r w:rsidRPr="00374D46">
        <w:t xml:space="preserve"> </w:t>
      </w:r>
      <w:r w:rsidRPr="00374D46">
        <w:rPr>
          <w:i/>
        </w:rPr>
        <w:t>Id.</w:t>
      </w:r>
      <w:r w:rsidRPr="00374D46" w:rsidR="002E75D1">
        <w:rPr>
          <w:i/>
        </w:rPr>
        <w:t xml:space="preserve"> </w:t>
      </w:r>
      <w:r w:rsidRPr="00374D46" w:rsidR="002E75D1">
        <w:t xml:space="preserve">The five allotment priorities are: </w:t>
      </w:r>
      <w:r w:rsidRPr="00374D46" w:rsidR="00F034E5">
        <w:t xml:space="preserve"> </w:t>
      </w:r>
      <w:r w:rsidRPr="00374D46" w:rsidR="002E75D1">
        <w:t>(1) to provide at least one television service to all parts of the United States; (2) to provide each community with at least one television broadcast station; (3) to provide a choice of at least two television services to all parts of the United States; (4) to provide each community with at least two television broadcast stations; and (5) to assign any remaining channels to communities based on population, geographic location, and the number of television services available to the community from stations located in other communities</w:t>
      </w:r>
      <w:r w:rsidR="00840544">
        <w:t>.</w:t>
      </w:r>
      <w:r w:rsidRPr="00374D46" w:rsidR="002E75D1">
        <w:t xml:space="preserve">  </w:t>
      </w:r>
      <w:r w:rsidRPr="00374D46" w:rsidR="002E75D1">
        <w:rPr>
          <w:i/>
        </w:rPr>
        <w:t>Id</w:t>
      </w:r>
      <w:r w:rsidRPr="00374D46" w:rsidR="002E75D1">
        <w:t>.</w:t>
      </w:r>
    </w:p>
  </w:footnote>
  <w:footnote w:id="31">
    <w:p w:rsidR="003D26A2" w:rsidRPr="00374D46">
      <w:pPr>
        <w:pStyle w:val="FootnoteText"/>
      </w:pPr>
      <w:r w:rsidRPr="00374D46">
        <w:rPr>
          <w:rStyle w:val="FootnoteReference"/>
        </w:rPr>
        <w:footnoteRef/>
      </w:r>
      <w:r w:rsidRPr="00374D46">
        <w:t xml:space="preserve"> </w:t>
      </w:r>
      <w:r w:rsidRPr="00374D46">
        <w:rPr>
          <w:i/>
        </w:rPr>
        <w:t>Recon MO&amp;O</w:t>
      </w:r>
      <w:r w:rsidRPr="00374D46" w:rsidR="00897AB6">
        <w:t>, 5 FCC Rcd</w:t>
      </w:r>
      <w:r w:rsidRPr="00374D46">
        <w:rPr>
          <w:i/>
        </w:rPr>
        <w:t xml:space="preserve"> </w:t>
      </w:r>
      <w:r w:rsidRPr="00374D46">
        <w:t>at 7096, paras. 16-17.</w:t>
      </w:r>
    </w:p>
  </w:footnote>
  <w:footnote w:id="32">
    <w:p w:rsidR="00AC1B96" w:rsidRPr="00374D46">
      <w:pPr>
        <w:pStyle w:val="FootnoteText"/>
      </w:pPr>
      <w:r w:rsidRPr="00374D46">
        <w:rPr>
          <w:rStyle w:val="FootnoteReference"/>
        </w:rPr>
        <w:footnoteRef/>
      </w:r>
      <w:r w:rsidRPr="00374D46">
        <w:t xml:space="preserve"> </w:t>
      </w:r>
      <w:r w:rsidRPr="00374D46">
        <w:rPr>
          <w:i/>
        </w:rPr>
        <w:t>Id</w:t>
      </w:r>
      <w:r w:rsidRPr="00374D46">
        <w:t>.</w:t>
      </w:r>
    </w:p>
  </w:footnote>
  <w:footnote w:id="33">
    <w:p w:rsidR="00B929E7" w:rsidRPr="00374D46">
      <w:pPr>
        <w:pStyle w:val="FootnoteText"/>
      </w:pPr>
      <w:r w:rsidRPr="00374D46">
        <w:rPr>
          <w:rStyle w:val="FootnoteReference"/>
        </w:rPr>
        <w:footnoteRef/>
      </w:r>
      <w:r w:rsidRPr="00374D46">
        <w:t xml:space="preserve"> </w:t>
      </w:r>
      <w:r w:rsidRPr="00374D46">
        <w:rPr>
          <w:i/>
        </w:rPr>
        <w:t>See Amendment of Section 73.202(b), Table of Allotments, FM Broadcast Stations (Potts Camp and Saltillo Mississippi)</w:t>
      </w:r>
      <w:r w:rsidRPr="00374D46">
        <w:t>, Memorandum Opinion and Order, 16 FCC Rcd 16116, 16120, para. 8 (2001).  The Commission applies the same standards for evaluating reallotment proposals</w:t>
      </w:r>
      <w:r w:rsidR="00B53FFF">
        <w:t xml:space="preserve"> for television services</w:t>
      </w:r>
      <w:r w:rsidRPr="00374D46">
        <w:t xml:space="preserve"> that it</w:t>
      </w:r>
      <w:r w:rsidR="00B53FFF">
        <w:t xml:space="preserve"> does for</w:t>
      </w:r>
      <w:r w:rsidRPr="00374D46">
        <w:t xml:space="preserve"> aural s</w:t>
      </w:r>
      <w:r w:rsidR="00B53FFF">
        <w:t>ervices</w:t>
      </w:r>
      <w:r w:rsidRPr="00374D46">
        <w:t xml:space="preserve">. </w:t>
      </w:r>
      <w:r w:rsidRPr="00374D46">
        <w:rPr>
          <w:i/>
        </w:rPr>
        <w:t>See Recon MO&amp;O</w:t>
      </w:r>
      <w:r w:rsidRPr="00374D46">
        <w:t>, 5 FCC Rcd at 7069, paras. 16-18.</w:t>
      </w:r>
    </w:p>
  </w:footnote>
  <w:footnote w:id="34">
    <w:p w:rsidR="00A9333F" w:rsidRPr="00374D46">
      <w:pPr>
        <w:pStyle w:val="FootnoteText"/>
      </w:pPr>
      <w:r w:rsidRPr="00374D46">
        <w:rPr>
          <w:rStyle w:val="FootnoteReference"/>
        </w:rPr>
        <w:footnoteRef/>
      </w:r>
      <w:r w:rsidRPr="00374D46">
        <w:t xml:space="preserve"> WPXQ currently provides a 41 </w:t>
      </w:r>
      <w:r w:rsidRPr="00374D46">
        <w:t>dBu</w:t>
      </w:r>
      <w:r w:rsidRPr="00374D46">
        <w:t xml:space="preserve"> signal over all of Block Island, as required by Section 73.625(a)(1) of the Commission’s rules.</w:t>
      </w:r>
    </w:p>
  </w:footnote>
  <w:footnote w:id="35">
    <w:p w:rsidR="00B925E1" w:rsidRPr="00374D46">
      <w:pPr>
        <w:pStyle w:val="FootnoteText"/>
      </w:pPr>
      <w:r w:rsidRPr="00374D46">
        <w:rPr>
          <w:rStyle w:val="FootnoteReference"/>
        </w:rPr>
        <w:footnoteRef/>
      </w:r>
      <w:r w:rsidRPr="00374D46">
        <w:t xml:space="preserve"> 47 U.S.C. §§</w:t>
      </w:r>
      <w:r w:rsidRPr="00374D46" w:rsidR="00572FFC">
        <w:t xml:space="preserve"> 154(</w:t>
      </w:r>
      <w:r w:rsidRPr="00374D46" w:rsidR="00572FFC">
        <w:t>i</w:t>
      </w:r>
      <w:r w:rsidRPr="00374D46" w:rsidR="00572FFC">
        <w:t>), 155(c)</w:t>
      </w:r>
      <w:r w:rsidRPr="00374D46" w:rsidR="00177C38">
        <w:t xml:space="preserve">(1), 303(g) and </w:t>
      </w:r>
      <w:r w:rsidRPr="00374D46" w:rsidR="00572FFC">
        <w:t xml:space="preserve">(r), </w:t>
      </w:r>
      <w:r w:rsidRPr="00374D46" w:rsidR="00177C38">
        <w:t xml:space="preserve">and </w:t>
      </w:r>
      <w:r w:rsidRPr="00374D46" w:rsidR="00572FFC">
        <w:t>307(b).</w:t>
      </w:r>
    </w:p>
  </w:footnote>
  <w:footnote w:id="36">
    <w:p w:rsidR="00177C38" w:rsidRPr="00374D46">
      <w:pPr>
        <w:pStyle w:val="FootnoteText"/>
      </w:pPr>
      <w:r w:rsidRPr="00374D46">
        <w:rPr>
          <w:rStyle w:val="FootnoteReference"/>
        </w:rPr>
        <w:footnoteRef/>
      </w:r>
      <w:r w:rsidRPr="00374D46">
        <w:t xml:space="preserve"> 47 CFR §§ 0.61, 0.204(b), and 0.283.</w:t>
      </w:r>
    </w:p>
  </w:footnote>
  <w:footnote w:id="37">
    <w:p w:rsidR="00177C38" w:rsidRPr="00374D46">
      <w:pPr>
        <w:pStyle w:val="FootnoteText"/>
      </w:pPr>
      <w:r w:rsidRPr="00374D46">
        <w:rPr>
          <w:rStyle w:val="FootnoteReference"/>
        </w:rPr>
        <w:footnoteRef/>
      </w:r>
      <w:r w:rsidRPr="00374D46">
        <w:t xml:space="preserve"> 5 U.S.C. §§ 801 </w:t>
      </w:r>
      <w:r w:rsidRPr="00374D46">
        <w:rPr>
          <w:i/>
        </w:rPr>
        <w:t>et seq</w:t>
      </w:r>
      <w:r w:rsidRPr="00374D4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534B2">
      <w:t xml:space="preserve">DA </w:t>
    </w:r>
    <w:r w:rsidR="00B42B47">
      <w:t>18</w:t>
    </w:r>
    <w:r w:rsidR="004534B2">
      <w:t>-</w:t>
    </w:r>
    <w:r w:rsidR="00BD2566">
      <w:t>962</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156B25">
      <w:t>18</w:t>
    </w:r>
    <w:r w:rsidR="004534B2">
      <w:t>-</w:t>
    </w:r>
    <w:r w:rsidR="00BD2566">
      <w:t>962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F2E99"/>
    <w:multiLevelType w:val="hybridMultilevel"/>
    <w:tmpl w:val="3510FD0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2B48D2"/>
    <w:multiLevelType w:val="singleLevel"/>
    <w:tmpl w:val="462A4EC8"/>
    <w:lvl w:ilvl="0">
      <w:start w:val="0"/>
      <w:numFmt w:val="decimal"/>
      <w:pStyle w:val="Paranum0"/>
      <w:lvlJc w:val="left"/>
    </w:lvl>
  </w:abstractNum>
  <w:abstractNum w:abstractNumId="10">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5"/>
  </w:num>
  <w:num w:numId="8">
    <w:abstractNumId w:val="7"/>
  </w:num>
  <w:num w:numId="9">
    <w:abstractNumId w:val="8"/>
  </w:num>
  <w:num w:numId="10">
    <w:abstractNumId w:val="8"/>
    <w:lvlOverride w:ilvl="0">
      <w:startOverride w:val="1"/>
    </w:lvlOverride>
  </w:num>
  <w:num w:numId="11">
    <w:abstractNumId w:val="8"/>
  </w:num>
  <w:num w:numId="12">
    <w:abstractNumId w:val="9"/>
  </w:num>
  <w:num w:numId="13">
    <w:abstractNumId w:val="8"/>
    <w:lvlOverride w:ilvl="0">
      <w:startOverride w:val="1"/>
    </w:lvlOverride>
  </w:num>
  <w:num w:numId="14">
    <w:abstractNumId w:val="8"/>
    <w:lvlOverride w:ilvl="0">
      <w:startOverride w:val="1"/>
    </w:lvlOverride>
  </w:num>
  <w:num w:numId="15">
    <w:abstractNumId w:val="10"/>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rPr>
      <w:rFonts w:ascii="Segoe UI" w:hAnsi="Segoe UI" w:cs="Segoe UI"/>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rPr>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character" w:customStyle="1" w:styleId="UnresolvedMention1">
    <w:name w:val="Unresolved Mention1"/>
    <w:basedOn w:val="DefaultParagraphFont"/>
    <w:uiPriority w:val="99"/>
    <w:semiHidden/>
    <w:unhideWhenUsed/>
    <w:rsid w:val="00936AA6"/>
    <w:rPr>
      <w:color w:val="808080"/>
      <w:shd w:val="clear" w:color="auto" w:fill="E6E6E6"/>
    </w:rPr>
  </w:style>
  <w:style w:type="paragraph" w:customStyle="1" w:styleId="AppNum">
    <w:name w:val="App Num"/>
    <w:basedOn w:val="Normal"/>
    <w:rsid w:val="00BF6E00"/>
    <w:pPr>
      <w:numPr>
        <w:numId w:val="15"/>
      </w:numPr>
    </w:pPr>
    <w:rPr>
      <w:rFonts w:ascii="Courier New" w:hAnsi="Courier New"/>
      <w:kern w:val="0"/>
      <w:sz w:val="24"/>
    </w:rPr>
  </w:style>
  <w:style w:type="paragraph" w:styleId="BodyText">
    <w:name w:val="Body Text"/>
    <w:basedOn w:val="Normal"/>
    <w:link w:val="BodyTextChar"/>
    <w:rsid w:val="0065028B"/>
    <w:pPr>
      <w:widowControl/>
      <w:spacing w:after="240"/>
      <w:jc w:val="both"/>
    </w:pPr>
    <w:rPr>
      <w:snapToGrid/>
      <w:kern w:val="0"/>
    </w:rPr>
  </w:style>
  <w:style w:type="character" w:customStyle="1" w:styleId="BodyTextChar">
    <w:name w:val="Body Text Char"/>
    <w:basedOn w:val="DefaultParagraphFont"/>
    <w:link w:val="BodyText"/>
    <w:rsid w:val="0065028B"/>
    <w:rPr>
      <w:sz w:val="22"/>
    </w:rPr>
  </w:style>
  <w:style w:type="character" w:styleId="FollowedHyperlink">
    <w:name w:val="FollowedHyperlink"/>
    <w:basedOn w:val="DefaultParagraphFont"/>
    <w:semiHidden/>
    <w:unhideWhenUsed/>
    <w:rsid w:val="00D81627"/>
    <w:rPr>
      <w:color w:val="954F72" w:themeColor="followedHyperlink"/>
      <w:u w:val="single"/>
    </w:rPr>
  </w:style>
  <w:style w:type="character" w:customStyle="1" w:styleId="UnresolvedMention2">
    <w:name w:val="Unresolved Mention2"/>
    <w:basedOn w:val="DefaultParagraphFont"/>
    <w:uiPriority w:val="99"/>
    <w:semiHidden/>
    <w:unhideWhenUsed/>
    <w:rsid w:val="00D81627"/>
    <w:rPr>
      <w:color w:val="808080"/>
      <w:shd w:val="clear" w:color="auto" w:fill="E6E6E6"/>
    </w:rPr>
  </w:style>
  <w:style w:type="paragraph" w:styleId="ListParagraph">
    <w:name w:val="List Paragraph"/>
    <w:basedOn w:val="Normal"/>
    <w:uiPriority w:val="34"/>
    <w:qFormat/>
    <w:rsid w:val="00BE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