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A5D6B" w:rsidRPr="002B56A6" w:rsidP="002B56A6" w14:paraId="0B964077" w14:textId="545D73FD">
      <w:pPr>
        <w:spacing w:after="0" w:line="240" w:lineRule="auto"/>
        <w:jc w:val="right"/>
        <w:rPr>
          <w:rFonts w:ascii="Times New Roman" w:hAnsi="Times New Roman" w:cs="Times New Roman"/>
          <w:b/>
        </w:rPr>
      </w:pPr>
      <w:r w:rsidRPr="002B56A6">
        <w:rPr>
          <w:rFonts w:ascii="Times New Roman" w:hAnsi="Times New Roman" w:cs="Times New Roman"/>
          <w:b/>
        </w:rPr>
        <w:t>DA</w:t>
      </w:r>
      <w:r w:rsidR="00C75F82">
        <w:rPr>
          <w:rFonts w:ascii="Times New Roman" w:hAnsi="Times New Roman" w:cs="Times New Roman"/>
          <w:b/>
        </w:rPr>
        <w:t xml:space="preserve"> 18</w:t>
      </w:r>
      <w:r w:rsidR="00011F5B">
        <w:rPr>
          <w:rFonts w:ascii="Times New Roman" w:hAnsi="Times New Roman" w:cs="Times New Roman"/>
          <w:b/>
        </w:rPr>
        <w:t>-987</w:t>
      </w:r>
    </w:p>
    <w:p w:rsidR="004A5D6B" w:rsidRPr="002B56A6" w:rsidP="002B56A6" w14:paraId="1E33C0FE" w14:textId="77777777">
      <w:pPr>
        <w:spacing w:after="0" w:line="240" w:lineRule="auto"/>
        <w:jc w:val="center"/>
        <w:rPr>
          <w:rFonts w:ascii="Times New Roman" w:hAnsi="Times New Roman" w:cs="Times New Roman"/>
          <w:b/>
        </w:rPr>
      </w:pPr>
    </w:p>
    <w:p w:rsidR="00EF0AF7" w:rsidP="002B56A6" w14:paraId="43A100AF" w14:textId="77777777">
      <w:pPr>
        <w:spacing w:after="0" w:line="240" w:lineRule="auto"/>
        <w:jc w:val="center"/>
        <w:rPr>
          <w:rFonts w:ascii="Times New Roman" w:hAnsi="Times New Roman" w:cs="Times New Roman"/>
          <w:b/>
          <w:sz w:val="28"/>
          <w:szCs w:val="28"/>
        </w:rPr>
      </w:pPr>
    </w:p>
    <w:p w:rsidR="004A5D6B" w:rsidRPr="005C16B1" w:rsidP="002B56A6" w14:paraId="427F86BF" w14:textId="77777777">
      <w:pPr>
        <w:spacing w:after="0" w:line="240" w:lineRule="auto"/>
        <w:jc w:val="center"/>
        <w:rPr>
          <w:rFonts w:ascii="Times New Roman" w:hAnsi="Times New Roman" w:cs="Times New Roman"/>
          <w:b/>
          <w:sz w:val="28"/>
          <w:szCs w:val="28"/>
        </w:rPr>
      </w:pPr>
      <w:r w:rsidRPr="005C16B1">
        <w:rPr>
          <w:rFonts w:ascii="Times New Roman" w:hAnsi="Times New Roman" w:cs="Times New Roman"/>
          <w:b/>
          <w:sz w:val="28"/>
          <w:szCs w:val="28"/>
        </w:rPr>
        <w:t>SMALL ENTITY COMPLIANCE GUIDE</w:t>
      </w:r>
    </w:p>
    <w:p w:rsidR="004A5D6B" w:rsidRPr="002B56A6" w:rsidP="002B56A6" w14:paraId="31612940" w14:textId="77777777">
      <w:pPr>
        <w:spacing w:after="0" w:line="240" w:lineRule="auto"/>
        <w:jc w:val="center"/>
        <w:rPr>
          <w:rFonts w:ascii="Times New Roman" w:hAnsi="Times New Roman" w:cs="Times New Roman"/>
          <w:b/>
        </w:rPr>
      </w:pPr>
    </w:p>
    <w:p w:rsidR="008729AB" w:rsidRPr="008C1C45" w:rsidP="002B56A6" w14:paraId="5CC55676" w14:textId="2E9304FE">
      <w:pPr>
        <w:spacing w:after="0" w:line="240" w:lineRule="auto"/>
        <w:jc w:val="center"/>
        <w:rPr>
          <w:rFonts w:ascii="Times New Roman" w:hAnsi="Times New Roman" w:cs="Times New Roman"/>
          <w:b/>
          <w:sz w:val="24"/>
          <w:szCs w:val="24"/>
        </w:rPr>
      </w:pPr>
      <w:r w:rsidRPr="008C1C45">
        <w:rPr>
          <w:rFonts w:ascii="Times New Roman" w:hAnsi="Times New Roman" w:cs="Times New Roman"/>
          <w:b/>
          <w:sz w:val="24"/>
          <w:szCs w:val="24"/>
        </w:rPr>
        <w:t>Use of Spectrum Bands Above 24 GHz For Mobile Radio Services, et al</w:t>
      </w:r>
      <w:r w:rsidRPr="008C1C45" w:rsidR="00323474">
        <w:rPr>
          <w:rFonts w:ascii="Times New Roman" w:hAnsi="Times New Roman" w:cs="Times New Roman"/>
          <w:b/>
          <w:sz w:val="24"/>
          <w:szCs w:val="24"/>
        </w:rPr>
        <w:t>.</w:t>
      </w:r>
    </w:p>
    <w:p w:rsidR="00323474" w:rsidRPr="004239D4" w:rsidP="002B56A6" w14:paraId="59335C63" w14:textId="77777777">
      <w:pPr>
        <w:spacing w:after="0" w:line="240" w:lineRule="auto"/>
        <w:jc w:val="center"/>
        <w:rPr>
          <w:rFonts w:ascii="Times New Roman" w:hAnsi="Times New Roman" w:cs="Times New Roman"/>
          <w:b/>
        </w:rPr>
      </w:pPr>
    </w:p>
    <w:p w:rsidR="00323474" w:rsidRPr="002B56A6" w:rsidP="002B56A6" w14:paraId="33B720DB" w14:textId="1B15DB8A">
      <w:pPr>
        <w:spacing w:after="0" w:line="240" w:lineRule="auto"/>
        <w:jc w:val="center"/>
        <w:rPr>
          <w:rFonts w:ascii="Times New Roman" w:hAnsi="Times New Roman" w:cs="Times New Roman"/>
          <w:b/>
        </w:rPr>
      </w:pPr>
      <w:r w:rsidRPr="002B56A6">
        <w:rPr>
          <w:rFonts w:ascii="Times New Roman" w:hAnsi="Times New Roman" w:cs="Times New Roman"/>
          <w:b/>
        </w:rPr>
        <w:t xml:space="preserve">FCC </w:t>
      </w:r>
      <w:r w:rsidRPr="002B56A6" w:rsidR="0001069B">
        <w:rPr>
          <w:rFonts w:ascii="Times New Roman" w:hAnsi="Times New Roman" w:cs="Times New Roman"/>
          <w:b/>
          <w:bCs/>
        </w:rPr>
        <w:t>1</w:t>
      </w:r>
      <w:r w:rsidR="003C3CE4">
        <w:rPr>
          <w:rFonts w:ascii="Times New Roman" w:hAnsi="Times New Roman" w:cs="Times New Roman"/>
          <w:b/>
          <w:bCs/>
        </w:rPr>
        <w:t>8</w:t>
      </w:r>
      <w:r w:rsidRPr="002B56A6" w:rsidR="0001069B">
        <w:rPr>
          <w:rFonts w:ascii="Times New Roman" w:hAnsi="Times New Roman" w:cs="Times New Roman"/>
          <w:b/>
          <w:bCs/>
        </w:rPr>
        <w:t>-</w:t>
      </w:r>
      <w:r w:rsidR="003C3CE4">
        <w:rPr>
          <w:rFonts w:ascii="Times New Roman" w:hAnsi="Times New Roman" w:cs="Times New Roman"/>
          <w:b/>
          <w:bCs/>
        </w:rPr>
        <w:t>73</w:t>
      </w:r>
    </w:p>
    <w:p w:rsidR="004A5D6B" w:rsidP="002B56A6" w14:paraId="2EA46203" w14:textId="0EF6FEAE">
      <w:pPr>
        <w:tabs>
          <w:tab w:val="center" w:pos="4680"/>
          <w:tab w:val="left" w:pos="7028"/>
        </w:tabs>
        <w:spacing w:line="240" w:lineRule="auto"/>
        <w:jc w:val="center"/>
        <w:rPr>
          <w:rFonts w:ascii="Times New Roman" w:hAnsi="Times New Roman" w:cs="Times New Roman"/>
          <w:b/>
        </w:rPr>
      </w:pPr>
      <w:r w:rsidRPr="002B56A6">
        <w:rPr>
          <w:rFonts w:ascii="Times New Roman" w:hAnsi="Times New Roman" w:cs="Times New Roman"/>
          <w:b/>
        </w:rPr>
        <w:t>WT</w:t>
      </w:r>
      <w:r w:rsidR="00323474">
        <w:rPr>
          <w:rFonts w:ascii="Times New Roman" w:hAnsi="Times New Roman" w:cs="Times New Roman"/>
          <w:b/>
        </w:rPr>
        <w:t xml:space="preserve"> </w:t>
      </w:r>
      <w:r w:rsidRPr="002B56A6">
        <w:rPr>
          <w:rFonts w:ascii="Times New Roman" w:hAnsi="Times New Roman" w:cs="Times New Roman"/>
          <w:b/>
        </w:rPr>
        <w:t xml:space="preserve">Docket No. </w:t>
      </w:r>
      <w:r w:rsidR="0069165C">
        <w:rPr>
          <w:rFonts w:ascii="Times New Roman" w:hAnsi="Times New Roman" w:cs="Times New Roman"/>
          <w:b/>
        </w:rPr>
        <w:t>10-112</w:t>
      </w:r>
      <w:bookmarkStart w:id="0" w:name="_GoBack"/>
      <w:bookmarkEnd w:id="0"/>
      <w:r w:rsidR="0069165C">
        <w:rPr>
          <w:rFonts w:ascii="Times New Roman" w:hAnsi="Times New Roman" w:cs="Times New Roman"/>
          <w:b/>
        </w:rPr>
        <w:br/>
        <w:t>GN Docket No. 14-177</w:t>
      </w:r>
    </w:p>
    <w:p w:rsidR="00C75F82" w:rsidRPr="002B56A6" w:rsidP="002B56A6" w14:paraId="7350EC2C" w14:textId="0A1B7C0F">
      <w:pPr>
        <w:tabs>
          <w:tab w:val="center" w:pos="4680"/>
          <w:tab w:val="left" w:pos="7028"/>
        </w:tabs>
        <w:spacing w:line="240" w:lineRule="auto"/>
        <w:jc w:val="center"/>
        <w:rPr>
          <w:rFonts w:ascii="Times New Roman" w:hAnsi="Times New Roman" w:cs="Times New Roman"/>
          <w:b/>
        </w:rPr>
      </w:pPr>
      <w:r>
        <w:rPr>
          <w:rFonts w:ascii="Times New Roman" w:hAnsi="Times New Roman" w:cs="Times New Roman"/>
          <w:b/>
        </w:rPr>
        <w:t xml:space="preserve">Released:  </w:t>
      </w:r>
      <w:r w:rsidR="007E1235">
        <w:rPr>
          <w:rFonts w:ascii="Times New Roman" w:hAnsi="Times New Roman" w:cs="Times New Roman"/>
          <w:b/>
        </w:rPr>
        <w:t xml:space="preserve">June 8, </w:t>
      </w:r>
      <w:r>
        <w:rPr>
          <w:rFonts w:ascii="Times New Roman" w:hAnsi="Times New Roman" w:cs="Times New Roman"/>
          <w:b/>
        </w:rPr>
        <w:t>201</w:t>
      </w:r>
      <w:r w:rsidR="003C3CE4">
        <w:rPr>
          <w:rFonts w:ascii="Times New Roman" w:hAnsi="Times New Roman" w:cs="Times New Roman"/>
          <w:b/>
        </w:rPr>
        <w:t>8</w:t>
      </w:r>
    </w:p>
    <w:p w:rsidR="004A5D6B" w:rsidRPr="002B56A6" w:rsidP="002B56A6" w14:paraId="02814116" w14:textId="77777777">
      <w:pPr>
        <w:tabs>
          <w:tab w:val="center" w:pos="4680"/>
          <w:tab w:val="left" w:pos="7028"/>
        </w:tabs>
        <w:spacing w:line="240" w:lineRule="auto"/>
        <w:jc w:val="center"/>
        <w:rPr>
          <w:rFonts w:ascii="Times New Roman" w:hAnsi="Times New Roman" w:cs="Times New Roman"/>
          <w:b/>
        </w:rPr>
      </w:pPr>
      <w:r w:rsidRPr="002B56A6">
        <w:rPr>
          <w:rFonts w:ascii="Times New Roman" w:hAnsi="Times New Roman" w:cs="Times New Roman"/>
          <w:b/>
        </w:rPr>
        <w:tab/>
      </w:r>
      <w:r w:rsidRPr="002B56A6">
        <w:rPr>
          <w:rFonts w:ascii="Times New Roman" w:hAnsi="Times New Roman" w:cs="Times New Roman"/>
          <w:b/>
        </w:rPr>
        <w:tab/>
      </w:r>
    </w:p>
    <w:p w:rsidR="00C75F82" w:rsidRPr="00C75F82" w:rsidP="00C75F82" w14:paraId="33AA8817" w14:textId="77777777">
      <w:pPr>
        <w:spacing w:after="0"/>
        <w:ind w:left="1080"/>
        <w:rPr>
          <w:rFonts w:ascii="Times New Roman" w:eastAsia="Calibri" w:hAnsi="Times New Roman" w:cs="Times New Roman"/>
          <w:b/>
        </w:rPr>
      </w:pPr>
      <w:r w:rsidRPr="00C75F82">
        <w:rPr>
          <w:rFonts w:ascii="Times New Roman" w:eastAsia="Calibri" w:hAnsi="Times New Roman" w:cs="Times New Roman"/>
          <w:b/>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revised rules adopted in the above-referenced Federal Communications Commission (FCC or Commission) rulemaking dockets.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w:t>
      </w:r>
      <w:r w:rsidRPr="00C75F82">
        <w:rPr>
          <w:rFonts w:ascii="Times New Roman" w:eastAsia="Calibri" w:hAnsi="Times New Roman" w:cs="Times New Roman"/>
          <w:b/>
        </w:rPr>
        <w:t>particular small</w:t>
      </w:r>
      <w:r w:rsidRPr="00C75F82">
        <w:rPr>
          <w:rFonts w:ascii="Times New Roman" w:eastAsia="Calibri" w:hAnsi="Times New Roman" w:cs="Times New Roman"/>
          <w:b/>
        </w:rPr>
        <w:t xml:space="preserve"> entity will be based on the statute and any relevant rules. </w:t>
      </w:r>
    </w:p>
    <w:p w:rsidR="00C75F82" w:rsidRPr="00C75F82" w:rsidP="00C75F82" w14:paraId="30339C72" w14:textId="77777777">
      <w:pPr>
        <w:ind w:left="1080" w:hanging="1080"/>
        <w:contextualSpacing/>
        <w:rPr>
          <w:rFonts w:ascii="Times New Roman" w:eastAsia="Calibri" w:hAnsi="Times New Roman" w:cs="Times New Roman"/>
          <w:b/>
        </w:rPr>
      </w:pPr>
    </w:p>
    <w:p w:rsidR="00C75F82" w:rsidRPr="00C75F82" w:rsidP="00C75F82" w14:paraId="470593D6" w14:textId="77777777">
      <w:pPr>
        <w:ind w:left="1080"/>
        <w:contextualSpacing/>
        <w:rPr>
          <w:rFonts w:ascii="Times New Roman" w:eastAsia="Calibri" w:hAnsi="Times New Roman" w:cs="Times New Roman"/>
          <w:b/>
        </w:rPr>
      </w:pPr>
      <w:r w:rsidRPr="00C75F82">
        <w:rPr>
          <w:rFonts w:ascii="Times New Roman" w:eastAsia="Calibri" w:hAnsi="Times New Roman" w:cs="Times New Roman"/>
          <w:b/>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w:t>
      </w:r>
      <w:r w:rsidRPr="00C75F82">
        <w:rPr>
          <w:rFonts w:ascii="Times New Roman" w:eastAsia="Calibri" w:hAnsi="Times New Roman" w:cs="Times New Roman"/>
          <w:b/>
        </w:rPr>
        <w:t>particular situation</w:t>
      </w:r>
      <w:r w:rsidRPr="00C75F82">
        <w:rPr>
          <w:rFonts w:ascii="Times New Roman" w:eastAsia="Calibri" w:hAnsi="Times New Roman" w:cs="Times New Roman"/>
          <w:b/>
        </w:rPr>
        <w:t>. The FCC will then consider whether the recommendations or interpretations in the Guide are appropriate in that situation.  The FCC may decide to revise this Guide without public notice to reflect changes in the FCC’s approach to implementing a rule, or it may clarify or update the text of the Guide.  Direct your comments and recommendations, or calls for further assistance, to the FCC’s Consumer Center:</w:t>
      </w:r>
    </w:p>
    <w:p w:rsidR="00C75F82" w:rsidRPr="00C75F82" w:rsidP="00C75F82" w14:paraId="3C054B17" w14:textId="77777777">
      <w:pPr>
        <w:ind w:left="1080"/>
        <w:contextualSpacing/>
        <w:rPr>
          <w:rFonts w:ascii="Times New Roman" w:eastAsia="Calibri" w:hAnsi="Times New Roman" w:cs="Times New Roman"/>
          <w:b/>
        </w:rPr>
      </w:pPr>
    </w:p>
    <w:p w:rsidR="00C75F82" w:rsidRPr="00C75F82" w:rsidP="00C75F82" w14:paraId="321E7CBC" w14:textId="77777777">
      <w:pPr>
        <w:ind w:left="1080"/>
        <w:contextualSpacing/>
        <w:jc w:val="center"/>
        <w:rPr>
          <w:rFonts w:ascii="Times New Roman" w:eastAsia="Calibri" w:hAnsi="Times New Roman" w:cs="Times New Roman"/>
          <w:b/>
        </w:rPr>
      </w:pPr>
      <w:r w:rsidRPr="00C75F82">
        <w:rPr>
          <w:rFonts w:ascii="Times New Roman" w:eastAsia="Calibri" w:hAnsi="Times New Roman" w:cs="Times New Roman"/>
          <w:b/>
        </w:rPr>
        <w:t>1-888-CALL-FCC (1-888-225-5322)</w:t>
      </w:r>
    </w:p>
    <w:p w:rsidR="00C75F82" w:rsidRPr="00C75F82" w:rsidP="00C75F82" w14:paraId="56A407CB" w14:textId="77777777">
      <w:pPr>
        <w:ind w:left="1080"/>
        <w:contextualSpacing/>
        <w:jc w:val="center"/>
        <w:rPr>
          <w:rFonts w:ascii="Times New Roman" w:eastAsia="Calibri" w:hAnsi="Times New Roman" w:cs="Times New Roman"/>
          <w:b/>
        </w:rPr>
      </w:pPr>
      <w:r w:rsidRPr="00C75F82">
        <w:rPr>
          <w:rFonts w:ascii="Times New Roman" w:eastAsia="Calibri" w:hAnsi="Times New Roman" w:cs="Times New Roman"/>
          <w:b/>
        </w:rPr>
        <w:t>TTY: 1-888-TELL-FCC (1-888-835-5322)</w:t>
      </w:r>
    </w:p>
    <w:p w:rsidR="00C75F82" w:rsidRPr="00C75F82" w:rsidP="00C75F82" w14:paraId="6DCBEC3B" w14:textId="77777777">
      <w:pPr>
        <w:ind w:left="1080"/>
        <w:contextualSpacing/>
        <w:jc w:val="center"/>
        <w:rPr>
          <w:rFonts w:ascii="Times New Roman" w:eastAsia="Calibri" w:hAnsi="Times New Roman" w:cs="Times New Roman"/>
          <w:b/>
        </w:rPr>
      </w:pPr>
      <w:r w:rsidRPr="00C75F82">
        <w:rPr>
          <w:rFonts w:ascii="Times New Roman" w:eastAsia="Calibri" w:hAnsi="Times New Roman" w:cs="Times New Roman"/>
          <w:b/>
        </w:rPr>
        <w:t>Videophone: 1-844-4-FCC-ASL (1-844-432-2275)</w:t>
      </w:r>
    </w:p>
    <w:p w:rsidR="00C75F82" w:rsidRPr="00C75F82" w:rsidP="00C75F82" w14:paraId="43328C71" w14:textId="77777777">
      <w:pPr>
        <w:ind w:left="1080"/>
        <w:contextualSpacing/>
        <w:jc w:val="center"/>
        <w:rPr>
          <w:rFonts w:ascii="Times New Roman" w:eastAsia="Calibri" w:hAnsi="Times New Roman" w:cs="Times New Roman"/>
          <w:b/>
        </w:rPr>
        <w:sectPr w:rsidSect="00152909">
          <w:headerReference w:type="default" r:id="rId5"/>
          <w:footerReference w:type="default" r:id="rId6"/>
          <w:pgSz w:w="12240" w:h="15840"/>
          <w:pgMar w:top="1440" w:right="1440" w:bottom="1008" w:left="1440" w:header="720" w:footer="187" w:gutter="0"/>
          <w:cols w:space="720"/>
          <w:docGrid w:linePitch="360"/>
        </w:sectPr>
      </w:pPr>
      <w:r w:rsidRPr="00C75F82">
        <w:rPr>
          <w:rFonts w:ascii="Times New Roman" w:eastAsia="Calibri" w:hAnsi="Times New Roman" w:cs="Times New Roman"/>
          <w:b/>
        </w:rPr>
        <w:t>Fax: 1-866-418-0232</w:t>
      </w:r>
    </w:p>
    <w:p w:rsidR="003A637D" w:rsidRPr="003A637D" w:rsidP="003A637D" w14:paraId="41B546C6" w14:textId="4669B101">
      <w:pPr>
        <w:pStyle w:val="TOC1"/>
        <w:rPr>
          <w:b/>
          <w:u w:val="single"/>
        </w:rPr>
      </w:pPr>
      <w:r w:rsidRPr="003A637D">
        <w:rPr>
          <w:b/>
          <w:u w:val="single"/>
        </w:rPr>
        <w:t>TABLE OF CONTENTS</w:t>
      </w:r>
    </w:p>
    <w:p w:rsidR="003A637D" w:rsidP="003A637D" w14:paraId="6CC49C1C" w14:textId="77777777">
      <w:pPr>
        <w:pStyle w:val="TOC1"/>
      </w:pPr>
    </w:p>
    <w:p w:rsidR="003A637D" w:rsidRPr="003A637D" w:rsidP="003A637D" w14:paraId="26E1BDD0" w14:textId="6268E275">
      <w:pPr>
        <w:pStyle w:val="TOC1"/>
        <w:rPr>
          <w:caps/>
        </w:rPr>
      </w:pPr>
      <w:r w:rsidRPr="003A637D">
        <w:t>I.</w:t>
      </w:r>
      <w:r w:rsidRPr="003A637D">
        <w:rPr>
          <w:caps/>
        </w:rPr>
        <w:tab/>
      </w:r>
      <w:r w:rsidRPr="003A637D">
        <w:t>OBJ</w:t>
      </w:r>
      <w:r>
        <w:t>E</w:t>
      </w:r>
      <w:r w:rsidRPr="003A637D">
        <w:t>CTIVES OF THE PROCEEDING</w:t>
      </w:r>
      <w:r w:rsidRPr="003A637D">
        <w:tab/>
        <w:t>1</w:t>
      </w:r>
    </w:p>
    <w:p w:rsidR="003A637D" w:rsidRPr="003A637D" w:rsidP="003A637D" w14:paraId="3D3BAEB4" w14:textId="43AB1C35">
      <w:pPr>
        <w:pStyle w:val="TOC1"/>
        <w:rPr>
          <w:caps/>
        </w:rPr>
      </w:pPr>
      <w:r w:rsidRPr="003A637D">
        <w:t>II.</w:t>
      </w:r>
      <w:r w:rsidRPr="003A637D">
        <w:rPr>
          <w:caps/>
        </w:rPr>
        <w:tab/>
      </w:r>
      <w:r w:rsidRPr="003A637D">
        <w:t>COMPLIANCE REQUIREMENTS</w:t>
      </w:r>
      <w:r>
        <w:tab/>
        <w:t>1</w:t>
      </w:r>
    </w:p>
    <w:p w:rsidR="003A637D" w:rsidRPr="003A637D" w:rsidP="003A637D" w14:paraId="54652E4F" w14:textId="3A45F073">
      <w:pPr>
        <w:pStyle w:val="TOC2"/>
        <w:tabs>
          <w:tab w:val="left" w:pos="360"/>
        </w:tabs>
        <w:rPr>
          <w:rFonts w:ascii="Times New Roman" w:hAnsi="Times New Roman" w:cs="Times New Roman"/>
        </w:rPr>
      </w:pPr>
      <w:r w:rsidRPr="003A637D">
        <w:rPr>
          <w:rFonts w:ascii="Times New Roman" w:hAnsi="Times New Roman" w:cs="Times New Roman"/>
        </w:rPr>
        <w:t>Performance Requirements –Geographic Area Metric (47 CFR § 30.104)</w:t>
      </w:r>
      <w:r w:rsidRPr="003A637D">
        <w:rPr>
          <w:rFonts w:ascii="Times New Roman" w:hAnsi="Times New Roman" w:cs="Times New Roman"/>
        </w:rPr>
        <w:tab/>
        <w:t>1</w:t>
      </w:r>
    </w:p>
    <w:p w:rsidR="003A637D" w:rsidRPr="003A637D" w:rsidP="003A637D" w14:paraId="48AE5C6C" w14:textId="34C7BDF9">
      <w:pPr>
        <w:pStyle w:val="TOC2"/>
        <w:tabs>
          <w:tab w:val="left" w:pos="360"/>
        </w:tabs>
        <w:rPr>
          <w:rFonts w:ascii="Times New Roman" w:hAnsi="Times New Roman" w:cs="Times New Roman"/>
        </w:rPr>
      </w:pPr>
      <w:r w:rsidRPr="003A637D">
        <w:rPr>
          <w:rFonts w:ascii="Times New Roman" w:hAnsi="Times New Roman" w:cs="Times New Roman"/>
        </w:rPr>
        <w:t>24 GHz Operability</w:t>
      </w:r>
      <w:r w:rsidRPr="003A637D">
        <w:rPr>
          <w:rFonts w:ascii="Times New Roman" w:hAnsi="Times New Roman" w:cs="Times New Roman"/>
        </w:rPr>
        <w:tab/>
        <w:t>2</w:t>
      </w:r>
    </w:p>
    <w:p w:rsidR="003A637D" w:rsidRPr="003A637D" w:rsidP="003A637D" w14:paraId="641C7F43" w14:textId="2BC7A5EE">
      <w:pPr>
        <w:pStyle w:val="TOC2"/>
        <w:tabs>
          <w:tab w:val="left" w:pos="360"/>
        </w:tabs>
        <w:rPr>
          <w:rFonts w:ascii="Times New Roman" w:hAnsi="Times New Roman" w:cs="Times New Roman"/>
        </w:rPr>
      </w:pPr>
      <w:r w:rsidRPr="003A637D">
        <w:rPr>
          <w:rFonts w:ascii="Times New Roman" w:hAnsi="Times New Roman" w:cs="Times New Roman"/>
        </w:rPr>
        <w:t>24 GHz FSS Sharing</w:t>
      </w:r>
      <w:r w:rsidRPr="003A637D">
        <w:rPr>
          <w:rFonts w:ascii="Times New Roman" w:hAnsi="Times New Roman" w:cs="Times New Roman"/>
        </w:rPr>
        <w:tab/>
        <w:t>2</w:t>
      </w:r>
    </w:p>
    <w:p w:rsidR="003A637D" w:rsidRPr="003A637D" w:rsidP="003A637D" w14:paraId="344B19FD" w14:textId="0B0AC8E1">
      <w:pPr>
        <w:pStyle w:val="TOC2"/>
        <w:tabs>
          <w:tab w:val="left" w:pos="360"/>
        </w:tabs>
        <w:rPr>
          <w:rFonts w:ascii="Times New Roman" w:hAnsi="Times New Roman" w:cs="Times New Roman"/>
        </w:rPr>
      </w:pPr>
      <w:r w:rsidRPr="003A637D">
        <w:rPr>
          <w:rFonts w:ascii="Times New Roman" w:hAnsi="Times New Roman" w:cs="Times New Roman"/>
        </w:rPr>
        <w:t>Lower 37 GHz Band Plan</w:t>
      </w:r>
      <w:r w:rsidRPr="003A637D">
        <w:rPr>
          <w:rFonts w:ascii="Times New Roman" w:hAnsi="Times New Roman" w:cs="Times New Roman"/>
        </w:rPr>
        <w:tab/>
        <w:t>2</w:t>
      </w:r>
    </w:p>
    <w:p w:rsidR="003A637D" w:rsidRPr="003A637D" w:rsidP="003A637D" w14:paraId="206AEABB" w14:textId="1CA257F1">
      <w:pPr>
        <w:pStyle w:val="TOC2"/>
        <w:tabs>
          <w:tab w:val="left" w:pos="360"/>
        </w:tabs>
        <w:rPr>
          <w:rFonts w:ascii="Times New Roman" w:hAnsi="Times New Roman" w:cs="Times New Roman"/>
        </w:rPr>
      </w:pPr>
      <w:r w:rsidRPr="003A637D">
        <w:rPr>
          <w:rFonts w:ascii="Times New Roman" w:hAnsi="Times New Roman" w:cs="Times New Roman"/>
        </w:rPr>
        <w:t>Mobile Spectrum Holdings Policies</w:t>
      </w:r>
      <w:r w:rsidRPr="003A637D">
        <w:rPr>
          <w:rFonts w:ascii="Times New Roman" w:hAnsi="Times New Roman" w:cs="Times New Roman"/>
        </w:rPr>
        <w:tab/>
        <w:t>2</w:t>
      </w:r>
      <w:r w:rsidRPr="003A637D">
        <w:rPr>
          <w:rFonts w:ascii="Times New Roman" w:hAnsi="Times New Roman" w:cs="Times New Roman"/>
        </w:rPr>
        <w:tab/>
      </w:r>
    </w:p>
    <w:p w:rsidR="003A637D" w:rsidRPr="003A637D" w:rsidP="003A637D" w14:paraId="0F664B19" w14:textId="3826827E">
      <w:pPr>
        <w:pStyle w:val="TOC1"/>
      </w:pPr>
      <w:r w:rsidRPr="003A637D">
        <w:t>III.</w:t>
      </w:r>
      <w:r w:rsidRPr="003A637D">
        <w:tab/>
        <w:t>RECORDKEEPING AND REPORTING REQUIREMENTS</w:t>
      </w:r>
      <w:r w:rsidRPr="003A637D">
        <w:tab/>
        <w:t>3</w:t>
      </w:r>
    </w:p>
    <w:p w:rsidR="003A637D" w:rsidRPr="003A637D" w:rsidP="003A637D" w14:paraId="6B94030B" w14:textId="26ABC618">
      <w:pPr>
        <w:pStyle w:val="TOC1"/>
      </w:pPr>
      <w:r w:rsidRPr="003A637D">
        <w:t>IV.</w:t>
      </w:r>
      <w:r w:rsidRPr="003A637D">
        <w:tab/>
      </w:r>
      <w:r>
        <w:t>IMPLEMENTATION DATE</w:t>
      </w:r>
      <w:r w:rsidRPr="003A637D">
        <w:tab/>
        <w:t>3</w:t>
      </w:r>
    </w:p>
    <w:p w:rsidR="003A637D" w:rsidRPr="003A637D" w:rsidP="003A637D" w14:paraId="39383F18" w14:textId="0D6C4AF0">
      <w:pPr>
        <w:pStyle w:val="TOC1"/>
      </w:pPr>
      <w:r w:rsidRPr="003A637D">
        <w:t>V.</w:t>
      </w:r>
      <w:r w:rsidRPr="003A637D">
        <w:tab/>
      </w:r>
      <w:r>
        <w:t>INTERNET LINKS</w:t>
      </w:r>
      <w:r w:rsidRPr="003A637D">
        <w:tab/>
        <w:t>3</w:t>
      </w:r>
    </w:p>
    <w:p w:rsidR="003A637D" w:rsidRPr="003A637D" w:rsidP="003A637D" w14:paraId="142DB9A9" w14:textId="77777777">
      <w:pPr>
        <w:rPr>
          <w:rFonts w:ascii="Times New Roman" w:hAnsi="Times New Roman" w:cs="Times New Roman"/>
        </w:rPr>
      </w:pPr>
    </w:p>
    <w:p w:rsidR="003A637D" w:rsidRPr="003A637D" w:rsidP="003A637D" w14:paraId="76C7D71A" w14:textId="77777777">
      <w:pPr>
        <w:rPr>
          <w:rFonts w:ascii="Times New Roman" w:hAnsi="Times New Roman" w:cs="Times New Roman"/>
        </w:rPr>
      </w:pPr>
    </w:p>
    <w:p w:rsidR="003A637D" w:rsidRPr="003A637D" w:rsidP="003A637D" w14:paraId="3B6AE880" w14:textId="77777777"/>
    <w:p w:rsidR="003A637D" w:rsidRPr="003A637D" w:rsidP="003A637D" w14:paraId="1B148C06" w14:textId="77777777"/>
    <w:p w:rsidR="004A5D6B" w:rsidRPr="002B56A6" w:rsidP="003A637D" w14:paraId="3460C74F" w14:textId="1C2DB44F">
      <w:pPr>
        <w:tabs>
          <w:tab w:val="left" w:pos="0"/>
        </w:tabs>
        <w:spacing w:line="240" w:lineRule="auto"/>
        <w:rPr>
          <w:rFonts w:ascii="Times New Roman" w:hAnsi="Times New Roman" w:cs="Times New Roman"/>
        </w:rPr>
      </w:pPr>
      <w:r w:rsidRPr="002B56A6">
        <w:rPr>
          <w:rFonts w:ascii="Times New Roman" w:hAnsi="Times New Roman" w:cs="Times New Roman"/>
        </w:rPr>
        <w:br w:type="page"/>
      </w:r>
      <w:r w:rsidR="00453A4F">
        <w:rPr>
          <w:rFonts w:ascii="Times New Roman" w:hAnsi="Times New Roman" w:cs="Times New Roman"/>
        </w:rPr>
        <w:tab/>
      </w:r>
    </w:p>
    <w:p w:rsidR="004A5D6B" w:rsidRPr="002B56A6" w:rsidP="002B56A6" w14:paraId="7FCAEC40" w14:textId="77777777">
      <w:pPr>
        <w:pStyle w:val="Heading1"/>
        <w:spacing w:line="240" w:lineRule="auto"/>
        <w:ind w:left="720"/>
      </w:pPr>
      <w:r w:rsidRPr="002B56A6">
        <w:t>OBJECTIVES OF THE PROCEEDING</w:t>
      </w:r>
    </w:p>
    <w:p w:rsidR="00D641D3" w:rsidRPr="002B56A6" w:rsidP="005C16B1" w14:paraId="05C28CAF" w14:textId="2FB8CAC0">
      <w:pPr>
        <w:spacing w:after="0" w:line="240" w:lineRule="auto"/>
        <w:ind w:firstLine="720"/>
        <w:rPr>
          <w:rFonts w:ascii="Times New Roman" w:hAnsi="Times New Roman" w:cs="Times New Roman"/>
        </w:rPr>
      </w:pPr>
      <w:r w:rsidRPr="002B56A6">
        <w:rPr>
          <w:rFonts w:ascii="Times New Roman" w:hAnsi="Times New Roman" w:cs="Times New Roman"/>
        </w:rPr>
        <w:t xml:space="preserve">In </w:t>
      </w:r>
      <w:r w:rsidRPr="00277F88">
        <w:rPr>
          <w:rFonts w:ascii="Times New Roman" w:hAnsi="Times New Roman" w:cs="Times New Roman"/>
        </w:rPr>
        <w:t>the</w:t>
      </w:r>
      <w:r w:rsidRPr="002B56A6">
        <w:rPr>
          <w:rFonts w:ascii="Times New Roman" w:hAnsi="Times New Roman" w:cs="Times New Roman"/>
          <w:i/>
        </w:rPr>
        <w:t xml:space="preserve"> </w:t>
      </w:r>
      <w:r w:rsidR="008E0313">
        <w:rPr>
          <w:rFonts w:ascii="Times New Roman" w:hAnsi="Times New Roman" w:cs="Times New Roman"/>
          <w:i/>
        </w:rPr>
        <w:t xml:space="preserve">Third </w:t>
      </w:r>
      <w:r w:rsidRPr="002B56A6">
        <w:rPr>
          <w:rFonts w:ascii="Times New Roman" w:hAnsi="Times New Roman" w:cs="Times New Roman"/>
          <w:i/>
        </w:rPr>
        <w:t xml:space="preserve">Report and Order </w:t>
      </w:r>
      <w:r w:rsidRPr="002B56A6">
        <w:rPr>
          <w:rFonts w:ascii="Times New Roman" w:hAnsi="Times New Roman" w:cs="Times New Roman"/>
        </w:rPr>
        <w:t xml:space="preserve">in </w:t>
      </w:r>
      <w:r w:rsidR="00D403F9">
        <w:rPr>
          <w:rFonts w:ascii="Times New Roman" w:hAnsi="Times New Roman" w:cs="Times New Roman"/>
        </w:rPr>
        <w:t>FCC 1</w:t>
      </w:r>
      <w:r w:rsidR="00251317">
        <w:rPr>
          <w:rFonts w:ascii="Times New Roman" w:hAnsi="Times New Roman" w:cs="Times New Roman"/>
        </w:rPr>
        <w:t>8</w:t>
      </w:r>
      <w:r w:rsidR="00D403F9">
        <w:rPr>
          <w:rFonts w:ascii="Times New Roman" w:hAnsi="Times New Roman" w:cs="Times New Roman"/>
        </w:rPr>
        <w:t>-</w:t>
      </w:r>
      <w:r w:rsidR="00251317">
        <w:rPr>
          <w:rFonts w:ascii="Times New Roman" w:hAnsi="Times New Roman" w:cs="Times New Roman"/>
        </w:rPr>
        <w:t>73</w:t>
      </w:r>
      <w:r w:rsidR="00D403F9">
        <w:rPr>
          <w:rFonts w:ascii="Times New Roman" w:hAnsi="Times New Roman" w:cs="Times New Roman"/>
        </w:rPr>
        <w:t xml:space="preserve">, </w:t>
      </w:r>
      <w:r w:rsidRPr="002B56A6">
        <w:rPr>
          <w:rFonts w:ascii="Times New Roman" w:hAnsi="Times New Roman" w:cs="Times New Roman"/>
        </w:rPr>
        <w:t>GN Docket No. 14-</w:t>
      </w:r>
      <w:r w:rsidRPr="002B56A6" w:rsidR="006A1040">
        <w:rPr>
          <w:rFonts w:ascii="Times New Roman" w:hAnsi="Times New Roman" w:cs="Times New Roman"/>
        </w:rPr>
        <w:t>1</w:t>
      </w:r>
      <w:r w:rsidRPr="002B56A6">
        <w:rPr>
          <w:rFonts w:ascii="Times New Roman" w:hAnsi="Times New Roman" w:cs="Times New Roman"/>
        </w:rPr>
        <w:t>77</w:t>
      </w:r>
      <w:r w:rsidR="00251317">
        <w:rPr>
          <w:rFonts w:ascii="Times New Roman" w:hAnsi="Times New Roman" w:cs="Times New Roman"/>
        </w:rPr>
        <w:t xml:space="preserve"> </w:t>
      </w:r>
      <w:r w:rsidRPr="002B56A6">
        <w:rPr>
          <w:rFonts w:ascii="Times New Roman" w:hAnsi="Times New Roman" w:cs="Times New Roman"/>
        </w:rPr>
        <w:t xml:space="preserve">and WT Docket No. 10-112, released </w:t>
      </w:r>
      <w:r w:rsidR="005527B5">
        <w:rPr>
          <w:rFonts w:ascii="Times New Roman" w:hAnsi="Times New Roman" w:cs="Times New Roman"/>
        </w:rPr>
        <w:t>June 7</w:t>
      </w:r>
      <w:r w:rsidRPr="002B56A6" w:rsidR="0001069B">
        <w:rPr>
          <w:rFonts w:ascii="Times New Roman" w:hAnsi="Times New Roman" w:cs="Times New Roman"/>
        </w:rPr>
        <w:t>, 201</w:t>
      </w:r>
      <w:r w:rsidR="005527B5">
        <w:rPr>
          <w:rFonts w:ascii="Times New Roman" w:hAnsi="Times New Roman" w:cs="Times New Roman"/>
        </w:rPr>
        <w:t>8</w:t>
      </w:r>
      <w:r>
        <w:rPr>
          <w:rStyle w:val="FootnoteReference"/>
          <w:rFonts w:ascii="Times New Roman" w:hAnsi="Times New Roman" w:cs="Times New Roman"/>
        </w:rPr>
        <w:footnoteReference w:id="3"/>
      </w:r>
      <w:r w:rsidRPr="002B56A6">
        <w:rPr>
          <w:rFonts w:ascii="Times New Roman" w:hAnsi="Times New Roman" w:cs="Times New Roman"/>
        </w:rPr>
        <w:t>, the Commission (1)</w:t>
      </w:r>
      <w:r w:rsidRPr="00251317" w:rsidR="00251317">
        <w:t xml:space="preserve"> </w:t>
      </w:r>
      <w:r w:rsidRPr="00251317" w:rsidR="00251317">
        <w:rPr>
          <w:rFonts w:ascii="Times New Roman" w:hAnsi="Times New Roman" w:cs="Times New Roman"/>
        </w:rPr>
        <w:t>adopt</w:t>
      </w:r>
      <w:r w:rsidR="00251317">
        <w:rPr>
          <w:rFonts w:ascii="Times New Roman" w:hAnsi="Times New Roman" w:cs="Times New Roman"/>
        </w:rPr>
        <w:t>ed</w:t>
      </w:r>
      <w:r w:rsidRPr="00251317" w:rsidR="00251317">
        <w:rPr>
          <w:rFonts w:ascii="Times New Roman" w:hAnsi="Times New Roman" w:cs="Times New Roman"/>
        </w:rPr>
        <w:t xml:space="preserve"> a geographic area metric for </w:t>
      </w:r>
      <w:r w:rsidR="00251317">
        <w:rPr>
          <w:rFonts w:ascii="Times New Roman" w:hAnsi="Times New Roman" w:cs="Times New Roman"/>
        </w:rPr>
        <w:t>Upper Microwave Flexible Use Service (</w:t>
      </w:r>
      <w:r w:rsidRPr="00251317" w:rsidR="00251317">
        <w:rPr>
          <w:rFonts w:ascii="Times New Roman" w:hAnsi="Times New Roman" w:cs="Times New Roman"/>
        </w:rPr>
        <w:t>UMFUS</w:t>
      </w:r>
      <w:r w:rsidR="00251317">
        <w:rPr>
          <w:rFonts w:ascii="Times New Roman" w:hAnsi="Times New Roman" w:cs="Times New Roman"/>
        </w:rPr>
        <w:t>)</w:t>
      </w:r>
      <w:r w:rsidRPr="00251317" w:rsidR="00251317">
        <w:rPr>
          <w:rFonts w:ascii="Times New Roman" w:hAnsi="Times New Roman" w:cs="Times New Roman"/>
        </w:rPr>
        <w:t xml:space="preserve"> licenses, to be included in the existing list of performance metrics from which licensees may choose, as an additional alternative to meeting the Commission's performance requirements</w:t>
      </w:r>
      <w:r w:rsidR="00D403F9">
        <w:rPr>
          <w:rFonts w:ascii="Times New Roman" w:hAnsi="Times New Roman" w:cs="Times New Roman"/>
        </w:rPr>
        <w:t>;</w:t>
      </w:r>
      <w:r w:rsidRPr="002B56A6" w:rsidR="00807890">
        <w:rPr>
          <w:rFonts w:ascii="Times New Roman" w:hAnsi="Times New Roman" w:cs="Times New Roman"/>
        </w:rPr>
        <w:t xml:space="preserve"> </w:t>
      </w:r>
      <w:r w:rsidRPr="002B56A6">
        <w:rPr>
          <w:rFonts w:ascii="Times New Roman" w:hAnsi="Times New Roman" w:cs="Times New Roman"/>
        </w:rPr>
        <w:t>(2)</w:t>
      </w:r>
      <w:r w:rsidR="00251317">
        <w:rPr>
          <w:rFonts w:ascii="Times New Roman" w:hAnsi="Times New Roman" w:cs="Times New Roman"/>
        </w:rPr>
        <w:t xml:space="preserve"> adopted an operability requirement for the 24.25-24.45 GHz and 24.75-25.25 GHz bands, </w:t>
      </w:r>
      <w:r w:rsidR="00251317">
        <w:rPr>
          <w:rFonts w:ascii="Times New Roman" w:hAnsi="Times New Roman" w:cs="Times New Roman"/>
          <w:i/>
        </w:rPr>
        <w:t>i.e.</w:t>
      </w:r>
      <w:r w:rsidR="00251317">
        <w:rPr>
          <w:rFonts w:ascii="Times New Roman" w:hAnsi="Times New Roman" w:cs="Times New Roman"/>
        </w:rPr>
        <w:t>, a</w:t>
      </w:r>
      <w:r w:rsidRPr="00251317" w:rsidR="00251317">
        <w:rPr>
          <w:rFonts w:ascii="Times New Roman" w:hAnsi="Times New Roman" w:cs="Times New Roman"/>
        </w:rPr>
        <w:t xml:space="preserve">ny mobile or transportable equipment capable of operating on any frequency between 24.24-24.45 GHz or 24.75-25.25 GHz must be capable of operating on </w:t>
      </w:r>
      <w:r w:rsidR="00251317">
        <w:rPr>
          <w:rFonts w:ascii="Times New Roman" w:hAnsi="Times New Roman" w:cs="Times New Roman"/>
        </w:rPr>
        <w:t>all frequencies in those ranges</w:t>
      </w:r>
      <w:r w:rsidR="00D403F9">
        <w:rPr>
          <w:rFonts w:ascii="Times New Roman" w:hAnsi="Times New Roman" w:cs="Times New Roman"/>
        </w:rPr>
        <w:t>;</w:t>
      </w:r>
      <w:r w:rsidRPr="002B56A6">
        <w:rPr>
          <w:rFonts w:ascii="Times New Roman" w:hAnsi="Times New Roman" w:cs="Times New Roman"/>
        </w:rPr>
        <w:t xml:space="preserve"> (3</w:t>
      </w:r>
      <w:r w:rsidRPr="002B56A6" w:rsidR="00E13B2C">
        <w:rPr>
          <w:rFonts w:ascii="Times New Roman" w:hAnsi="Times New Roman" w:cs="Times New Roman"/>
        </w:rPr>
        <w:t>)</w:t>
      </w:r>
      <w:r w:rsidR="00251317">
        <w:rPr>
          <w:rFonts w:ascii="Times New Roman" w:hAnsi="Times New Roman" w:cs="Times New Roman"/>
        </w:rPr>
        <w:t xml:space="preserve"> modified the rules for the 24.75-25.25 GHz band to provide the Fixed-Satellite Service (FSS) </w:t>
      </w:r>
      <w:r w:rsidRPr="00251317" w:rsidR="00251317">
        <w:rPr>
          <w:rFonts w:ascii="Times New Roman" w:hAnsi="Times New Roman" w:cs="Times New Roman"/>
        </w:rPr>
        <w:t xml:space="preserve">with additional </w:t>
      </w:r>
      <w:r w:rsidR="00251317">
        <w:rPr>
          <w:rFonts w:ascii="Times New Roman" w:hAnsi="Times New Roman" w:cs="Times New Roman"/>
        </w:rPr>
        <w:t xml:space="preserve">ability to locate earth stations in the band </w:t>
      </w:r>
      <w:r w:rsidRPr="00251317" w:rsidR="00251317">
        <w:rPr>
          <w:rFonts w:ascii="Times New Roman" w:hAnsi="Times New Roman" w:cs="Times New Roman"/>
        </w:rPr>
        <w:t>while permitting substantial terrestrial use of the band</w:t>
      </w:r>
      <w:r w:rsidR="00D403F9">
        <w:rPr>
          <w:rFonts w:ascii="Times New Roman" w:hAnsi="Times New Roman" w:cs="Times New Roman"/>
        </w:rPr>
        <w:t>;</w:t>
      </w:r>
      <w:r w:rsidRPr="002B56A6" w:rsidR="00E13B2C">
        <w:rPr>
          <w:rFonts w:ascii="Times New Roman" w:hAnsi="Times New Roman" w:cs="Times New Roman"/>
        </w:rPr>
        <w:t xml:space="preserve"> (4) adopted </w:t>
      </w:r>
      <w:r w:rsidR="00FB3C05">
        <w:rPr>
          <w:rFonts w:ascii="Times New Roman" w:hAnsi="Times New Roman" w:cs="Times New Roman"/>
        </w:rPr>
        <w:t xml:space="preserve">a band plan with 100 megahertz channels for the 37-37.6 GHz Band (Lower 37 GHz Band); and (5) eliminated </w:t>
      </w:r>
      <w:r w:rsidRPr="00FB3C05" w:rsidR="00FB3C05">
        <w:rPr>
          <w:rFonts w:ascii="Times New Roman" w:hAnsi="Times New Roman" w:cs="Times New Roman"/>
        </w:rPr>
        <w:t xml:space="preserve">the pre-auction </w:t>
      </w:r>
      <w:r w:rsidR="00FB3C05">
        <w:rPr>
          <w:rFonts w:ascii="Times New Roman" w:hAnsi="Times New Roman" w:cs="Times New Roman"/>
        </w:rPr>
        <w:t xml:space="preserve">mobile spectrum holdings </w:t>
      </w:r>
      <w:r w:rsidRPr="00FB3C05" w:rsidR="00FB3C05">
        <w:rPr>
          <w:rFonts w:ascii="Times New Roman" w:hAnsi="Times New Roman" w:cs="Times New Roman"/>
        </w:rPr>
        <w:t xml:space="preserve">limit of 1250 megahertz for the </w:t>
      </w:r>
      <w:r w:rsidR="00FB3C05">
        <w:rPr>
          <w:rFonts w:ascii="Times New Roman" w:hAnsi="Times New Roman" w:cs="Times New Roman"/>
        </w:rPr>
        <w:t>27.5-28.35 GHz (</w:t>
      </w:r>
      <w:r w:rsidRPr="00FB3C05" w:rsidR="00FB3C05">
        <w:rPr>
          <w:rFonts w:ascii="Times New Roman" w:hAnsi="Times New Roman" w:cs="Times New Roman"/>
        </w:rPr>
        <w:t>28 GHz</w:t>
      </w:r>
      <w:r w:rsidR="00FB3C05">
        <w:rPr>
          <w:rFonts w:ascii="Times New Roman" w:hAnsi="Times New Roman" w:cs="Times New Roman"/>
        </w:rPr>
        <w:t>)</w:t>
      </w:r>
      <w:r w:rsidRPr="00FB3C05" w:rsidR="00FB3C05">
        <w:rPr>
          <w:rFonts w:ascii="Times New Roman" w:hAnsi="Times New Roman" w:cs="Times New Roman"/>
        </w:rPr>
        <w:t xml:space="preserve">, </w:t>
      </w:r>
      <w:r w:rsidR="00FB3C05">
        <w:rPr>
          <w:rFonts w:ascii="Times New Roman" w:hAnsi="Times New Roman" w:cs="Times New Roman"/>
        </w:rPr>
        <w:t xml:space="preserve">37.6-38.6 GHz (Upper 37 </w:t>
      </w:r>
      <w:r w:rsidRPr="00FB3C05" w:rsidR="00FB3C05">
        <w:rPr>
          <w:rFonts w:ascii="Times New Roman" w:hAnsi="Times New Roman" w:cs="Times New Roman"/>
        </w:rPr>
        <w:t>GHz</w:t>
      </w:r>
      <w:r w:rsidR="00FB3C05">
        <w:rPr>
          <w:rFonts w:ascii="Times New Roman" w:hAnsi="Times New Roman" w:cs="Times New Roman"/>
        </w:rPr>
        <w:t>)</w:t>
      </w:r>
      <w:r w:rsidRPr="00FB3C05" w:rsidR="00FB3C05">
        <w:rPr>
          <w:rFonts w:ascii="Times New Roman" w:hAnsi="Times New Roman" w:cs="Times New Roman"/>
        </w:rPr>
        <w:t xml:space="preserve">, and </w:t>
      </w:r>
      <w:r w:rsidR="00FB3C05">
        <w:rPr>
          <w:rFonts w:ascii="Times New Roman" w:hAnsi="Times New Roman" w:cs="Times New Roman"/>
        </w:rPr>
        <w:t>38.6-40 GHz (</w:t>
      </w:r>
      <w:r w:rsidRPr="00FB3C05" w:rsidR="00FB3C05">
        <w:rPr>
          <w:rFonts w:ascii="Times New Roman" w:hAnsi="Times New Roman" w:cs="Times New Roman"/>
        </w:rPr>
        <w:t>39 GHz</w:t>
      </w:r>
      <w:r w:rsidR="00FB3C05">
        <w:rPr>
          <w:rFonts w:ascii="Times New Roman" w:hAnsi="Times New Roman" w:cs="Times New Roman"/>
        </w:rPr>
        <w:t>)</w:t>
      </w:r>
      <w:r w:rsidRPr="00FB3C05" w:rsidR="00FB3C05">
        <w:rPr>
          <w:rFonts w:ascii="Times New Roman" w:hAnsi="Times New Roman" w:cs="Times New Roman"/>
        </w:rPr>
        <w:t xml:space="preserve"> bands.</w:t>
      </w:r>
      <w:r w:rsidRPr="002B56A6">
        <w:rPr>
          <w:rFonts w:ascii="Times New Roman" w:hAnsi="Times New Roman" w:cs="Times New Roman"/>
        </w:rPr>
        <w:t xml:space="preserve">. </w:t>
      </w:r>
      <w:r w:rsidRPr="002B56A6" w:rsidR="00300EA6">
        <w:rPr>
          <w:rFonts w:ascii="Times New Roman" w:hAnsi="Times New Roman" w:cs="Times New Roman"/>
        </w:rPr>
        <w:t xml:space="preserve"> </w:t>
      </w:r>
      <w:r w:rsidR="0070618A">
        <w:rPr>
          <w:rFonts w:ascii="Times New Roman" w:hAnsi="Times New Roman" w:cs="Times New Roman"/>
        </w:rPr>
        <w:t xml:space="preserve">The </w:t>
      </w:r>
      <w:r w:rsidR="005527B5">
        <w:rPr>
          <w:rFonts w:ascii="Times New Roman" w:hAnsi="Times New Roman" w:cs="Times New Roman"/>
          <w:i/>
        </w:rPr>
        <w:t xml:space="preserve">Third </w:t>
      </w:r>
      <w:r w:rsidR="0070618A">
        <w:rPr>
          <w:rFonts w:ascii="Times New Roman" w:hAnsi="Times New Roman" w:cs="Times New Roman"/>
          <w:i/>
        </w:rPr>
        <w:t xml:space="preserve">Report and Order </w:t>
      </w:r>
      <w:r w:rsidR="005527B5">
        <w:rPr>
          <w:rFonts w:ascii="Times New Roman" w:hAnsi="Times New Roman" w:cs="Times New Roman"/>
        </w:rPr>
        <w:t xml:space="preserve">continues the Commission’s efforts </w:t>
      </w:r>
      <w:r w:rsidRPr="0070618A" w:rsidR="0070618A">
        <w:rPr>
          <w:rFonts w:ascii="Times New Roman" w:hAnsi="Times New Roman" w:cs="Times New Roman"/>
        </w:rPr>
        <w:t>to make available millimeter wave (mmW) spectrum, at or above 24 GHz, for fifth-generation (5G) wireless, Internet of Things</w:t>
      </w:r>
      <w:r w:rsidR="00EB4094">
        <w:rPr>
          <w:rFonts w:ascii="Times New Roman" w:hAnsi="Times New Roman" w:cs="Times New Roman"/>
        </w:rPr>
        <w:t xml:space="preserve"> (IoT)</w:t>
      </w:r>
      <w:r w:rsidRPr="0070618A" w:rsidR="0070618A">
        <w:rPr>
          <w:rFonts w:ascii="Times New Roman" w:hAnsi="Times New Roman" w:cs="Times New Roman"/>
        </w:rPr>
        <w:t xml:space="preserve">, and other advanced spectrum-based services.  In doing so, </w:t>
      </w:r>
      <w:r w:rsidR="00D403F9">
        <w:rPr>
          <w:rFonts w:ascii="Times New Roman" w:hAnsi="Times New Roman" w:cs="Times New Roman"/>
        </w:rPr>
        <w:t>the Commission</w:t>
      </w:r>
      <w:r w:rsidRPr="0070618A" w:rsidR="0070618A">
        <w:rPr>
          <w:rFonts w:ascii="Times New Roman" w:hAnsi="Times New Roman" w:cs="Times New Roman"/>
        </w:rPr>
        <w:t xml:space="preserve"> help</w:t>
      </w:r>
      <w:r w:rsidR="00D403F9">
        <w:rPr>
          <w:rFonts w:ascii="Times New Roman" w:hAnsi="Times New Roman" w:cs="Times New Roman"/>
        </w:rPr>
        <w:t>s</w:t>
      </w:r>
      <w:r w:rsidRPr="0070618A" w:rsidR="0070618A">
        <w:rPr>
          <w:rFonts w:ascii="Times New Roman" w:hAnsi="Times New Roman" w:cs="Times New Roman"/>
        </w:rPr>
        <w:t xml:space="preserve"> </w:t>
      </w:r>
      <w:r w:rsidR="00D403F9">
        <w:rPr>
          <w:rFonts w:ascii="Times New Roman" w:hAnsi="Times New Roman" w:cs="Times New Roman"/>
        </w:rPr>
        <w:t xml:space="preserve">to </w:t>
      </w:r>
      <w:r w:rsidRPr="0070618A" w:rsidR="0070618A">
        <w:rPr>
          <w:rFonts w:ascii="Times New Roman" w:hAnsi="Times New Roman" w:cs="Times New Roman"/>
        </w:rPr>
        <w:t>ensure continued American leadership in wireless broadband, which represents a critical component of economic growth, job creation, public safety, and global competitiveness.</w:t>
      </w:r>
    </w:p>
    <w:p w:rsidR="00807890" w:rsidRPr="002B56A6" w:rsidP="002B56A6" w14:paraId="085A656D" w14:textId="1DF349C7">
      <w:pPr>
        <w:pStyle w:val="ListParagraph"/>
        <w:spacing w:line="240" w:lineRule="auto"/>
        <w:rPr>
          <w:rFonts w:ascii="Times New Roman" w:hAnsi="Times New Roman" w:cs="Times New Roman"/>
        </w:rPr>
      </w:pPr>
    </w:p>
    <w:p w:rsidR="00807890" w:rsidRPr="002B56A6" w:rsidP="002B56A6" w14:paraId="0EF1AE17" w14:textId="77777777">
      <w:pPr>
        <w:pStyle w:val="Heading1"/>
        <w:spacing w:line="240" w:lineRule="auto"/>
        <w:ind w:left="720"/>
      </w:pPr>
      <w:r w:rsidRPr="002B56A6">
        <w:t xml:space="preserve">COMPLIANCE REQUIREMENTS </w:t>
      </w:r>
    </w:p>
    <w:p w:rsidR="008C1538" w:rsidRPr="002B56A6" w:rsidP="005C16B1" w14:paraId="0602BEC7" w14:textId="1D817104">
      <w:pPr>
        <w:pStyle w:val="Heading2"/>
      </w:pPr>
      <w:r w:rsidRPr="002B56A6">
        <w:t>Performance Requirements</w:t>
      </w:r>
      <w:r w:rsidR="00D4296D">
        <w:t xml:space="preserve"> </w:t>
      </w:r>
      <w:r w:rsidRPr="00D4296D" w:rsidR="00D4296D">
        <w:t>–</w:t>
      </w:r>
      <w:r w:rsidR="005527B5">
        <w:t xml:space="preserve">Geographic Area </w:t>
      </w:r>
      <w:r w:rsidRPr="002B56A6">
        <w:t>Metric</w:t>
      </w:r>
      <w:r w:rsidR="0078111D">
        <w:t xml:space="preserve"> (</w:t>
      </w:r>
      <w:r w:rsidRPr="00FA3443" w:rsidR="0078111D">
        <w:t xml:space="preserve">47 CFR </w:t>
      </w:r>
      <w:r w:rsidRPr="00FA3443" w:rsidR="00E51F0C">
        <w:t>§</w:t>
      </w:r>
      <w:r w:rsidRPr="00FA3443" w:rsidR="00E2117E">
        <w:t xml:space="preserve"> </w:t>
      </w:r>
      <w:r w:rsidRPr="00FA3443" w:rsidR="00677DC7">
        <w:t>30.104</w:t>
      </w:r>
      <w:r w:rsidR="0078111D">
        <w:t>)</w:t>
      </w:r>
      <w:bookmarkStart w:id="1" w:name="_Toc512508561"/>
      <w:bookmarkEnd w:id="1"/>
      <w:r>
        <w:rPr>
          <w:rStyle w:val="FootnoteReference"/>
        </w:rPr>
        <w:footnoteReference w:id="4"/>
      </w:r>
    </w:p>
    <w:p w:rsidR="008C1538" w:rsidRPr="002B56A6" w:rsidP="0059789C" w14:paraId="325D8DCB" w14:textId="61286144">
      <w:pPr>
        <w:pStyle w:val="ListParagraph"/>
        <w:numPr>
          <w:ilvl w:val="1"/>
          <w:numId w:val="8"/>
        </w:numPr>
        <w:spacing w:line="240" w:lineRule="auto"/>
        <w:ind w:left="1080"/>
        <w:contextualSpacing w:val="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 xml:space="preserve">Third Report and Order </w:t>
      </w:r>
      <w:r w:rsidRPr="005527B5">
        <w:rPr>
          <w:rFonts w:ascii="Times New Roman" w:hAnsi="Times New Roman" w:cs="Times New Roman"/>
        </w:rPr>
        <w:t>adopt</w:t>
      </w:r>
      <w:r>
        <w:rPr>
          <w:rFonts w:ascii="Times New Roman" w:hAnsi="Times New Roman" w:cs="Times New Roman"/>
        </w:rPr>
        <w:t>s</w:t>
      </w:r>
      <w:r w:rsidRPr="005527B5">
        <w:rPr>
          <w:rFonts w:ascii="Times New Roman" w:hAnsi="Times New Roman" w:cs="Times New Roman"/>
        </w:rPr>
        <w:t xml:space="preserve"> a geographic area metric for UMFUS licenses, to be included in the existing list of performance metrics from which licensees may choose, as an additional alternative to meeting the Commission's performance requirements</w:t>
      </w:r>
      <w:r w:rsidRPr="004F68CA" w:rsidR="004F68CA">
        <w:rPr>
          <w:rFonts w:ascii="Times New Roman" w:hAnsi="Times New Roman" w:cs="Times New Roman"/>
        </w:rPr>
        <w:t>.</w:t>
      </w:r>
      <w:r w:rsidRPr="002B56A6" w:rsidR="00174550">
        <w:rPr>
          <w:rFonts w:ascii="Times New Roman" w:hAnsi="Times New Roman" w:cs="Times New Roman"/>
        </w:rPr>
        <w:t xml:space="preserve"> </w:t>
      </w:r>
    </w:p>
    <w:p w:rsidR="00AD69C3" w:rsidP="0059789C" w14:paraId="4A1572BF" w14:textId="50D686E2">
      <w:pPr>
        <w:pStyle w:val="ListParagraph"/>
        <w:numPr>
          <w:ilvl w:val="3"/>
          <w:numId w:val="8"/>
        </w:numPr>
        <w:spacing w:line="240" w:lineRule="auto"/>
        <w:ind w:left="1440"/>
        <w:contextualSpacing w:val="0"/>
        <w:rPr>
          <w:rFonts w:ascii="Times New Roman" w:hAnsi="Times New Roman" w:cs="Times New Roman"/>
        </w:rPr>
      </w:pPr>
      <w:r>
        <w:rPr>
          <w:rFonts w:ascii="Times New Roman" w:hAnsi="Times New Roman" w:cs="Times New Roman"/>
        </w:rPr>
        <w:t>L</w:t>
      </w:r>
      <w:r w:rsidRPr="005527B5">
        <w:rPr>
          <w:rFonts w:ascii="Times New Roman" w:hAnsi="Times New Roman" w:cs="Times New Roman"/>
        </w:rPr>
        <w:t xml:space="preserve">icensees may fulfill the requirements of this metric either by demonstrating mobile or point-to-multipoint coverage of at least 25% of their license’s geographic area, or by showing the presence of equipment transmitting or receiving on the licensed spectrum in at least 25% of </w:t>
      </w:r>
      <w:r w:rsidR="00475092">
        <w:rPr>
          <w:rFonts w:ascii="Times New Roman" w:hAnsi="Times New Roman" w:cs="Times New Roman"/>
        </w:rPr>
        <w:t xml:space="preserve">the </w:t>
      </w:r>
      <w:r w:rsidRPr="005527B5">
        <w:rPr>
          <w:rFonts w:ascii="Times New Roman" w:hAnsi="Times New Roman" w:cs="Times New Roman"/>
        </w:rPr>
        <w:t>census tracts within the license area.</w:t>
      </w:r>
    </w:p>
    <w:p w:rsidR="004F68CA" w:rsidP="0059789C" w14:paraId="33DFE699" w14:textId="398CB719">
      <w:pPr>
        <w:pStyle w:val="ListParagraph"/>
        <w:numPr>
          <w:ilvl w:val="3"/>
          <w:numId w:val="8"/>
        </w:numPr>
        <w:spacing w:line="240" w:lineRule="auto"/>
        <w:ind w:left="1440"/>
        <w:contextualSpacing w:val="0"/>
        <w:rPr>
          <w:rFonts w:ascii="Times New Roman" w:hAnsi="Times New Roman" w:cs="Times New Roman"/>
        </w:rPr>
      </w:pPr>
      <w:r>
        <w:rPr>
          <w:rFonts w:ascii="Times New Roman" w:hAnsi="Times New Roman" w:cs="Times New Roman"/>
        </w:rPr>
        <w:t>T</w:t>
      </w:r>
      <w:r w:rsidRPr="00510571" w:rsidR="00510571">
        <w:rPr>
          <w:rFonts w:ascii="Times New Roman" w:hAnsi="Times New Roman" w:cs="Times New Roman"/>
        </w:rPr>
        <w:t>his geographic area metric is an additional alternative for licensees, not a supplemental requirement.  If a licensee deploying IoT systems finds that our existing mobile or fixed metrics better fit their needs, it is welcome to use either of those metrics instead.</w:t>
      </w:r>
      <w:r>
        <w:rPr>
          <w:rStyle w:val="FootnoteReference"/>
          <w:rFonts w:ascii="Times New Roman" w:hAnsi="Times New Roman" w:cs="Times New Roman"/>
        </w:rPr>
        <w:footnoteReference w:id="5"/>
      </w:r>
      <w:r w:rsidRPr="00510571" w:rsidR="00510571">
        <w:rPr>
          <w:rFonts w:ascii="Times New Roman" w:hAnsi="Times New Roman" w:cs="Times New Roman"/>
        </w:rPr>
        <w:t xml:space="preserve">  </w:t>
      </w:r>
    </w:p>
    <w:p w:rsidR="00651E0C" w:rsidRPr="002B56A6" w:rsidP="00651E0C" w14:paraId="4805358E" w14:textId="30A08E38">
      <w:pPr>
        <w:pStyle w:val="Heading2"/>
        <w:spacing w:line="240" w:lineRule="auto"/>
      </w:pPr>
      <w:r>
        <w:t>24 GHz Operability</w:t>
      </w:r>
      <w:r>
        <w:rPr>
          <w:rStyle w:val="FootnoteReference"/>
        </w:rPr>
        <w:footnoteReference w:id="6"/>
      </w:r>
      <w:r>
        <w:t xml:space="preserve"> </w:t>
      </w:r>
    </w:p>
    <w:p w:rsidR="0029758B" w:rsidRPr="00291F81" w:rsidP="00291F81" w14:paraId="1764ED05" w14:textId="27023F0A">
      <w:pPr>
        <w:pStyle w:val="ListParagraph"/>
        <w:numPr>
          <w:ilvl w:val="0"/>
          <w:numId w:val="10"/>
        </w:numPr>
        <w:spacing w:line="240" w:lineRule="auto"/>
        <w:ind w:left="1080"/>
        <w:contextualSpacing w:val="0"/>
        <w:rPr>
          <w:rFonts w:ascii="Times New Roman" w:hAnsi="Times New Roman" w:cs="Times New Roman"/>
        </w:rPr>
      </w:pPr>
      <w:bookmarkStart w:id="2" w:name="_Hlk520875276"/>
      <w:bookmarkStart w:id="3" w:name="_Hlk514153063"/>
      <w:r w:rsidRPr="006F585A">
        <w:rPr>
          <w:rFonts w:ascii="Times New Roman" w:eastAsia="Times New Roman" w:hAnsi="Times New Roman" w:cs="Times New Roman"/>
          <w:snapToGrid w:val="0"/>
          <w:kern w:val="28"/>
          <w:szCs w:val="20"/>
        </w:rPr>
        <w:t>Any mobile or transportable equipment capable of operating on any frequency between 24.24-24.45 GHz or 24.75-25.25 GHz must be capable of operating on all frequencies in those ranges.</w:t>
      </w:r>
      <w:bookmarkEnd w:id="2"/>
      <w:bookmarkEnd w:id="3"/>
      <w:r w:rsidR="00B13C3D">
        <w:rPr>
          <w:rFonts w:ascii="Times New Roman" w:eastAsia="Times New Roman" w:hAnsi="Times New Roman" w:cs="Times New Roman"/>
          <w:snapToGrid w:val="0"/>
          <w:kern w:val="28"/>
          <w:szCs w:val="20"/>
        </w:rPr>
        <w:t xml:space="preserve">  </w:t>
      </w:r>
      <w:r w:rsidRPr="00291F81">
        <w:rPr>
          <w:rFonts w:ascii="Times New Roman" w:hAnsi="Times New Roman" w:cs="Times New Roman"/>
          <w:snapToGrid w:val="0"/>
        </w:rPr>
        <w:t>This operability requirement</w:t>
      </w:r>
      <w:r w:rsidRPr="00291F81" w:rsidR="00B13C3D">
        <w:rPr>
          <w:rFonts w:ascii="Times New Roman" w:hAnsi="Times New Roman" w:cs="Times New Roman"/>
          <w:snapToGrid w:val="0"/>
        </w:rPr>
        <w:t xml:space="preserve"> does not </w:t>
      </w:r>
      <w:r w:rsidRPr="00291F81">
        <w:rPr>
          <w:rFonts w:ascii="Times New Roman" w:hAnsi="Times New Roman" w:cs="Times New Roman"/>
          <w:snapToGrid w:val="0"/>
        </w:rPr>
        <w:t xml:space="preserve">dictate the use of any </w:t>
      </w:r>
      <w:r w:rsidRPr="00291F81">
        <w:rPr>
          <w:rFonts w:ascii="Times New Roman" w:hAnsi="Times New Roman" w:cs="Times New Roman"/>
          <w:snapToGrid w:val="0"/>
        </w:rPr>
        <w:t>particular technology</w:t>
      </w:r>
      <w:r w:rsidRPr="00291F81">
        <w:rPr>
          <w:rFonts w:ascii="Times New Roman" w:hAnsi="Times New Roman" w:cs="Times New Roman"/>
          <w:snapToGrid w:val="0"/>
        </w:rPr>
        <w:t xml:space="preserve"> or air interface</w:t>
      </w:r>
      <w:r w:rsidR="001C499C">
        <w:rPr>
          <w:rFonts w:ascii="Times New Roman" w:hAnsi="Times New Roman" w:cs="Times New Roman"/>
          <w:snapToGrid w:val="0"/>
        </w:rPr>
        <w:t>.</w:t>
      </w:r>
      <w:r w:rsidRPr="00291F81" w:rsidR="00B13C3D">
        <w:rPr>
          <w:rFonts w:ascii="Times New Roman" w:hAnsi="Times New Roman" w:cs="Times New Roman"/>
          <w:snapToGrid w:val="0"/>
        </w:rPr>
        <w:t xml:space="preserve"> </w:t>
      </w:r>
      <w:r w:rsidR="006E193A">
        <w:rPr>
          <w:rFonts w:ascii="Times New Roman" w:hAnsi="Times New Roman" w:cs="Times New Roman"/>
          <w:snapToGrid w:val="0"/>
        </w:rPr>
        <w:t xml:space="preserve"> Additionally, this operability requirement</w:t>
      </w:r>
      <w:r w:rsidRPr="00291F81" w:rsidR="00B13C3D">
        <w:rPr>
          <w:rFonts w:ascii="Times New Roman" w:hAnsi="Times New Roman" w:cs="Times New Roman"/>
          <w:snapToGrid w:val="0"/>
        </w:rPr>
        <w:t xml:space="preserve"> </w:t>
      </w:r>
      <w:r w:rsidRPr="00291F81">
        <w:rPr>
          <w:rFonts w:ascii="Times New Roman" w:hAnsi="Times New Roman" w:cs="Times New Roman"/>
          <w:snapToGrid w:val="0"/>
        </w:rPr>
        <w:t>is specific to the 24 GHz band</w:t>
      </w:r>
      <w:r w:rsidR="00FB40F6">
        <w:rPr>
          <w:rFonts w:ascii="Times New Roman" w:hAnsi="Times New Roman" w:cs="Times New Roman"/>
          <w:snapToGrid w:val="0"/>
        </w:rPr>
        <w:t xml:space="preserve">, although there are separate operability requirements that apply to other </w:t>
      </w:r>
      <w:r w:rsidR="00FB40F6">
        <w:rPr>
          <w:rFonts w:ascii="Times New Roman" w:hAnsi="Times New Roman" w:cs="Times New Roman"/>
          <w:snapToGrid w:val="0"/>
        </w:rPr>
        <w:t>bands.</w:t>
      </w:r>
      <w:r w:rsidRPr="00291F81" w:rsidR="00651E0C">
        <w:rPr>
          <w:rFonts w:ascii="Times New Roman" w:hAnsi="Times New Roman" w:cs="Times New Roman"/>
          <w:snapToGrid w:val="0"/>
        </w:rPr>
        <w:t>.</w:t>
      </w:r>
      <w:r w:rsidRPr="00291F81" w:rsidR="00651E0C">
        <w:rPr>
          <w:rFonts w:ascii="Times New Roman" w:hAnsi="Times New Roman" w:cs="Times New Roman"/>
          <w:snapToGrid w:val="0"/>
        </w:rPr>
        <w:t xml:space="preserve"> </w:t>
      </w:r>
    </w:p>
    <w:p w:rsidR="0029758B" w:rsidRPr="002B56A6" w:rsidP="0029758B" w14:paraId="60EF1451" w14:textId="48A785F4">
      <w:pPr>
        <w:pStyle w:val="Heading2"/>
        <w:spacing w:line="240" w:lineRule="auto"/>
      </w:pPr>
      <w:r>
        <w:t>24 GHz FSS Sharing</w:t>
      </w:r>
      <w:r>
        <w:rPr>
          <w:rStyle w:val="FootnoteReference"/>
        </w:rPr>
        <w:footnoteReference w:id="7"/>
      </w:r>
      <w:r>
        <w:t xml:space="preserve"> </w:t>
      </w:r>
    </w:p>
    <w:p w:rsidR="0029758B" w:rsidP="0059789C" w14:paraId="4EEB5652" w14:textId="10F02B79">
      <w:pPr>
        <w:pStyle w:val="ListParagraph"/>
        <w:numPr>
          <w:ilvl w:val="0"/>
          <w:numId w:val="10"/>
        </w:numPr>
        <w:spacing w:line="240" w:lineRule="auto"/>
        <w:ind w:left="1080"/>
        <w:contextualSpacing w:val="0"/>
        <w:rPr>
          <w:rFonts w:ascii="Times New Roman" w:hAnsi="Times New Roman" w:cs="Times New Roman"/>
        </w:rPr>
      </w:pPr>
      <w:r w:rsidRPr="005C16B1">
        <w:rPr>
          <w:rFonts w:ascii="Times New Roman" w:hAnsi="Times New Roman" w:cs="Times New Roman"/>
          <w:i/>
        </w:rPr>
        <w:t xml:space="preserve">The </w:t>
      </w:r>
      <w:r>
        <w:rPr>
          <w:rFonts w:ascii="Times New Roman" w:hAnsi="Times New Roman" w:cs="Times New Roman"/>
          <w:i/>
        </w:rPr>
        <w:t xml:space="preserve">Third </w:t>
      </w:r>
      <w:r w:rsidRPr="005C16B1">
        <w:rPr>
          <w:rFonts w:ascii="Times New Roman" w:hAnsi="Times New Roman" w:cs="Times New Roman"/>
          <w:i/>
        </w:rPr>
        <w:t>Report and Order</w:t>
      </w:r>
      <w:r w:rsidRPr="00C22713">
        <w:rPr>
          <w:rFonts w:ascii="Times New Roman" w:hAnsi="Times New Roman" w:cs="Times New Roman"/>
        </w:rPr>
        <w:t xml:space="preserve"> add</w:t>
      </w:r>
      <w:r w:rsidR="009679A9">
        <w:rPr>
          <w:rFonts w:ascii="Times New Roman" w:hAnsi="Times New Roman" w:cs="Times New Roman"/>
        </w:rPr>
        <w:t>s</w:t>
      </w:r>
      <w:r w:rsidRPr="00C22713">
        <w:rPr>
          <w:rFonts w:ascii="Times New Roman" w:hAnsi="Times New Roman" w:cs="Times New Roman"/>
        </w:rPr>
        <w:t xml:space="preserve"> the </w:t>
      </w:r>
      <w:r>
        <w:rPr>
          <w:rFonts w:ascii="Times New Roman" w:hAnsi="Times New Roman" w:cs="Times New Roman"/>
        </w:rPr>
        <w:t xml:space="preserve">24.75-25.25 </w:t>
      </w:r>
      <w:r w:rsidRPr="00C22713">
        <w:rPr>
          <w:rFonts w:ascii="Times New Roman" w:hAnsi="Times New Roman" w:cs="Times New Roman"/>
        </w:rPr>
        <w:t>GHz band to Section 25.136 of the Commission’s rules</w:t>
      </w:r>
      <w:r w:rsidR="009679A9">
        <w:rPr>
          <w:rFonts w:ascii="Times New Roman" w:hAnsi="Times New Roman" w:cs="Times New Roman"/>
        </w:rPr>
        <w:t>; that rule</w:t>
      </w:r>
      <w:r w:rsidRPr="00C22713">
        <w:rPr>
          <w:rFonts w:ascii="Times New Roman" w:hAnsi="Times New Roman" w:cs="Times New Roman"/>
        </w:rPr>
        <w:t xml:space="preserve"> allows for sharing between terrestrial operations and FSS earth stations in </w:t>
      </w:r>
      <w:r>
        <w:rPr>
          <w:rFonts w:ascii="Times New Roman" w:hAnsi="Times New Roman" w:cs="Times New Roman"/>
        </w:rPr>
        <w:t xml:space="preserve">UMFUS </w:t>
      </w:r>
      <w:r w:rsidRPr="00C22713">
        <w:rPr>
          <w:rFonts w:ascii="Times New Roman" w:hAnsi="Times New Roman" w:cs="Times New Roman"/>
        </w:rPr>
        <w:t xml:space="preserve">bands. A footnote to the U.S. Table of Allocations adopted </w:t>
      </w:r>
      <w:r w:rsidR="00F83CF5">
        <w:rPr>
          <w:rFonts w:ascii="Times New Roman" w:hAnsi="Times New Roman" w:cs="Times New Roman"/>
        </w:rPr>
        <w:t xml:space="preserve">in the order </w:t>
      </w:r>
      <w:r w:rsidRPr="00C22713">
        <w:rPr>
          <w:rFonts w:ascii="Times New Roman" w:hAnsi="Times New Roman" w:cs="Times New Roman"/>
        </w:rPr>
        <w:t>specif</w:t>
      </w:r>
      <w:r w:rsidR="00F83CF5">
        <w:rPr>
          <w:rFonts w:ascii="Times New Roman" w:hAnsi="Times New Roman" w:cs="Times New Roman"/>
        </w:rPr>
        <w:t>ies</w:t>
      </w:r>
      <w:r w:rsidRPr="00C22713">
        <w:rPr>
          <w:rFonts w:ascii="Times New Roman" w:hAnsi="Times New Roman" w:cs="Times New Roman"/>
        </w:rPr>
        <w:t xml:space="preserve"> the relative interference protection obligations of FSS and UMFUS stations in this band.</w:t>
      </w:r>
      <w:r>
        <w:rPr>
          <w:rFonts w:ascii="Times New Roman" w:hAnsi="Times New Roman" w:cs="Times New Roman"/>
        </w:rPr>
        <w:t xml:space="preserve">  </w:t>
      </w:r>
    </w:p>
    <w:p w:rsidR="0095670B" w:rsidRPr="006F585A" w:rsidP="0059789C" w14:paraId="13640B0A" w14:textId="7B0AF3AC">
      <w:pPr>
        <w:pStyle w:val="ListParagraph"/>
        <w:numPr>
          <w:ilvl w:val="0"/>
          <w:numId w:val="10"/>
        </w:numPr>
        <w:spacing w:line="240" w:lineRule="auto"/>
        <w:ind w:left="1080"/>
        <w:contextualSpacing w:val="0"/>
        <w:rPr>
          <w:rFonts w:ascii="Times New Roman" w:hAnsi="Times New Roman" w:cs="Times New Roman"/>
        </w:rPr>
      </w:pPr>
      <w:bookmarkStart w:id="4" w:name="_Hlk514153195"/>
      <w:r>
        <w:rPr>
          <w:rFonts w:ascii="Times New Roman" w:eastAsia="Times New Roman" w:hAnsi="Times New Roman" w:cs="Times New Roman"/>
          <w:snapToGrid w:val="0"/>
          <w:kern w:val="28"/>
          <w:szCs w:val="20"/>
        </w:rPr>
        <w:t>T</w:t>
      </w:r>
      <w:r w:rsidRPr="0095670B">
        <w:rPr>
          <w:rFonts w:ascii="Times New Roman" w:eastAsia="Times New Roman" w:hAnsi="Times New Roman" w:cs="Times New Roman"/>
          <w:snapToGrid w:val="0"/>
          <w:kern w:val="28"/>
          <w:szCs w:val="20"/>
        </w:rPr>
        <w:t xml:space="preserve">he 24.75-25.25 GHz band </w:t>
      </w:r>
      <w:r>
        <w:rPr>
          <w:rFonts w:ascii="Times New Roman" w:eastAsia="Times New Roman" w:hAnsi="Times New Roman" w:cs="Times New Roman"/>
          <w:snapToGrid w:val="0"/>
          <w:kern w:val="28"/>
          <w:szCs w:val="20"/>
        </w:rPr>
        <w:t xml:space="preserve">can be shared </w:t>
      </w:r>
      <w:r w:rsidRPr="0095670B">
        <w:rPr>
          <w:rFonts w:ascii="Times New Roman" w:eastAsia="Times New Roman" w:hAnsi="Times New Roman" w:cs="Times New Roman"/>
          <w:snapToGrid w:val="0"/>
          <w:kern w:val="28"/>
          <w:szCs w:val="20"/>
        </w:rPr>
        <w:t>by UMFUS and FSS earth stations, including BSS feeder link earth stations.</w:t>
      </w:r>
      <w:bookmarkEnd w:id="4"/>
      <w:r w:rsidRPr="0095670B">
        <w:rPr>
          <w:rFonts w:ascii="Times New Roman" w:eastAsia="Times New Roman" w:hAnsi="Times New Roman" w:cs="Times New Roman"/>
          <w:snapToGrid w:val="0"/>
          <w:kern w:val="28"/>
          <w:szCs w:val="20"/>
        </w:rPr>
        <w:t xml:space="preserve">  </w:t>
      </w:r>
    </w:p>
    <w:p w:rsidR="0029758B" w:rsidRPr="002B56A6" w:rsidP="0059789C" w14:paraId="1F8BAA56" w14:textId="4AB4A662">
      <w:pPr>
        <w:pStyle w:val="ListParagraph"/>
        <w:numPr>
          <w:ilvl w:val="2"/>
          <w:numId w:val="15"/>
        </w:numPr>
        <w:spacing w:line="240" w:lineRule="auto"/>
        <w:ind w:left="1440"/>
        <w:contextualSpacing w:val="0"/>
        <w:rPr>
          <w:rFonts w:ascii="Times New Roman" w:hAnsi="Times New Roman" w:cs="Times New Roman"/>
        </w:rPr>
      </w:pPr>
      <w:r>
        <w:rPr>
          <w:rFonts w:ascii="Times New Roman" w:hAnsi="Times New Roman" w:cs="Times New Roman"/>
        </w:rPr>
        <w:t>T</w:t>
      </w:r>
      <w:r w:rsidRPr="002B56A6">
        <w:rPr>
          <w:rFonts w:ascii="Times New Roman" w:hAnsi="Times New Roman" w:cs="Times New Roman"/>
        </w:rPr>
        <w:t>hree FSS earth stations per county (maximum of 15 in each P</w:t>
      </w:r>
      <w:r w:rsidR="0095670B">
        <w:rPr>
          <w:rFonts w:ascii="Times New Roman" w:hAnsi="Times New Roman" w:cs="Times New Roman"/>
        </w:rPr>
        <w:t xml:space="preserve">artial </w:t>
      </w:r>
      <w:r w:rsidRPr="002B56A6">
        <w:rPr>
          <w:rFonts w:ascii="Times New Roman" w:hAnsi="Times New Roman" w:cs="Times New Roman"/>
        </w:rPr>
        <w:t>E</w:t>
      </w:r>
      <w:r w:rsidR="0095670B">
        <w:rPr>
          <w:rFonts w:ascii="Times New Roman" w:hAnsi="Times New Roman" w:cs="Times New Roman"/>
        </w:rPr>
        <w:t xml:space="preserve">conomic </w:t>
      </w:r>
      <w:r w:rsidRPr="002B56A6">
        <w:rPr>
          <w:rFonts w:ascii="Times New Roman" w:hAnsi="Times New Roman" w:cs="Times New Roman"/>
        </w:rPr>
        <w:t>A</w:t>
      </w:r>
      <w:r w:rsidR="0095670B">
        <w:rPr>
          <w:rFonts w:ascii="Times New Roman" w:hAnsi="Times New Roman" w:cs="Times New Roman"/>
        </w:rPr>
        <w:t>rea</w:t>
      </w:r>
      <w:r>
        <w:rPr>
          <w:rFonts w:ascii="Times New Roman" w:hAnsi="Times New Roman" w:cs="Times New Roman"/>
        </w:rPr>
        <w:t>)</w:t>
      </w:r>
      <w:r w:rsidRPr="002B56A6">
        <w:rPr>
          <w:rFonts w:ascii="Times New Roman" w:hAnsi="Times New Roman" w:cs="Times New Roman"/>
        </w:rPr>
        <w:t xml:space="preserve"> are permitted to deploy without having to protect UMFUS stations.</w:t>
      </w:r>
    </w:p>
    <w:p w:rsidR="0029758B" w:rsidP="0059789C" w14:paraId="4C126D2C" w14:textId="7C6F97BF">
      <w:pPr>
        <w:pStyle w:val="ListParagraph"/>
        <w:numPr>
          <w:ilvl w:val="2"/>
          <w:numId w:val="15"/>
        </w:numPr>
        <w:spacing w:line="240" w:lineRule="auto"/>
        <w:ind w:left="1440"/>
        <w:contextualSpacing w:val="0"/>
        <w:rPr>
          <w:rFonts w:ascii="Times New Roman" w:hAnsi="Times New Roman" w:cs="Times New Roman"/>
        </w:rPr>
      </w:pPr>
      <w:r>
        <w:rPr>
          <w:rFonts w:ascii="Times New Roman" w:eastAsia="Times New Roman" w:hAnsi="Times New Roman" w:cs="Times New Roman"/>
          <w:snapToGrid w:val="0"/>
          <w:kern w:val="28"/>
          <w:szCs w:val="20"/>
        </w:rPr>
        <w:t xml:space="preserve">The </w:t>
      </w:r>
      <w:r w:rsidRPr="0095670B" w:rsidR="0095670B">
        <w:rPr>
          <w:rFonts w:ascii="Times New Roman" w:eastAsia="Times New Roman" w:hAnsi="Times New Roman" w:cs="Times New Roman"/>
          <w:snapToGrid w:val="0"/>
          <w:kern w:val="28"/>
          <w:szCs w:val="20"/>
        </w:rPr>
        <w:t>permitted aggregate population limits within the specified earth station P</w:t>
      </w:r>
      <w:r w:rsidR="0095670B">
        <w:rPr>
          <w:rFonts w:ascii="Times New Roman" w:eastAsia="Times New Roman" w:hAnsi="Times New Roman" w:cs="Times New Roman"/>
          <w:snapToGrid w:val="0"/>
          <w:kern w:val="28"/>
          <w:szCs w:val="20"/>
        </w:rPr>
        <w:t xml:space="preserve">ower </w:t>
      </w:r>
      <w:r w:rsidRPr="0095670B" w:rsidR="0095670B">
        <w:rPr>
          <w:rFonts w:ascii="Times New Roman" w:eastAsia="Times New Roman" w:hAnsi="Times New Roman" w:cs="Times New Roman"/>
          <w:snapToGrid w:val="0"/>
          <w:kern w:val="28"/>
          <w:szCs w:val="20"/>
        </w:rPr>
        <w:t>F</w:t>
      </w:r>
      <w:r w:rsidR="0095670B">
        <w:rPr>
          <w:rFonts w:ascii="Times New Roman" w:eastAsia="Times New Roman" w:hAnsi="Times New Roman" w:cs="Times New Roman"/>
          <w:snapToGrid w:val="0"/>
          <w:kern w:val="28"/>
          <w:szCs w:val="20"/>
        </w:rPr>
        <w:t xml:space="preserve">lux </w:t>
      </w:r>
      <w:r w:rsidRPr="0095670B" w:rsidR="0095670B">
        <w:rPr>
          <w:rFonts w:ascii="Times New Roman" w:eastAsia="Times New Roman" w:hAnsi="Times New Roman" w:cs="Times New Roman"/>
          <w:snapToGrid w:val="0"/>
          <w:kern w:val="28"/>
          <w:szCs w:val="20"/>
        </w:rPr>
        <w:t>D</w:t>
      </w:r>
      <w:r w:rsidR="0095670B">
        <w:rPr>
          <w:rFonts w:ascii="Times New Roman" w:eastAsia="Times New Roman" w:hAnsi="Times New Roman" w:cs="Times New Roman"/>
          <w:snapToGrid w:val="0"/>
          <w:kern w:val="28"/>
          <w:szCs w:val="20"/>
        </w:rPr>
        <w:t>ensity</w:t>
      </w:r>
      <w:r w:rsidRPr="0095670B" w:rsidR="0095670B">
        <w:rPr>
          <w:rFonts w:ascii="Times New Roman" w:eastAsia="Times New Roman" w:hAnsi="Times New Roman" w:cs="Times New Roman"/>
          <w:snapToGrid w:val="0"/>
          <w:kern w:val="28"/>
          <w:szCs w:val="20"/>
        </w:rPr>
        <w:t xml:space="preserve"> contour </w:t>
      </w:r>
      <w:r w:rsidR="00A36541">
        <w:rPr>
          <w:rFonts w:ascii="Times New Roman" w:eastAsia="Times New Roman" w:hAnsi="Times New Roman" w:cs="Times New Roman"/>
          <w:snapToGrid w:val="0"/>
          <w:kern w:val="28"/>
          <w:szCs w:val="20"/>
        </w:rPr>
        <w:t xml:space="preserve">apply </w:t>
      </w:r>
      <w:r w:rsidRPr="0095670B" w:rsidR="0095670B">
        <w:rPr>
          <w:rFonts w:ascii="Times New Roman" w:eastAsia="Times New Roman" w:hAnsi="Times New Roman" w:cs="Times New Roman"/>
          <w:snapToGrid w:val="0"/>
          <w:kern w:val="28"/>
          <w:szCs w:val="20"/>
        </w:rPr>
        <w:t>on a per-county basis</w:t>
      </w:r>
      <w:r w:rsidRPr="002B56A6">
        <w:rPr>
          <w:rFonts w:ascii="Times New Roman" w:hAnsi="Times New Roman" w:cs="Times New Roman"/>
        </w:rPr>
        <w:t xml:space="preserve">. </w:t>
      </w:r>
    </w:p>
    <w:p w:rsidR="0029758B" w:rsidRPr="0046112E" w:rsidP="0059789C" w14:paraId="7E1AF97D" w14:textId="7BB3C30D">
      <w:pPr>
        <w:pStyle w:val="ListParagraph"/>
        <w:numPr>
          <w:ilvl w:val="2"/>
          <w:numId w:val="15"/>
        </w:numPr>
        <w:spacing w:line="240" w:lineRule="auto"/>
        <w:ind w:left="1440"/>
        <w:contextualSpacing w:val="0"/>
        <w:rPr>
          <w:rFonts w:ascii="Times New Roman" w:hAnsi="Times New Roman" w:cs="Times New Roman"/>
        </w:rPr>
      </w:pPr>
      <w:r>
        <w:rPr>
          <w:rFonts w:ascii="Times New Roman" w:hAnsi="Times New Roman" w:cs="Times New Roman"/>
        </w:rPr>
        <w:t xml:space="preserve">FSS licensees in the </w:t>
      </w:r>
      <w:r w:rsidR="003D0B53">
        <w:rPr>
          <w:rFonts w:ascii="Times New Roman" w:hAnsi="Times New Roman" w:cs="Times New Roman"/>
        </w:rPr>
        <w:t>24.75-25.25</w:t>
      </w:r>
      <w:r>
        <w:rPr>
          <w:rFonts w:ascii="Times New Roman" w:hAnsi="Times New Roman" w:cs="Times New Roman"/>
        </w:rPr>
        <w:t xml:space="preserve"> GHz band who request earth station authorizations pursuant to the provisions noted above must coordinate their proposed operations with co-channel UMFUS licensees and must provide sufficient information in their applications to demonstrate compliance with the siting criteria contained in Section 25.136 of the Commission’s rules.</w:t>
      </w:r>
    </w:p>
    <w:p w:rsidR="001F6DA7" w:rsidRPr="002B56A6" w:rsidP="001F6DA7" w14:paraId="2E278E20" w14:textId="297811E8">
      <w:pPr>
        <w:pStyle w:val="Heading2"/>
        <w:spacing w:line="240" w:lineRule="auto"/>
      </w:pPr>
      <w:r>
        <w:t>Lower 37 GHz Band Plan</w:t>
      </w:r>
      <w:r>
        <w:rPr>
          <w:rStyle w:val="FootnoteReference"/>
        </w:rPr>
        <w:footnoteReference w:id="8"/>
      </w:r>
      <w:r>
        <w:t xml:space="preserve"> </w:t>
      </w:r>
    </w:p>
    <w:p w:rsidR="001F6DA7" w:rsidRPr="002C749E" w:rsidP="0059789C" w14:paraId="52B8424B" w14:textId="746521F8">
      <w:pPr>
        <w:pStyle w:val="ListParagraph"/>
        <w:numPr>
          <w:ilvl w:val="0"/>
          <w:numId w:val="10"/>
        </w:numPr>
        <w:spacing w:line="240" w:lineRule="auto"/>
        <w:ind w:left="1080"/>
        <w:contextualSpacing w:val="0"/>
        <w:rPr>
          <w:rFonts w:ascii="Times New Roman" w:hAnsi="Times New Roman" w:cs="Times New Roman"/>
        </w:rPr>
      </w:pPr>
      <w:r>
        <w:rPr>
          <w:rFonts w:ascii="Times New Roman" w:eastAsia="Times New Roman" w:hAnsi="Times New Roman" w:cs="Times New Roman"/>
          <w:snapToGrid w:val="0"/>
          <w:kern w:val="28"/>
          <w:szCs w:val="20"/>
        </w:rPr>
        <w:t>L</w:t>
      </w:r>
      <w:r w:rsidRPr="00A36541" w:rsidR="004936B5">
        <w:rPr>
          <w:rFonts w:ascii="Times New Roman" w:eastAsia="Times New Roman" w:hAnsi="Times New Roman" w:cs="Times New Roman"/>
          <w:snapToGrid w:val="0"/>
          <w:kern w:val="28"/>
          <w:szCs w:val="20"/>
        </w:rPr>
        <w:t>icens</w:t>
      </w:r>
      <w:r>
        <w:rPr>
          <w:rFonts w:ascii="Times New Roman" w:eastAsia="Times New Roman" w:hAnsi="Times New Roman" w:cs="Times New Roman"/>
          <w:snapToGrid w:val="0"/>
          <w:kern w:val="28"/>
          <w:szCs w:val="20"/>
        </w:rPr>
        <w:t>ing</w:t>
      </w:r>
      <w:r w:rsidRPr="00A36541" w:rsidR="004936B5">
        <w:rPr>
          <w:rFonts w:ascii="Times New Roman" w:eastAsia="Times New Roman" w:hAnsi="Times New Roman" w:cs="Times New Roman"/>
          <w:snapToGrid w:val="0"/>
          <w:kern w:val="28"/>
          <w:szCs w:val="20"/>
        </w:rPr>
        <w:t xml:space="preserve"> </w:t>
      </w:r>
      <w:r>
        <w:rPr>
          <w:rFonts w:ascii="Times New Roman" w:eastAsia="Times New Roman" w:hAnsi="Times New Roman" w:cs="Times New Roman"/>
          <w:snapToGrid w:val="0"/>
          <w:kern w:val="28"/>
          <w:szCs w:val="20"/>
        </w:rPr>
        <w:t xml:space="preserve">of </w:t>
      </w:r>
      <w:r w:rsidRPr="00A36541" w:rsidR="004936B5">
        <w:rPr>
          <w:rFonts w:ascii="Times New Roman" w:eastAsia="Times New Roman" w:hAnsi="Times New Roman" w:cs="Times New Roman"/>
          <w:snapToGrid w:val="0"/>
          <w:kern w:val="28"/>
          <w:szCs w:val="20"/>
        </w:rPr>
        <w:t xml:space="preserve">the Lower 37 GHz Band </w:t>
      </w:r>
      <w:r>
        <w:rPr>
          <w:rFonts w:ascii="Times New Roman" w:eastAsia="Times New Roman" w:hAnsi="Times New Roman" w:cs="Times New Roman"/>
          <w:snapToGrid w:val="0"/>
          <w:kern w:val="28"/>
          <w:szCs w:val="20"/>
        </w:rPr>
        <w:t xml:space="preserve">will be permitted </w:t>
      </w:r>
      <w:r w:rsidRPr="00A36541" w:rsidR="004936B5">
        <w:rPr>
          <w:rFonts w:ascii="Times New Roman" w:eastAsia="Times New Roman" w:hAnsi="Times New Roman" w:cs="Times New Roman"/>
          <w:snapToGrid w:val="0"/>
          <w:kern w:val="28"/>
          <w:szCs w:val="20"/>
        </w:rPr>
        <w:t>as six 100 megahertz channels.</w:t>
      </w:r>
      <w:r w:rsidRPr="004936B5">
        <w:rPr>
          <w:rFonts w:ascii="Times New Roman" w:eastAsia="Times New Roman" w:hAnsi="Times New Roman" w:cs="Times New Roman"/>
          <w:snapToGrid w:val="0"/>
          <w:kern w:val="28"/>
          <w:szCs w:val="20"/>
        </w:rPr>
        <w:t xml:space="preserve"> </w:t>
      </w:r>
      <w:r w:rsidR="002C749E">
        <w:rPr>
          <w:rFonts w:ascii="Times New Roman" w:eastAsia="Times New Roman" w:hAnsi="Times New Roman" w:cs="Times New Roman"/>
          <w:snapToGrid w:val="0"/>
          <w:kern w:val="28"/>
          <w:szCs w:val="20"/>
        </w:rPr>
        <w:t xml:space="preserve"> </w:t>
      </w:r>
    </w:p>
    <w:p w:rsidR="0001069B" w:rsidRPr="002B56A6" w:rsidP="002B56A6" w14:paraId="6806647E" w14:textId="7F59AA5D">
      <w:pPr>
        <w:pStyle w:val="Heading2"/>
        <w:spacing w:line="240" w:lineRule="auto"/>
      </w:pPr>
      <w:r w:rsidRPr="002B56A6">
        <w:t>Mobile Spectrum Holdings Policies</w:t>
      </w:r>
      <w:r>
        <w:rPr>
          <w:rStyle w:val="FootnoteReference"/>
        </w:rPr>
        <w:footnoteReference w:id="9"/>
      </w:r>
      <w:r w:rsidR="00E51F0C">
        <w:t xml:space="preserve"> </w:t>
      </w:r>
    </w:p>
    <w:p w:rsidR="00510571" w:rsidRPr="00A36541" w:rsidP="00A36541" w14:paraId="23C3F669" w14:textId="154AF41F">
      <w:pPr>
        <w:pStyle w:val="ListParagraph"/>
        <w:numPr>
          <w:ilvl w:val="0"/>
          <w:numId w:val="10"/>
        </w:numPr>
        <w:spacing w:line="240" w:lineRule="auto"/>
        <w:ind w:left="1080"/>
        <w:contextualSpacing w:val="0"/>
        <w:rPr>
          <w:rFonts w:ascii="Times New Roman" w:hAnsi="Times New Roman" w:cs="Times New Roman"/>
        </w:rPr>
      </w:pPr>
      <w:r>
        <w:rPr>
          <w:rFonts w:ascii="Times New Roman" w:eastAsia="Times New Roman" w:hAnsi="Times New Roman" w:cs="Times New Roman"/>
          <w:snapToGrid w:val="0"/>
          <w:kern w:val="28"/>
          <w:szCs w:val="20"/>
        </w:rPr>
        <w:t xml:space="preserve">Entities will no longer be subject to </w:t>
      </w:r>
      <w:r w:rsidRPr="00A36541" w:rsidR="00951516">
        <w:rPr>
          <w:rFonts w:ascii="Times New Roman" w:eastAsia="Times New Roman" w:hAnsi="Times New Roman" w:cs="Times New Roman"/>
          <w:snapToGrid w:val="0"/>
          <w:kern w:val="28"/>
          <w:szCs w:val="20"/>
        </w:rPr>
        <w:t xml:space="preserve">the pre-auction, bright line limit </w:t>
      </w:r>
      <w:r>
        <w:rPr>
          <w:rFonts w:ascii="Times New Roman" w:eastAsia="Times New Roman" w:hAnsi="Times New Roman" w:cs="Times New Roman"/>
          <w:snapToGrid w:val="0"/>
          <w:kern w:val="28"/>
          <w:szCs w:val="20"/>
        </w:rPr>
        <w:t xml:space="preserve">of 1250 megahertz for the 28 GHz, 37 GHz and 39 GHz bands </w:t>
      </w:r>
      <w:r w:rsidRPr="00A36541" w:rsidR="00951516">
        <w:rPr>
          <w:rFonts w:ascii="Times New Roman" w:eastAsia="Times New Roman" w:hAnsi="Times New Roman" w:cs="Times New Roman"/>
          <w:snapToGrid w:val="0"/>
          <w:kern w:val="28"/>
          <w:szCs w:val="20"/>
        </w:rPr>
        <w:t xml:space="preserve">adopted in the </w:t>
      </w:r>
      <w:r w:rsidRPr="00A36541" w:rsidR="00951516">
        <w:rPr>
          <w:rFonts w:ascii="Times New Roman" w:eastAsia="Times New Roman" w:hAnsi="Times New Roman" w:cs="Times New Roman"/>
          <w:i/>
          <w:snapToGrid w:val="0"/>
          <w:kern w:val="28"/>
          <w:szCs w:val="20"/>
        </w:rPr>
        <w:t>First Report and Order</w:t>
      </w:r>
      <w:r w:rsidRPr="00A36541" w:rsidR="00951516">
        <w:rPr>
          <w:rFonts w:ascii="Times New Roman" w:eastAsia="Times New Roman" w:hAnsi="Times New Roman" w:cs="Times New Roman"/>
          <w:snapToGrid w:val="0"/>
          <w:kern w:val="28"/>
          <w:szCs w:val="20"/>
        </w:rPr>
        <w:t>.</w:t>
      </w:r>
      <w:r>
        <w:rPr>
          <w:rStyle w:val="FootnoteReference"/>
          <w:rFonts w:ascii="Times New Roman" w:eastAsia="Times New Roman" w:hAnsi="Times New Roman" w:cs="Times New Roman"/>
          <w:snapToGrid w:val="0"/>
          <w:kern w:val="28"/>
          <w:szCs w:val="20"/>
        </w:rPr>
        <w:footnoteReference w:id="10"/>
      </w:r>
    </w:p>
    <w:p w:rsidR="00510571" w:rsidRPr="005C16B1" w:rsidP="0059789C" w14:paraId="604D4BB8" w14:textId="5933D240">
      <w:pPr>
        <w:pStyle w:val="ListParagraph"/>
        <w:numPr>
          <w:ilvl w:val="0"/>
          <w:numId w:val="10"/>
        </w:numPr>
        <w:spacing w:line="240" w:lineRule="auto"/>
        <w:ind w:left="1080"/>
        <w:contextualSpacing w:val="0"/>
        <w:rPr>
          <w:rFonts w:ascii="Times New Roman" w:hAnsi="Times New Roman" w:cs="Times New Roman"/>
        </w:rPr>
      </w:pPr>
      <w:r>
        <w:rPr>
          <w:rFonts w:ascii="Times New Roman" w:eastAsia="Times New Roman" w:hAnsi="Times New Roman" w:cs="Times New Roman"/>
          <w:snapToGrid w:val="0"/>
          <w:kern w:val="28"/>
          <w:szCs w:val="20"/>
        </w:rPr>
        <w:t xml:space="preserve">Before granting any </w:t>
      </w:r>
      <w:r w:rsidR="00746AC1">
        <w:rPr>
          <w:rFonts w:ascii="Times New Roman" w:eastAsia="Times New Roman" w:hAnsi="Times New Roman" w:cs="Times New Roman"/>
          <w:snapToGrid w:val="0"/>
          <w:kern w:val="28"/>
          <w:szCs w:val="20"/>
        </w:rPr>
        <w:t xml:space="preserve">initial </w:t>
      </w:r>
      <w:r>
        <w:rPr>
          <w:rFonts w:ascii="Times New Roman" w:eastAsia="Times New Roman" w:hAnsi="Times New Roman" w:cs="Times New Roman"/>
          <w:snapToGrid w:val="0"/>
          <w:kern w:val="28"/>
          <w:szCs w:val="20"/>
        </w:rPr>
        <w:t>licenses, t</w:t>
      </w:r>
      <w:r w:rsidR="001F1D67">
        <w:rPr>
          <w:rFonts w:ascii="Times New Roman" w:eastAsia="Times New Roman" w:hAnsi="Times New Roman" w:cs="Times New Roman"/>
          <w:snapToGrid w:val="0"/>
          <w:kern w:val="28"/>
          <w:szCs w:val="20"/>
        </w:rPr>
        <w:t xml:space="preserve">he Commission </w:t>
      </w:r>
      <w:r w:rsidRPr="00510571">
        <w:rPr>
          <w:rFonts w:ascii="Times New Roman" w:eastAsia="Times New Roman" w:hAnsi="Times New Roman" w:cs="Times New Roman"/>
          <w:snapToGrid w:val="0"/>
          <w:kern w:val="28"/>
          <w:szCs w:val="20"/>
        </w:rPr>
        <w:t>will conduct a</w:t>
      </w:r>
      <w:r>
        <w:rPr>
          <w:rFonts w:ascii="Times New Roman" w:eastAsia="Times New Roman" w:hAnsi="Times New Roman" w:cs="Times New Roman"/>
          <w:snapToGrid w:val="0"/>
          <w:kern w:val="28"/>
          <w:szCs w:val="20"/>
        </w:rPr>
        <w:t xml:space="preserve"> post-auction, </w:t>
      </w:r>
      <w:r w:rsidRPr="00510571">
        <w:rPr>
          <w:rFonts w:ascii="Times New Roman" w:eastAsia="Times New Roman" w:hAnsi="Times New Roman" w:cs="Times New Roman"/>
          <w:snapToGrid w:val="0"/>
          <w:kern w:val="28"/>
          <w:szCs w:val="20"/>
        </w:rPr>
        <w:t xml:space="preserve">case-by-case review </w:t>
      </w:r>
      <w:r>
        <w:rPr>
          <w:rFonts w:ascii="Times New Roman" w:eastAsia="Times New Roman" w:hAnsi="Times New Roman" w:cs="Times New Roman"/>
          <w:snapToGrid w:val="0"/>
          <w:kern w:val="28"/>
          <w:szCs w:val="20"/>
        </w:rPr>
        <w:t>of the market holdings of the UMFUS auction-winning license applicants</w:t>
      </w:r>
      <w:r w:rsidR="00424684">
        <w:rPr>
          <w:rFonts w:ascii="Times New Roman" w:eastAsia="Times New Roman" w:hAnsi="Times New Roman" w:cs="Times New Roman"/>
          <w:snapToGrid w:val="0"/>
          <w:kern w:val="28"/>
          <w:szCs w:val="20"/>
        </w:rPr>
        <w:t xml:space="preserve">, using </w:t>
      </w:r>
      <w:r w:rsidRPr="00424684" w:rsidR="00424684">
        <w:rPr>
          <w:rFonts w:ascii="Times New Roman" w:eastAsia="Times New Roman" w:hAnsi="Times New Roman" w:cs="Times New Roman"/>
          <w:snapToGrid w:val="0"/>
          <w:kern w:val="28"/>
          <w:szCs w:val="20"/>
        </w:rPr>
        <w:t>the approach it takes when reviewing applications for secondary market transactions</w:t>
      </w:r>
      <w:r>
        <w:rPr>
          <w:rFonts w:ascii="Times New Roman" w:eastAsia="Times New Roman" w:hAnsi="Times New Roman" w:cs="Times New Roman"/>
          <w:snapToGrid w:val="0"/>
          <w:kern w:val="28"/>
          <w:szCs w:val="20"/>
        </w:rPr>
        <w:t xml:space="preserve">.  </w:t>
      </w:r>
      <w:r w:rsidR="00746AC1">
        <w:rPr>
          <w:rFonts w:ascii="Times New Roman" w:eastAsia="Times New Roman" w:hAnsi="Times New Roman" w:cs="Times New Roman"/>
          <w:snapToGrid w:val="0"/>
          <w:kern w:val="28"/>
          <w:szCs w:val="20"/>
        </w:rPr>
        <w:t>Under this approach, a</w:t>
      </w:r>
      <w:r w:rsidRPr="00510571">
        <w:rPr>
          <w:rFonts w:ascii="Times New Roman" w:eastAsia="Times New Roman" w:hAnsi="Times New Roman" w:cs="Times New Roman"/>
          <w:snapToGrid w:val="0"/>
          <w:kern w:val="28"/>
          <w:szCs w:val="20"/>
        </w:rPr>
        <w:t xml:space="preserve">pplications for initial licenses filed post-auction </w:t>
      </w:r>
      <w:r>
        <w:rPr>
          <w:rFonts w:ascii="Times New Roman" w:eastAsia="Times New Roman" w:hAnsi="Times New Roman" w:cs="Times New Roman"/>
          <w:snapToGrid w:val="0"/>
          <w:kern w:val="28"/>
          <w:szCs w:val="20"/>
        </w:rPr>
        <w:t xml:space="preserve">will </w:t>
      </w:r>
      <w:r w:rsidR="00A907D9">
        <w:rPr>
          <w:rFonts w:ascii="Times New Roman" w:eastAsia="Times New Roman" w:hAnsi="Times New Roman" w:cs="Times New Roman"/>
          <w:snapToGrid w:val="0"/>
          <w:kern w:val="28"/>
          <w:szCs w:val="20"/>
        </w:rPr>
        <w:t>b</w:t>
      </w:r>
      <w:r>
        <w:rPr>
          <w:rFonts w:ascii="Times New Roman" w:eastAsia="Times New Roman" w:hAnsi="Times New Roman" w:cs="Times New Roman"/>
          <w:snapToGrid w:val="0"/>
          <w:kern w:val="28"/>
          <w:szCs w:val="20"/>
        </w:rPr>
        <w:t xml:space="preserve">e reviewed </w:t>
      </w:r>
      <w:r w:rsidR="00746AC1">
        <w:rPr>
          <w:rFonts w:ascii="Times New Roman" w:eastAsia="Times New Roman" w:hAnsi="Times New Roman" w:cs="Times New Roman"/>
          <w:snapToGrid w:val="0"/>
          <w:kern w:val="28"/>
          <w:szCs w:val="20"/>
        </w:rPr>
        <w:t xml:space="preserve">on a case-by-case basis to assess the competitive effects of a grant, </w:t>
      </w:r>
      <w:r w:rsidR="00424684">
        <w:rPr>
          <w:rFonts w:ascii="Times New Roman" w:eastAsia="Times New Roman" w:hAnsi="Times New Roman" w:cs="Times New Roman"/>
          <w:snapToGrid w:val="0"/>
          <w:kern w:val="28"/>
          <w:szCs w:val="20"/>
        </w:rPr>
        <w:t xml:space="preserve">provided the </w:t>
      </w:r>
      <w:r w:rsidR="00746AC1">
        <w:rPr>
          <w:rFonts w:ascii="Times New Roman" w:eastAsia="Times New Roman" w:hAnsi="Times New Roman" w:cs="Times New Roman"/>
          <w:snapToGrid w:val="0"/>
          <w:kern w:val="28"/>
          <w:szCs w:val="20"/>
        </w:rPr>
        <w:t xml:space="preserve">applicant exceeds the </w:t>
      </w:r>
      <w:r w:rsidRPr="00510571">
        <w:rPr>
          <w:rFonts w:ascii="Times New Roman" w:eastAsia="Times New Roman" w:hAnsi="Times New Roman" w:cs="Times New Roman"/>
          <w:snapToGrid w:val="0"/>
          <w:kern w:val="28"/>
          <w:szCs w:val="20"/>
        </w:rPr>
        <w:t xml:space="preserve">1850 megahertz threshold </w:t>
      </w:r>
      <w:r w:rsidR="00A907D9">
        <w:rPr>
          <w:rFonts w:ascii="Times New Roman" w:eastAsia="Times New Roman" w:hAnsi="Times New Roman" w:cs="Times New Roman"/>
          <w:snapToGrid w:val="0"/>
          <w:kern w:val="28"/>
          <w:szCs w:val="20"/>
        </w:rPr>
        <w:t xml:space="preserve">that the Commission has </w:t>
      </w:r>
      <w:r w:rsidRPr="00510571">
        <w:rPr>
          <w:rFonts w:ascii="Times New Roman" w:eastAsia="Times New Roman" w:hAnsi="Times New Roman" w:cs="Times New Roman"/>
          <w:snapToGrid w:val="0"/>
          <w:kern w:val="28"/>
          <w:szCs w:val="20"/>
        </w:rPr>
        <w:t>use</w:t>
      </w:r>
      <w:r w:rsidR="00F0363E">
        <w:rPr>
          <w:rFonts w:ascii="Times New Roman" w:eastAsia="Times New Roman" w:hAnsi="Times New Roman" w:cs="Times New Roman"/>
          <w:snapToGrid w:val="0"/>
          <w:kern w:val="28"/>
          <w:szCs w:val="20"/>
        </w:rPr>
        <w:t xml:space="preserve">d </w:t>
      </w:r>
      <w:r w:rsidR="00746AC1">
        <w:rPr>
          <w:rFonts w:ascii="Times New Roman" w:eastAsia="Times New Roman" w:hAnsi="Times New Roman" w:cs="Times New Roman"/>
          <w:snapToGrid w:val="0"/>
          <w:kern w:val="28"/>
          <w:szCs w:val="20"/>
        </w:rPr>
        <w:t xml:space="preserve">in evaluating </w:t>
      </w:r>
      <w:r w:rsidR="00424684">
        <w:rPr>
          <w:rFonts w:ascii="Times New Roman" w:eastAsia="Times New Roman" w:hAnsi="Times New Roman" w:cs="Times New Roman"/>
          <w:snapToGrid w:val="0"/>
          <w:kern w:val="28"/>
          <w:szCs w:val="20"/>
        </w:rPr>
        <w:t xml:space="preserve">such </w:t>
      </w:r>
      <w:r w:rsidRPr="00510571">
        <w:rPr>
          <w:rFonts w:ascii="Times New Roman" w:eastAsia="Times New Roman" w:hAnsi="Times New Roman" w:cs="Times New Roman"/>
          <w:snapToGrid w:val="0"/>
          <w:kern w:val="28"/>
          <w:szCs w:val="20"/>
        </w:rPr>
        <w:t>secondary market</w:t>
      </w:r>
      <w:r w:rsidR="00CE22A6">
        <w:rPr>
          <w:rFonts w:ascii="Times New Roman" w:eastAsia="Times New Roman" w:hAnsi="Times New Roman" w:cs="Times New Roman"/>
          <w:snapToGrid w:val="0"/>
          <w:kern w:val="28"/>
          <w:szCs w:val="20"/>
        </w:rPr>
        <w:t xml:space="preserve"> </w:t>
      </w:r>
      <w:r w:rsidR="00FB40F6">
        <w:rPr>
          <w:rFonts w:ascii="Times New Roman" w:eastAsia="Times New Roman" w:hAnsi="Times New Roman" w:cs="Times New Roman"/>
          <w:snapToGrid w:val="0"/>
          <w:kern w:val="28"/>
          <w:szCs w:val="20"/>
        </w:rPr>
        <w:t>transactions</w:t>
      </w:r>
      <w:r w:rsidRPr="00510571">
        <w:rPr>
          <w:rFonts w:ascii="Times New Roman" w:eastAsia="Times New Roman" w:hAnsi="Times New Roman" w:cs="Times New Roman"/>
          <w:snapToGrid w:val="0"/>
          <w:kern w:val="28"/>
          <w:szCs w:val="20"/>
        </w:rPr>
        <w:t>.</w:t>
      </w:r>
      <w:r>
        <w:rPr>
          <w:rStyle w:val="FootnoteReference"/>
          <w:rFonts w:ascii="Times New Roman" w:eastAsia="Times New Roman" w:hAnsi="Times New Roman" w:cs="Times New Roman"/>
          <w:snapToGrid w:val="0"/>
          <w:kern w:val="28"/>
          <w:szCs w:val="20"/>
        </w:rPr>
        <w:footnoteReference w:id="11"/>
      </w:r>
    </w:p>
    <w:p w:rsidR="0001069B" w:rsidP="002B56A6" w14:paraId="682615B0" w14:textId="77777777">
      <w:pPr>
        <w:pStyle w:val="Heading1"/>
        <w:spacing w:line="240" w:lineRule="auto"/>
        <w:ind w:left="720"/>
      </w:pPr>
      <w:r w:rsidRPr="002B56A6">
        <w:t>RECORDKEEPING AND REPORTING REQUIREMENTS</w:t>
      </w:r>
    </w:p>
    <w:p w:rsidR="000C3A85" w:rsidRPr="00511023" w:rsidP="005C16B1" w14:paraId="2D1EBF8A" w14:textId="43BE1F64">
      <w:pPr>
        <w:spacing w:after="0"/>
        <w:ind w:firstLine="720"/>
        <w:rPr>
          <w:rFonts w:ascii="Times New Roman" w:hAnsi="Times New Roman" w:cs="Times New Roman"/>
          <w:color w:val="010101"/>
        </w:rPr>
      </w:pPr>
      <w:r w:rsidRPr="00511023">
        <w:rPr>
          <w:rFonts w:ascii="Times New Roman" w:hAnsi="Times New Roman" w:cs="Times New Roman"/>
          <w:color w:val="010101"/>
        </w:rPr>
        <w:t xml:space="preserve">The Commission’s actions in the </w:t>
      </w:r>
      <w:r w:rsidR="008E0313">
        <w:rPr>
          <w:rFonts w:ascii="Times New Roman" w:hAnsi="Times New Roman" w:cs="Times New Roman"/>
          <w:i/>
          <w:color w:val="010101"/>
        </w:rPr>
        <w:t xml:space="preserve">Third </w:t>
      </w:r>
      <w:r w:rsidRPr="00511023">
        <w:rPr>
          <w:rFonts w:ascii="Times New Roman" w:hAnsi="Times New Roman" w:cs="Times New Roman"/>
          <w:i/>
          <w:color w:val="010101"/>
        </w:rPr>
        <w:t>Report and Order</w:t>
      </w:r>
      <w:r w:rsidRPr="00511023">
        <w:rPr>
          <w:rFonts w:ascii="Times New Roman" w:hAnsi="Times New Roman" w:cs="Times New Roman"/>
          <w:color w:val="010101"/>
        </w:rPr>
        <w:t xml:space="preserve"> </w:t>
      </w:r>
      <w:r>
        <w:rPr>
          <w:rFonts w:ascii="Times New Roman" w:hAnsi="Times New Roman" w:cs="Times New Roman"/>
          <w:color w:val="010101"/>
        </w:rPr>
        <w:t>did</w:t>
      </w:r>
      <w:r w:rsidRPr="00511023">
        <w:rPr>
          <w:rFonts w:ascii="Times New Roman" w:hAnsi="Times New Roman" w:cs="Times New Roman"/>
          <w:color w:val="010101"/>
        </w:rPr>
        <w:t xml:space="preserve"> not create any new recordkeeping </w:t>
      </w:r>
      <w:r>
        <w:rPr>
          <w:rFonts w:ascii="Times New Roman" w:hAnsi="Times New Roman" w:cs="Times New Roman"/>
          <w:color w:val="010101"/>
        </w:rPr>
        <w:t xml:space="preserve">or reporting </w:t>
      </w:r>
      <w:r w:rsidRPr="00511023">
        <w:rPr>
          <w:rFonts w:ascii="Times New Roman" w:hAnsi="Times New Roman" w:cs="Times New Roman"/>
          <w:color w:val="010101"/>
        </w:rPr>
        <w:t>requirements</w:t>
      </w:r>
      <w:r w:rsidRPr="00996D7A" w:rsidR="00996D7A">
        <w:rPr>
          <w:rFonts w:ascii="Times New Roman" w:hAnsi="Times New Roman" w:cs="Times New Roman"/>
          <w:color w:val="010101"/>
        </w:rPr>
        <w:t xml:space="preserve">, </w:t>
      </w:r>
      <w:r w:rsidR="00996D7A">
        <w:rPr>
          <w:rFonts w:ascii="Times New Roman" w:hAnsi="Times New Roman" w:cs="Times New Roman"/>
          <w:color w:val="010101"/>
        </w:rPr>
        <w:t>al</w:t>
      </w:r>
      <w:r w:rsidRPr="00996D7A" w:rsidR="00996D7A">
        <w:rPr>
          <w:rFonts w:ascii="Times New Roman" w:hAnsi="Times New Roman" w:cs="Times New Roman"/>
          <w:color w:val="010101"/>
        </w:rPr>
        <w:t xml:space="preserve">though </w:t>
      </w:r>
      <w:r w:rsidR="00996D7A">
        <w:rPr>
          <w:rFonts w:ascii="Times New Roman" w:hAnsi="Times New Roman" w:cs="Times New Roman"/>
          <w:color w:val="010101"/>
        </w:rPr>
        <w:t xml:space="preserve">it </w:t>
      </w:r>
      <w:r w:rsidRPr="00996D7A" w:rsidR="00996D7A">
        <w:rPr>
          <w:rFonts w:ascii="Times New Roman" w:hAnsi="Times New Roman" w:cs="Times New Roman"/>
          <w:color w:val="010101"/>
        </w:rPr>
        <w:t xml:space="preserve">did increase the number of bands and licensees included within the scope of Section 25.136 of the Commission’s rules (outlining criteria under which earth stations may operate </w:t>
      </w:r>
      <w:r w:rsidR="00996D7A">
        <w:rPr>
          <w:rFonts w:ascii="Times New Roman" w:hAnsi="Times New Roman" w:cs="Times New Roman"/>
          <w:color w:val="010101"/>
        </w:rPr>
        <w:t>in the UMFUS bands).</w:t>
      </w:r>
    </w:p>
    <w:p w:rsidR="008113BB" w:rsidRPr="008113BB" w:rsidP="005C16B1" w14:paraId="19D6E09E" w14:textId="77777777">
      <w:pPr>
        <w:spacing w:after="0"/>
        <w:ind w:left="720"/>
      </w:pPr>
    </w:p>
    <w:p w:rsidR="00141E55" w:rsidRPr="002B56A6" w:rsidP="002B56A6" w14:paraId="6373D7BA" w14:textId="77777777">
      <w:pPr>
        <w:pStyle w:val="Heading1"/>
        <w:spacing w:line="240" w:lineRule="auto"/>
        <w:ind w:left="720"/>
      </w:pPr>
      <w:r w:rsidRPr="002B56A6">
        <w:t>IMPLEMENTATION DATE</w:t>
      </w:r>
    </w:p>
    <w:p w:rsidR="00931400" w:rsidRPr="00B16481" w:rsidP="005C16B1" w14:paraId="6E27DB9A" w14:textId="03B054C9">
      <w:pPr>
        <w:pStyle w:val="ParaNum"/>
        <w:numPr>
          <w:ilvl w:val="0"/>
          <w:numId w:val="0"/>
        </w:numPr>
        <w:spacing w:after="200"/>
        <w:ind w:firstLine="720"/>
        <w:rPr>
          <w:szCs w:val="22"/>
        </w:rPr>
      </w:pPr>
      <w:r w:rsidRPr="00D403F9">
        <w:rPr>
          <w:szCs w:val="22"/>
        </w:rPr>
        <w:t xml:space="preserve">The rules in the </w:t>
      </w:r>
      <w:r w:rsidR="008E0313">
        <w:rPr>
          <w:i/>
          <w:szCs w:val="22"/>
        </w:rPr>
        <w:t xml:space="preserve">Third </w:t>
      </w:r>
      <w:r w:rsidRPr="00B16481">
        <w:rPr>
          <w:i/>
          <w:szCs w:val="22"/>
        </w:rPr>
        <w:t>Report and Order</w:t>
      </w:r>
      <w:r w:rsidRPr="00B16481">
        <w:rPr>
          <w:szCs w:val="22"/>
        </w:rPr>
        <w:t xml:space="preserve"> bec</w:t>
      </w:r>
      <w:r w:rsidRPr="00B16481" w:rsidR="00740B94">
        <w:rPr>
          <w:szCs w:val="22"/>
        </w:rPr>
        <w:t>a</w:t>
      </w:r>
      <w:r w:rsidRPr="00B16481">
        <w:rPr>
          <w:szCs w:val="22"/>
        </w:rPr>
        <w:t xml:space="preserve">me effective </w:t>
      </w:r>
      <w:r w:rsidRPr="00B16481" w:rsidR="00740B94">
        <w:rPr>
          <w:szCs w:val="22"/>
        </w:rPr>
        <w:t xml:space="preserve">on </w:t>
      </w:r>
      <w:r w:rsidR="002E41C2">
        <w:rPr>
          <w:szCs w:val="22"/>
        </w:rPr>
        <w:t>August 20</w:t>
      </w:r>
      <w:r w:rsidRPr="00B16481" w:rsidR="00740B94">
        <w:rPr>
          <w:szCs w:val="22"/>
        </w:rPr>
        <w:t xml:space="preserve">, 2018, except </w:t>
      </w:r>
      <w:r w:rsidR="008E0313">
        <w:rPr>
          <w:szCs w:val="22"/>
        </w:rPr>
        <w:t xml:space="preserve">for the changes to </w:t>
      </w:r>
      <w:r w:rsidRPr="00C22713" w:rsidR="00E70AD5">
        <w:rPr>
          <w:szCs w:val="22"/>
        </w:rPr>
        <w:t>Section</w:t>
      </w:r>
      <w:r w:rsidRPr="00C22713" w:rsidR="00BE4762">
        <w:rPr>
          <w:szCs w:val="22"/>
        </w:rPr>
        <w:t xml:space="preserve"> 25.136, which contain information collection requirements </w:t>
      </w:r>
      <w:r w:rsidRPr="00C22713" w:rsidR="00E70AD5">
        <w:rPr>
          <w:szCs w:val="22"/>
        </w:rPr>
        <w:t xml:space="preserve">which require </w:t>
      </w:r>
      <w:r w:rsidRPr="005C16B1" w:rsidR="00E70AD5">
        <w:rPr>
          <w:color w:val="000000"/>
          <w:szCs w:val="22"/>
        </w:rPr>
        <w:t>approval by the Office of Management and Budget (OMB) under the Paperwork Reduction</w:t>
      </w:r>
      <w:r w:rsidR="00B16481">
        <w:rPr>
          <w:color w:val="000000"/>
          <w:szCs w:val="22"/>
        </w:rPr>
        <w:t xml:space="preserve"> Act</w:t>
      </w:r>
      <w:r w:rsidRPr="004239D4" w:rsidR="00BE4762">
        <w:rPr>
          <w:szCs w:val="22"/>
        </w:rPr>
        <w:t xml:space="preserve">.  </w:t>
      </w:r>
      <w:r w:rsidR="00811C61">
        <w:rPr>
          <w:szCs w:val="22"/>
        </w:rPr>
        <w:t xml:space="preserve">The rule changes to </w:t>
      </w:r>
      <w:r w:rsidRPr="00C22713" w:rsidR="00811C61">
        <w:rPr>
          <w:szCs w:val="22"/>
        </w:rPr>
        <w:t>Section 25.136</w:t>
      </w:r>
      <w:r w:rsidR="005D793C">
        <w:rPr>
          <w:szCs w:val="22"/>
        </w:rPr>
        <w:t xml:space="preserve"> </w:t>
      </w:r>
      <w:r w:rsidR="00B16481">
        <w:rPr>
          <w:szCs w:val="22"/>
        </w:rPr>
        <w:t xml:space="preserve">shall </w:t>
      </w:r>
      <w:r w:rsidRPr="00D403F9" w:rsidR="00836A89">
        <w:rPr>
          <w:szCs w:val="22"/>
        </w:rPr>
        <w:t xml:space="preserve">become effective after the </w:t>
      </w:r>
      <w:r w:rsidRPr="00D403F9" w:rsidR="00BE4762">
        <w:rPr>
          <w:szCs w:val="22"/>
        </w:rPr>
        <w:t>C</w:t>
      </w:r>
      <w:r w:rsidRPr="004239D4" w:rsidR="00BE4762">
        <w:rPr>
          <w:szCs w:val="22"/>
        </w:rPr>
        <w:t>ommission publish</w:t>
      </w:r>
      <w:r w:rsidRPr="004239D4" w:rsidR="00836A89">
        <w:rPr>
          <w:szCs w:val="22"/>
        </w:rPr>
        <w:t>es</w:t>
      </w:r>
      <w:r w:rsidRPr="00124BB4" w:rsidR="00BE4762">
        <w:rPr>
          <w:szCs w:val="22"/>
        </w:rPr>
        <w:t xml:space="preserve"> a </w:t>
      </w:r>
      <w:r w:rsidRPr="00124BB4" w:rsidR="00836A89">
        <w:rPr>
          <w:szCs w:val="22"/>
        </w:rPr>
        <w:t xml:space="preserve">notice </w:t>
      </w:r>
      <w:r w:rsidRPr="00124BB4" w:rsidR="00BE4762">
        <w:rPr>
          <w:szCs w:val="22"/>
        </w:rPr>
        <w:t xml:space="preserve">in the </w:t>
      </w:r>
      <w:r w:rsidRPr="005C16B1" w:rsidR="00BE4762">
        <w:rPr>
          <w:i/>
          <w:szCs w:val="22"/>
        </w:rPr>
        <w:t>Federal Register</w:t>
      </w:r>
      <w:r w:rsidRPr="00D403F9" w:rsidR="00BE4762">
        <w:rPr>
          <w:szCs w:val="22"/>
        </w:rPr>
        <w:t xml:space="preserve"> announcing </w:t>
      </w:r>
      <w:r w:rsidRPr="00D403F9" w:rsidR="00836A89">
        <w:rPr>
          <w:szCs w:val="22"/>
        </w:rPr>
        <w:t xml:space="preserve">OMB approval and </w:t>
      </w:r>
      <w:r w:rsidRPr="004239D4" w:rsidR="00BE4762">
        <w:rPr>
          <w:szCs w:val="22"/>
        </w:rPr>
        <w:t xml:space="preserve">the </w:t>
      </w:r>
      <w:r w:rsidRPr="004239D4" w:rsidR="00836A89">
        <w:rPr>
          <w:szCs w:val="22"/>
        </w:rPr>
        <w:t xml:space="preserve">relevant </w:t>
      </w:r>
      <w:r w:rsidRPr="004239D4" w:rsidR="00BE4762">
        <w:rPr>
          <w:szCs w:val="22"/>
        </w:rPr>
        <w:t>effective date</w:t>
      </w:r>
      <w:r w:rsidRPr="00124BB4" w:rsidR="00BE4762">
        <w:rPr>
          <w:szCs w:val="22"/>
        </w:rPr>
        <w:t>.</w:t>
      </w:r>
    </w:p>
    <w:p w:rsidR="00141E55" w:rsidRPr="002B56A6" w:rsidP="002B56A6" w14:paraId="0A208568" w14:textId="77777777">
      <w:pPr>
        <w:pStyle w:val="Heading1"/>
        <w:spacing w:line="240" w:lineRule="auto"/>
        <w:ind w:left="720"/>
      </w:pPr>
      <w:r w:rsidRPr="002B56A6">
        <w:t>INTERNET LINKS</w:t>
      </w:r>
    </w:p>
    <w:p w:rsidR="001563B0" w:rsidRPr="002B56A6" w:rsidP="002B56A6" w14:paraId="1CAA8DF9" w14:textId="1C68514B">
      <w:pPr>
        <w:spacing w:after="0" w:line="240" w:lineRule="auto"/>
        <w:ind w:left="720"/>
        <w:rPr>
          <w:rFonts w:ascii="Times New Roman" w:hAnsi="Times New Roman" w:cs="Times New Roman"/>
        </w:rPr>
      </w:pPr>
      <w:r w:rsidRPr="002B56A6">
        <w:rPr>
          <w:rFonts w:ascii="Times New Roman" w:hAnsi="Times New Roman" w:cs="Times New Roman"/>
        </w:rPr>
        <w:t xml:space="preserve">A copy of the </w:t>
      </w:r>
      <w:r w:rsidR="008E0313">
        <w:rPr>
          <w:rFonts w:ascii="Times New Roman" w:hAnsi="Times New Roman" w:cs="Times New Roman"/>
          <w:i/>
        </w:rPr>
        <w:t xml:space="preserve">Third </w:t>
      </w:r>
      <w:r w:rsidRPr="002B56A6">
        <w:rPr>
          <w:rFonts w:ascii="Times New Roman" w:hAnsi="Times New Roman" w:cs="Times New Roman"/>
          <w:i/>
        </w:rPr>
        <w:t>Report and Order</w:t>
      </w:r>
      <w:r w:rsidRPr="002B56A6">
        <w:rPr>
          <w:rFonts w:ascii="Times New Roman" w:hAnsi="Times New Roman" w:cs="Times New Roman"/>
        </w:rPr>
        <w:t xml:space="preserve"> is available at:</w:t>
      </w:r>
    </w:p>
    <w:p w:rsidR="0001069B" w:rsidRPr="002B56A6" w:rsidP="00291F81" w14:paraId="56153CDB" w14:textId="5AF4EBF6">
      <w:pPr>
        <w:spacing w:after="0" w:line="240" w:lineRule="auto"/>
        <w:rPr>
          <w:rFonts w:ascii="Times New Roman" w:hAnsi="Times New Roman" w:cs="Times New Roman"/>
        </w:rPr>
      </w:pPr>
      <w:hyperlink r:id="rId7" w:history="1">
        <w:r w:rsidRPr="008E0313" w:rsidR="008E0313">
          <w:rPr>
            <w:rStyle w:val="Hyperlink"/>
            <w:rFonts w:ascii="Times New Roman" w:hAnsi="Times New Roman" w:cs="Times New Roman"/>
          </w:rPr>
          <w:t>https://docs.fcc.gov/public/attachments/FCC-18-73A1.pdf</w:t>
        </w:r>
      </w:hyperlink>
    </w:p>
    <w:p w:rsidR="001563B0" w:rsidRPr="002B56A6" w:rsidP="002B56A6" w14:paraId="07CC8EA1" w14:textId="77777777">
      <w:pPr>
        <w:spacing w:after="0" w:line="240" w:lineRule="auto"/>
        <w:ind w:left="720"/>
        <w:rPr>
          <w:rFonts w:ascii="Times New Roman" w:hAnsi="Times New Roman" w:cs="Times New Roman"/>
        </w:rPr>
      </w:pPr>
    </w:p>
    <w:p w:rsidR="001563B0" w:rsidRPr="002B56A6" w:rsidP="002B56A6" w14:paraId="4D886DA3" w14:textId="32C3B3C6">
      <w:pPr>
        <w:spacing w:after="0" w:line="240" w:lineRule="auto"/>
        <w:ind w:left="720"/>
        <w:rPr>
          <w:rFonts w:ascii="Times New Roman" w:hAnsi="Times New Roman" w:cs="Times New Roman"/>
        </w:rPr>
      </w:pPr>
      <w:r w:rsidRPr="002B56A6">
        <w:rPr>
          <w:rFonts w:ascii="Times New Roman" w:hAnsi="Times New Roman" w:cs="Times New Roman"/>
        </w:rPr>
        <w:t xml:space="preserve">A copy of the Federal Register Summary of the </w:t>
      </w:r>
      <w:r w:rsidR="008E0313">
        <w:rPr>
          <w:rFonts w:ascii="Times New Roman" w:hAnsi="Times New Roman" w:cs="Times New Roman"/>
          <w:i/>
        </w:rPr>
        <w:t xml:space="preserve">Third </w:t>
      </w:r>
      <w:r w:rsidRPr="002B56A6">
        <w:rPr>
          <w:rFonts w:ascii="Times New Roman" w:hAnsi="Times New Roman" w:cs="Times New Roman"/>
          <w:i/>
        </w:rPr>
        <w:t>Report and Order</w:t>
      </w:r>
      <w:r w:rsidRPr="002B56A6">
        <w:rPr>
          <w:rFonts w:ascii="Times New Roman" w:hAnsi="Times New Roman" w:cs="Times New Roman"/>
        </w:rPr>
        <w:t xml:space="preserve"> is available at:</w:t>
      </w:r>
    </w:p>
    <w:p w:rsidR="0001069B" w:rsidRPr="002B56A6" w:rsidP="00291F81" w14:paraId="05E2D412" w14:textId="1B3E7F31">
      <w:pPr>
        <w:spacing w:line="240" w:lineRule="auto"/>
        <w:rPr>
          <w:rFonts w:ascii="Times New Roman" w:hAnsi="Times New Roman" w:cs="Times New Roman"/>
        </w:rPr>
      </w:pPr>
      <w:hyperlink r:id="rId8" w:history="1">
        <w:r w:rsidRPr="008E0313" w:rsidR="008E0313">
          <w:rPr>
            <w:rStyle w:val="Hyperlink"/>
            <w:rFonts w:ascii="Times New Roman" w:hAnsi="Times New Roman" w:cs="Times New Roman"/>
          </w:rPr>
          <w:t>https://www.gpo.gov/fdsys/pkg/FR-2018-07-20/pdf/2018-14806.pdf</w:t>
        </w:r>
      </w:hyperlink>
    </w:p>
    <w:sectPr w:rsidSect="0001069B">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F82" w:rsidRPr="00511023" w14:paraId="542B248D" w14:textId="77777777">
    <w:pPr>
      <w:pStyle w:val="Footer"/>
      <w:jc w:val="center"/>
      <w:rPr>
        <w:rFonts w:ascii="Times New Roman" w:hAnsi="Times New Roman" w:cs="Times New Roman"/>
      </w:rPr>
    </w:pPr>
  </w:p>
  <w:p w:rsidR="00C75F82" w14:paraId="162629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27AC" w14:paraId="5D89375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27AC" w14:paraId="79A12C3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699D" w:rsidP="004A5D6B" w14:paraId="7F18B445" w14:textId="77777777">
      <w:pPr>
        <w:spacing w:after="0" w:line="240" w:lineRule="auto"/>
      </w:pPr>
      <w:r>
        <w:separator/>
      </w:r>
    </w:p>
  </w:footnote>
  <w:footnote w:type="continuationSeparator" w:id="1">
    <w:p w:rsidR="0080699D" w:rsidP="004A5D6B" w14:paraId="3B9FE501" w14:textId="77777777">
      <w:pPr>
        <w:spacing w:after="0" w:line="240" w:lineRule="auto"/>
      </w:pPr>
      <w:r>
        <w:continuationSeparator/>
      </w:r>
    </w:p>
  </w:footnote>
  <w:footnote w:type="continuationNotice" w:id="2">
    <w:p w:rsidR="0080699D" w14:paraId="2FDA0833" w14:textId="77777777">
      <w:pPr>
        <w:spacing w:after="0" w:line="240" w:lineRule="auto"/>
      </w:pPr>
    </w:p>
  </w:footnote>
  <w:footnote w:id="3">
    <w:p w:rsidR="00CD62C4" w:rsidRPr="00291F81" w:rsidP="00FB40F6" w14:paraId="5F46F29A" w14:textId="18C7E106">
      <w:pPr>
        <w:spacing w:after="120"/>
        <w:rPr>
          <w:rFonts w:ascii="Times New Roman" w:hAnsi="Times New Roman" w:cs="Times New Roman"/>
        </w:rPr>
      </w:pPr>
      <w:r w:rsidRPr="00291F81">
        <w:rPr>
          <w:rStyle w:val="FootnoteReference"/>
          <w:rFonts w:ascii="Times New Roman" w:hAnsi="Times New Roman" w:cs="Times New Roman"/>
          <w:sz w:val="20"/>
          <w:szCs w:val="20"/>
        </w:rPr>
        <w:footnoteRef/>
      </w:r>
      <w:r w:rsidRPr="00291F81">
        <w:rPr>
          <w:rFonts w:ascii="Times New Roman" w:hAnsi="Times New Roman" w:cs="Times New Roman"/>
          <w:sz w:val="20"/>
          <w:szCs w:val="20"/>
        </w:rPr>
        <w:t xml:space="preserve"> </w:t>
      </w:r>
      <w:r w:rsidRPr="009C1F52" w:rsidR="009C1F52">
        <w:rPr>
          <w:rFonts w:ascii="Times New Roman" w:hAnsi="Times New Roman" w:cs="Times New Roman"/>
          <w:i/>
          <w:sz w:val="20"/>
          <w:szCs w:val="20"/>
        </w:rPr>
        <w:t>Use of Spectrum Bands Above 24 GHz For Mobile Radio Services, et al., Third Report and Order, Memorandum Opinion and Order</w:t>
      </w:r>
      <w:r w:rsidRPr="009C1F52" w:rsidR="009C1F52">
        <w:rPr>
          <w:rFonts w:ascii="Times New Roman" w:hAnsi="Times New Roman" w:cs="Times New Roman"/>
          <w:sz w:val="20"/>
          <w:szCs w:val="20"/>
        </w:rPr>
        <w:t xml:space="preserve">, </w:t>
      </w:r>
      <w:r w:rsidRPr="009C1F52" w:rsidR="009C1F52">
        <w:rPr>
          <w:rFonts w:ascii="Times New Roman" w:hAnsi="Times New Roman" w:cs="Times New Roman"/>
          <w:i/>
          <w:sz w:val="20"/>
          <w:szCs w:val="20"/>
        </w:rPr>
        <w:t xml:space="preserve">and Third Further Notice of Proposed Rulemaking, </w:t>
      </w:r>
      <w:r w:rsidRPr="009C1F52" w:rsidR="009C1F52">
        <w:rPr>
          <w:rFonts w:ascii="Times New Roman" w:hAnsi="Times New Roman" w:cs="Times New Roman"/>
          <w:sz w:val="20"/>
          <w:szCs w:val="20"/>
        </w:rPr>
        <w:t>2018 WL 2932188 (</w:t>
      </w:r>
      <w:r w:rsidRPr="009C1F52" w:rsidR="009C1F52">
        <w:rPr>
          <w:rFonts w:ascii="Times New Roman" w:hAnsi="Times New Roman" w:cs="Times New Roman"/>
          <w:i/>
          <w:sz w:val="20"/>
          <w:szCs w:val="20"/>
        </w:rPr>
        <w:t>Third Report and Order or 3</w:t>
      </w:r>
      <w:r w:rsidRPr="009C1F52" w:rsidR="009C1F52">
        <w:rPr>
          <w:rFonts w:ascii="Times New Roman" w:hAnsi="Times New Roman" w:cs="Times New Roman"/>
          <w:i/>
          <w:sz w:val="20"/>
          <w:szCs w:val="20"/>
          <w:vertAlign w:val="superscript"/>
        </w:rPr>
        <w:t>rd</w:t>
      </w:r>
      <w:r w:rsidRPr="009C1F52" w:rsidR="009C1F52">
        <w:rPr>
          <w:rFonts w:ascii="Times New Roman" w:hAnsi="Times New Roman" w:cs="Times New Roman"/>
          <w:i/>
          <w:sz w:val="20"/>
          <w:szCs w:val="20"/>
        </w:rPr>
        <w:t xml:space="preserve"> R&amp;O</w:t>
      </w:r>
      <w:r w:rsidRPr="009C1F52" w:rsidR="009C1F52">
        <w:rPr>
          <w:rFonts w:ascii="Times New Roman" w:hAnsi="Times New Roman" w:cs="Times New Roman"/>
          <w:sz w:val="20"/>
          <w:szCs w:val="20"/>
        </w:rPr>
        <w:t>).</w:t>
      </w:r>
      <w:r w:rsidRPr="009C1F52" w:rsidR="009C1F52">
        <w:rPr>
          <w:rFonts w:ascii="Times New Roman" w:hAnsi="Times New Roman" w:cs="Times New Roman"/>
          <w:i/>
          <w:sz w:val="20"/>
          <w:szCs w:val="20"/>
        </w:rPr>
        <w:t xml:space="preserve"> </w:t>
      </w:r>
    </w:p>
  </w:footnote>
  <w:footnote w:id="4">
    <w:p w:rsidR="0027592D" w:rsidP="00FB40F6" w14:paraId="1B48EA91" w14:textId="4E08330C">
      <w:pPr>
        <w:pStyle w:val="FootnoteText"/>
        <w:spacing w:after="120"/>
      </w:pPr>
      <w:r>
        <w:rPr>
          <w:rStyle w:val="FootnoteReference"/>
        </w:rPr>
        <w:footnoteRef/>
      </w:r>
      <w:r>
        <w:t xml:space="preserve"> </w:t>
      </w:r>
      <w:r w:rsidRPr="0027592D">
        <w:rPr>
          <w:rFonts w:ascii="Times New Roman" w:hAnsi="Times New Roman" w:cs="Times New Roman"/>
          <w:i/>
        </w:rPr>
        <w:t xml:space="preserve">See </w:t>
      </w:r>
      <w:r w:rsidR="005527B5">
        <w:rPr>
          <w:rFonts w:ascii="Times New Roman" w:hAnsi="Times New Roman" w:cs="Times New Roman"/>
          <w:i/>
        </w:rPr>
        <w:t>3rd</w:t>
      </w:r>
      <w:r w:rsidRPr="0027592D">
        <w:rPr>
          <w:rFonts w:ascii="Times New Roman" w:hAnsi="Times New Roman" w:cs="Times New Roman"/>
          <w:i/>
        </w:rPr>
        <w:t xml:space="preserve"> R&amp;O</w:t>
      </w:r>
      <w:r w:rsidRPr="0027592D">
        <w:rPr>
          <w:rFonts w:ascii="Times New Roman" w:hAnsi="Times New Roman" w:cs="Times New Roman"/>
        </w:rPr>
        <w:t xml:space="preserve">, paras. </w:t>
      </w:r>
      <w:r w:rsidR="005527B5">
        <w:rPr>
          <w:rFonts w:ascii="Times New Roman" w:hAnsi="Times New Roman" w:cs="Times New Roman"/>
        </w:rPr>
        <w:t>5</w:t>
      </w:r>
      <w:r w:rsidR="00310039">
        <w:rPr>
          <w:rFonts w:ascii="Times New Roman" w:hAnsi="Times New Roman" w:cs="Times New Roman"/>
        </w:rPr>
        <w:t>-</w:t>
      </w:r>
      <w:r w:rsidR="005527B5">
        <w:rPr>
          <w:rFonts w:ascii="Times New Roman" w:hAnsi="Times New Roman" w:cs="Times New Roman"/>
        </w:rPr>
        <w:t>10</w:t>
      </w:r>
      <w:r w:rsidRPr="0027592D">
        <w:rPr>
          <w:rFonts w:ascii="Times New Roman" w:hAnsi="Times New Roman" w:cs="Times New Roman"/>
        </w:rPr>
        <w:t>.</w:t>
      </w:r>
    </w:p>
  </w:footnote>
  <w:footnote w:id="5">
    <w:p w:rsidR="00C63964" w:rsidRPr="00FB40F6" w:rsidP="00FB40F6" w14:paraId="66591006" w14:textId="54DE282C">
      <w:pPr>
        <w:pStyle w:val="FootnoteText"/>
        <w:spacing w:after="120"/>
        <w:rPr>
          <w:rFonts w:ascii="Times New Roman" w:hAnsi="Times New Roman" w:cs="Times New Roman"/>
        </w:rPr>
      </w:pPr>
      <w:r>
        <w:rPr>
          <w:rStyle w:val="FootnoteReference"/>
        </w:rPr>
        <w:footnoteRef/>
      </w:r>
      <w:r>
        <w:t xml:space="preserve"> </w:t>
      </w:r>
      <w:r w:rsidRPr="00FB40F6">
        <w:rPr>
          <w:rFonts w:ascii="Times New Roman" w:hAnsi="Times New Roman" w:cs="Times New Roman"/>
        </w:rPr>
        <w:t>Specifically,</w:t>
      </w:r>
      <w:r w:rsidRPr="00FB40F6">
        <w:rPr>
          <w:rFonts w:ascii="Times New Roman" w:hAnsi="Times New Roman" w:cs="Times New Roman"/>
          <w:i/>
        </w:rPr>
        <w:t xml:space="preserve"> </w:t>
      </w:r>
      <w:r w:rsidRPr="00FB40F6">
        <w:rPr>
          <w:rFonts w:ascii="Times New Roman" w:hAnsi="Times New Roman" w:cs="Times New Roman"/>
        </w:rPr>
        <w:t xml:space="preserve">UMFUS licensees relying on mobile or point-to-multipoint service must show that they are providing reliable signal coverage and service to at least 40 percent of the population within the service area of the licensee, and that they are using facilities to provide service in that area either to customers or for internal use.  Licensees relying on point-to-point service must demonstrate that they have four links operating and providing service, either to customers or for internal use, if the population within the license area is equal to or less than 268,000. If the population within the license area is greater than 268,000, a licensee relying on point-to-point service must demonstrate it has at least one link in operation and is providing service for each 67,000 population within the license area. </w:t>
      </w:r>
      <w:r w:rsidR="002353DF">
        <w:rPr>
          <w:rFonts w:ascii="Times New Roman" w:hAnsi="Times New Roman" w:cs="Times New Roman"/>
        </w:rPr>
        <w:t xml:space="preserve"> </w:t>
      </w:r>
      <w:r w:rsidRPr="00FB40F6">
        <w:rPr>
          <w:rFonts w:ascii="Times New Roman" w:hAnsi="Times New Roman" w:cs="Times New Roman"/>
        </w:rPr>
        <w:t>47 CFR § 30.104(a).  Showings that rely on a combination of multiple types of service will be evaluated on a case-b</w:t>
      </w:r>
      <w:r w:rsidRPr="00C63964">
        <w:rPr>
          <w:rFonts w:ascii="Times New Roman" w:hAnsi="Times New Roman" w:cs="Times New Roman"/>
        </w:rPr>
        <w:t>y-case basis.  47 CFR § 30.104(c</w:t>
      </w:r>
      <w:r w:rsidRPr="00FB40F6">
        <w:rPr>
          <w:rFonts w:ascii="Times New Roman" w:hAnsi="Times New Roman" w:cs="Times New Roman"/>
        </w:rPr>
        <w:t xml:space="preserve">). </w:t>
      </w:r>
    </w:p>
  </w:footnote>
  <w:footnote w:id="6">
    <w:p w:rsidR="00651E0C" w:rsidP="00FB40F6" w14:paraId="029ADCF5" w14:textId="74E16E31">
      <w:pPr>
        <w:pStyle w:val="FootnoteText"/>
        <w:spacing w:after="120"/>
      </w:pPr>
      <w:r>
        <w:rPr>
          <w:rStyle w:val="FootnoteReference"/>
        </w:rPr>
        <w:footnoteRef/>
      </w:r>
      <w:r>
        <w:rPr>
          <w:rFonts w:ascii="Times New Roman" w:hAnsi="Times New Roman" w:cs="Times New Roman"/>
        </w:rPr>
        <w:t xml:space="preserve"> </w:t>
      </w:r>
      <w:r w:rsidRPr="0027592D">
        <w:rPr>
          <w:rFonts w:ascii="Times New Roman" w:hAnsi="Times New Roman" w:cs="Times New Roman"/>
          <w:i/>
        </w:rPr>
        <w:t xml:space="preserve">See </w:t>
      </w:r>
      <w:r>
        <w:rPr>
          <w:rFonts w:ascii="Times New Roman" w:hAnsi="Times New Roman" w:cs="Times New Roman"/>
          <w:i/>
        </w:rPr>
        <w:t>3rd</w:t>
      </w:r>
      <w:r w:rsidRPr="0027592D">
        <w:rPr>
          <w:rFonts w:ascii="Times New Roman" w:hAnsi="Times New Roman" w:cs="Times New Roman"/>
          <w:i/>
        </w:rPr>
        <w:t xml:space="preserve"> R&amp;O</w:t>
      </w:r>
      <w:r w:rsidRPr="0027592D">
        <w:rPr>
          <w:rFonts w:ascii="Times New Roman" w:hAnsi="Times New Roman" w:cs="Times New Roman"/>
        </w:rPr>
        <w:t xml:space="preserve">, paras. </w:t>
      </w:r>
      <w:r w:rsidR="0014764D">
        <w:rPr>
          <w:rFonts w:ascii="Times New Roman" w:hAnsi="Times New Roman" w:cs="Times New Roman"/>
        </w:rPr>
        <w:t>11</w:t>
      </w:r>
      <w:r>
        <w:rPr>
          <w:rFonts w:ascii="Times New Roman" w:hAnsi="Times New Roman" w:cs="Times New Roman"/>
        </w:rPr>
        <w:t>-</w:t>
      </w:r>
      <w:r w:rsidR="006F585A">
        <w:rPr>
          <w:rFonts w:ascii="Times New Roman" w:hAnsi="Times New Roman" w:cs="Times New Roman"/>
        </w:rPr>
        <w:t>15</w:t>
      </w:r>
      <w:r w:rsidRPr="0027592D">
        <w:rPr>
          <w:rFonts w:ascii="Times New Roman" w:hAnsi="Times New Roman" w:cs="Times New Roman"/>
        </w:rPr>
        <w:t>.</w:t>
      </w:r>
    </w:p>
  </w:footnote>
  <w:footnote w:id="7">
    <w:p w:rsidR="0029758B" w:rsidP="00FB40F6" w14:paraId="4592AAE8" w14:textId="6B25A64F">
      <w:pPr>
        <w:pStyle w:val="FootnoteText"/>
        <w:spacing w:after="120"/>
      </w:pPr>
      <w:r>
        <w:rPr>
          <w:rStyle w:val="FootnoteReference"/>
        </w:rPr>
        <w:footnoteRef/>
      </w:r>
      <w:r>
        <w:rPr>
          <w:rFonts w:ascii="Times New Roman" w:hAnsi="Times New Roman" w:cs="Times New Roman"/>
        </w:rPr>
        <w:t xml:space="preserve"> </w:t>
      </w:r>
      <w:r w:rsidRPr="0027592D">
        <w:rPr>
          <w:rFonts w:ascii="Times New Roman" w:hAnsi="Times New Roman" w:cs="Times New Roman"/>
          <w:i/>
        </w:rPr>
        <w:t xml:space="preserve">See </w:t>
      </w:r>
      <w:r>
        <w:rPr>
          <w:rFonts w:ascii="Times New Roman" w:hAnsi="Times New Roman" w:cs="Times New Roman"/>
          <w:i/>
        </w:rPr>
        <w:t>3rd</w:t>
      </w:r>
      <w:r w:rsidRPr="0027592D">
        <w:rPr>
          <w:rFonts w:ascii="Times New Roman" w:hAnsi="Times New Roman" w:cs="Times New Roman"/>
          <w:i/>
        </w:rPr>
        <w:t xml:space="preserve"> R&amp;O</w:t>
      </w:r>
      <w:r w:rsidRPr="0027592D">
        <w:rPr>
          <w:rFonts w:ascii="Times New Roman" w:hAnsi="Times New Roman" w:cs="Times New Roman"/>
        </w:rPr>
        <w:t xml:space="preserve">, paras. </w:t>
      </w:r>
      <w:r>
        <w:rPr>
          <w:rFonts w:ascii="Times New Roman" w:hAnsi="Times New Roman" w:cs="Times New Roman"/>
        </w:rPr>
        <w:t>16-25</w:t>
      </w:r>
      <w:r w:rsidRPr="0027592D">
        <w:rPr>
          <w:rFonts w:ascii="Times New Roman" w:hAnsi="Times New Roman" w:cs="Times New Roman"/>
        </w:rPr>
        <w:t>.</w:t>
      </w:r>
    </w:p>
  </w:footnote>
  <w:footnote w:id="8">
    <w:p w:rsidR="001F6DA7" w:rsidP="00FB40F6" w14:paraId="01D40F24" w14:textId="6540CCD9">
      <w:pPr>
        <w:pStyle w:val="FootnoteText"/>
        <w:spacing w:after="120"/>
      </w:pPr>
      <w:r>
        <w:rPr>
          <w:rStyle w:val="FootnoteReference"/>
        </w:rPr>
        <w:footnoteRef/>
      </w:r>
      <w:r>
        <w:rPr>
          <w:rFonts w:ascii="Times New Roman" w:hAnsi="Times New Roman" w:cs="Times New Roman"/>
        </w:rPr>
        <w:t xml:space="preserve"> </w:t>
      </w:r>
      <w:r w:rsidRPr="0027592D">
        <w:rPr>
          <w:rFonts w:ascii="Times New Roman" w:hAnsi="Times New Roman" w:cs="Times New Roman"/>
          <w:i/>
        </w:rPr>
        <w:t xml:space="preserve">See </w:t>
      </w:r>
      <w:r>
        <w:rPr>
          <w:rFonts w:ascii="Times New Roman" w:hAnsi="Times New Roman" w:cs="Times New Roman"/>
          <w:i/>
        </w:rPr>
        <w:t>3rd</w:t>
      </w:r>
      <w:r w:rsidRPr="0027592D">
        <w:rPr>
          <w:rFonts w:ascii="Times New Roman" w:hAnsi="Times New Roman" w:cs="Times New Roman"/>
          <w:i/>
        </w:rPr>
        <w:t xml:space="preserve"> R&amp;O</w:t>
      </w:r>
      <w:r w:rsidRPr="0027592D">
        <w:rPr>
          <w:rFonts w:ascii="Times New Roman" w:hAnsi="Times New Roman" w:cs="Times New Roman"/>
        </w:rPr>
        <w:t xml:space="preserve">, paras. </w:t>
      </w:r>
      <w:r>
        <w:rPr>
          <w:rFonts w:ascii="Times New Roman" w:hAnsi="Times New Roman" w:cs="Times New Roman"/>
        </w:rPr>
        <w:t>26-28</w:t>
      </w:r>
      <w:r w:rsidRPr="0027592D">
        <w:rPr>
          <w:rFonts w:ascii="Times New Roman" w:hAnsi="Times New Roman" w:cs="Times New Roman"/>
        </w:rPr>
        <w:t>.</w:t>
      </w:r>
    </w:p>
  </w:footnote>
  <w:footnote w:id="9">
    <w:p w:rsidR="00310039" w:rsidP="00FB40F6" w14:paraId="349A9235" w14:textId="79F8F402">
      <w:pPr>
        <w:pStyle w:val="FootnoteText"/>
        <w:spacing w:after="120"/>
      </w:pPr>
      <w:r>
        <w:rPr>
          <w:rStyle w:val="FootnoteReference"/>
        </w:rPr>
        <w:footnoteRef/>
      </w:r>
      <w:r w:rsidR="00510571">
        <w:rPr>
          <w:rFonts w:ascii="Times New Roman" w:hAnsi="Times New Roman" w:cs="Times New Roman"/>
        </w:rPr>
        <w:t xml:space="preserve"> </w:t>
      </w:r>
      <w:r w:rsidRPr="0027592D" w:rsidR="00510571">
        <w:rPr>
          <w:rFonts w:ascii="Times New Roman" w:hAnsi="Times New Roman" w:cs="Times New Roman"/>
          <w:i/>
        </w:rPr>
        <w:t xml:space="preserve">See </w:t>
      </w:r>
      <w:r w:rsidR="00510571">
        <w:rPr>
          <w:rFonts w:ascii="Times New Roman" w:hAnsi="Times New Roman" w:cs="Times New Roman"/>
          <w:i/>
        </w:rPr>
        <w:t>3rd</w:t>
      </w:r>
      <w:r w:rsidRPr="0027592D" w:rsidR="00510571">
        <w:rPr>
          <w:rFonts w:ascii="Times New Roman" w:hAnsi="Times New Roman" w:cs="Times New Roman"/>
          <w:i/>
        </w:rPr>
        <w:t xml:space="preserve"> R&amp;O</w:t>
      </w:r>
      <w:r w:rsidRPr="0027592D" w:rsidR="00510571">
        <w:rPr>
          <w:rFonts w:ascii="Times New Roman" w:hAnsi="Times New Roman" w:cs="Times New Roman"/>
        </w:rPr>
        <w:t xml:space="preserve">, paras. </w:t>
      </w:r>
      <w:r w:rsidR="00510571">
        <w:rPr>
          <w:rFonts w:ascii="Times New Roman" w:hAnsi="Times New Roman" w:cs="Times New Roman"/>
        </w:rPr>
        <w:t>29-36</w:t>
      </w:r>
      <w:r w:rsidRPr="0027592D">
        <w:rPr>
          <w:rFonts w:ascii="Times New Roman" w:hAnsi="Times New Roman" w:cs="Times New Roman"/>
        </w:rPr>
        <w:t>.</w:t>
      </w:r>
    </w:p>
  </w:footnote>
  <w:footnote w:id="10">
    <w:p w:rsidR="00F15EE5" w:rsidRPr="00291F81" w:rsidP="00FB40F6" w14:paraId="41F19BBB" w14:textId="760C599A">
      <w:pPr>
        <w:spacing w:after="120"/>
        <w:rPr>
          <w:rFonts w:ascii="Times New Roman" w:hAnsi="Times New Roman" w:cs="Times New Roman"/>
        </w:rPr>
      </w:pPr>
      <w:r w:rsidRPr="00291F81">
        <w:rPr>
          <w:rStyle w:val="FootnoteReference"/>
          <w:rFonts w:ascii="Times New Roman" w:hAnsi="Times New Roman" w:cs="Times New Roman"/>
          <w:sz w:val="20"/>
          <w:szCs w:val="20"/>
        </w:rPr>
        <w:footnoteRef/>
      </w:r>
      <w:r w:rsidRPr="00291F81">
        <w:rPr>
          <w:rFonts w:ascii="Times New Roman" w:hAnsi="Times New Roman" w:cs="Times New Roman"/>
          <w:sz w:val="20"/>
          <w:szCs w:val="20"/>
        </w:rPr>
        <w:t xml:space="preserve"> </w:t>
      </w:r>
      <w:r w:rsidRPr="00F15EE5">
        <w:rPr>
          <w:rFonts w:ascii="Times New Roman" w:hAnsi="Times New Roman" w:cs="Times New Roman"/>
          <w:i/>
          <w:sz w:val="20"/>
          <w:szCs w:val="20"/>
        </w:rPr>
        <w:t>Use of Spectrum Bands Above 24 GHz For Mobile Radio Services, et al</w:t>
      </w:r>
      <w:r w:rsidRPr="00F15EE5">
        <w:rPr>
          <w:rFonts w:ascii="Times New Roman" w:hAnsi="Times New Roman" w:cs="Times New Roman"/>
          <w:sz w:val="20"/>
          <w:szCs w:val="20"/>
        </w:rPr>
        <w:t xml:space="preserve">., Report and Order and Further Notice of Proposed Rulemaking, 31 FCC Rcd 8014 (2016).  </w:t>
      </w:r>
    </w:p>
  </w:footnote>
  <w:footnote w:id="11">
    <w:p w:rsidR="00424684" w:rsidRPr="00C043F7" w14:paraId="54E50350" w14:textId="1B8A375A">
      <w:pPr>
        <w:pStyle w:val="FootnoteText"/>
        <w:rPr>
          <w:rFonts w:ascii="Times New Roman" w:hAnsi="Times New Roman" w:cs="Times New Roman"/>
          <w:b/>
        </w:rPr>
      </w:pPr>
      <w:r w:rsidRPr="00C043F7">
        <w:rPr>
          <w:rStyle w:val="FootnoteReference"/>
          <w:rFonts w:ascii="Times New Roman" w:hAnsi="Times New Roman" w:cs="Times New Roman"/>
        </w:rPr>
        <w:footnoteRef/>
      </w:r>
      <w:r w:rsidRPr="00C043F7">
        <w:rPr>
          <w:rFonts w:ascii="Times New Roman" w:hAnsi="Times New Roman" w:cs="Times New Roman"/>
        </w:rPr>
        <w:t xml:space="preserve"> </w:t>
      </w:r>
      <w:r w:rsidRPr="00C043F7" w:rsidR="00CE22A6">
        <w:rPr>
          <w:rFonts w:ascii="Times New Roman" w:hAnsi="Times New Roman" w:cs="Times New Roman"/>
        </w:rPr>
        <w:t xml:space="preserve"> As is the case for the mmW spectrum threshold applied to secondary market transactions, the threshold we will apply to review initial applications for spectrum won at auction merely identifies those markets that may warrant further competitive analysis.  Applying a post-auction case-by-case review will provide an opportunity to evaluate whether an applicant’s post-auction spectrum holdings would result in excessive concertation of licenses, in a manner consistent with our obligations under Section 309(j)(3)(B) of the Communications 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F82" w:rsidRPr="00EF0AF7" w:rsidP="00291F81" w14:paraId="79696BAC" w14:textId="77777777">
    <w:pPr>
      <w:pStyle w:val="Header"/>
      <w:tabs>
        <w:tab w:val="left" w:pos="2340"/>
      </w:tabs>
      <w:spacing w:before="360" w:line="228" w:lineRule="auto"/>
      <w:ind w:firstLine="1440"/>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599465715" r:id="rId2"/>
      </w:pict>
    </w:r>
    <w:r w:rsidRPr="00EF0AF7">
      <w:rPr>
        <w:rFonts w:ascii="CG Times (W1)" w:hAnsi="CG Times (W1)"/>
        <w:sz w:val="28"/>
      </w:rPr>
      <w:t>Federal Communications Commission</w:t>
    </w:r>
  </w:p>
  <w:p w:rsidR="00C75F82" w:rsidRPr="00EF0AF7" w:rsidP="00291F81" w14:paraId="5C549893" w14:textId="626554F3">
    <w:pPr>
      <w:tabs>
        <w:tab w:val="left" w:pos="2160"/>
        <w:tab w:val="left" w:pos="2880"/>
        <w:tab w:val="left" w:pos="3420"/>
      </w:tabs>
      <w:rPr>
        <w:rFonts w:ascii="CG Times (W1)" w:hAnsi="CG Times (W1)"/>
        <w:sz w:val="28"/>
      </w:rPr>
    </w:pPr>
    <w:r>
      <w:rPr>
        <w:rFonts w:ascii="CG Times (W1)" w:hAnsi="CG Times (W1)"/>
        <w:sz w:val="28"/>
      </w:rPr>
      <w:tab/>
    </w:r>
    <w:r>
      <w:rPr>
        <w:rFonts w:ascii="CG Times (W1)" w:hAnsi="CG Times (W1)"/>
        <w:sz w:val="28"/>
      </w:rPr>
      <w:tab/>
    </w:r>
    <w:r w:rsidRPr="00EF0AF7">
      <w:rPr>
        <w:rFonts w:ascii="CG Times (W1)" w:hAnsi="CG Times (W1)"/>
        <w:sz w:val="28"/>
      </w:rPr>
      <w:t>Washington, D.C. 20554</w:t>
    </w:r>
  </w:p>
  <w:p w:rsidR="00C75F82" w:rsidRPr="007608D9" w:rsidP="00291F81" w14:paraId="346E193E" w14:textId="3CA4B314">
    <w:pPr>
      <w:tabs>
        <w:tab w:val="left" w:pos="3060"/>
        <w:tab w:val="left" w:pos="3420"/>
      </w:tabs>
      <w:rPr>
        <w:rFonts w:ascii="Times New Roman" w:hAnsi="Times New Roman" w:cs="Times New Roman"/>
        <w:sz w:val="24"/>
        <w:szCs w:val="24"/>
      </w:rPr>
    </w:pPr>
    <w:r w:rsidRPr="00EF0AF7">
      <w:rPr>
        <w:rFonts w:ascii="CG Times (W1)" w:hAnsi="CG Times (W1)"/>
        <w:sz w:val="24"/>
        <w:szCs w:val="24"/>
      </w:rPr>
      <w:tab/>
    </w:r>
    <w:r w:rsidRPr="00EF0AF7">
      <w:rPr>
        <w:rFonts w:ascii="CG Times (W1)" w:hAnsi="CG Times (W1)"/>
        <w:sz w:val="24"/>
        <w:szCs w:val="24"/>
      </w:rPr>
      <w:tab/>
    </w:r>
    <w:r w:rsidRPr="007608D9" w:rsidR="00011F5B">
      <w:rPr>
        <w:rFonts w:ascii="Times New Roman" w:hAnsi="Times New Roman" w:cs="Times New Roman"/>
        <w:sz w:val="24"/>
        <w:szCs w:val="24"/>
      </w:rPr>
      <w:t xml:space="preserve">September 26, </w:t>
    </w:r>
    <w:r w:rsidRPr="007608D9">
      <w:rPr>
        <w:rFonts w:ascii="Times New Roman" w:hAnsi="Times New Roman" w:cs="Times New Roman"/>
        <w:sz w:val="24"/>
        <w:szCs w:val="24"/>
      </w:rPr>
      <w:t>20</w:t>
    </w:r>
    <w:r w:rsidRPr="007608D9" w:rsidR="00323474">
      <w:rPr>
        <w:rFonts w:ascii="Times New Roman" w:hAnsi="Times New Roman" w:cs="Times New Roman"/>
        <w:sz w:val="24"/>
        <w:szCs w:val="24"/>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27AC" w14:paraId="163D45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620D52"/>
    <w:multiLevelType w:val="hybridMultilevel"/>
    <w:tmpl w:val="7A64D86C"/>
    <w:lvl w:ilvl="0">
      <w:start w:val="1"/>
      <w:numFmt w:val="decimal"/>
      <w:lvlText w:val="%1."/>
      <w:lvlJc w:val="left"/>
      <w:pPr>
        <w:ind w:left="1080" w:hanging="360"/>
      </w:pPr>
      <w:rPr>
        <w:rFonts w:hint="default"/>
        <w:b/>
      </w:rPr>
    </w:lvl>
    <w:lvl w:ilvl="1">
      <w:start w:val="1"/>
      <w:numFmt w:val="bullet"/>
      <w:lvlText w:val=""/>
      <w:lvlJc w:val="left"/>
      <w:pPr>
        <w:ind w:left="1800" w:hanging="360"/>
      </w:pPr>
      <w:rPr>
        <w:rFonts w:ascii="Symbol" w:hAnsi="Symbol" w:hint="default"/>
      </w:rPr>
    </w:lvl>
    <w:lvl w:ilvl="2">
      <w:start w:val="1"/>
      <w:numFmt w:val="bullet"/>
      <w:lvlText w:val="o"/>
      <w:lvlJc w:val="left"/>
      <w:pPr>
        <w:ind w:left="2520" w:hanging="180"/>
      </w:pPr>
      <w:rPr>
        <w:rFonts w:ascii="Courier New" w:hAnsi="Courier New" w:cs="Courier New" w:hint="default"/>
      </w:rPr>
    </w:lvl>
    <w:lvl w:ilvl="3">
      <w:start w:val="1"/>
      <w:numFmt w:val="bullet"/>
      <w:lvlText w:val=""/>
      <w:lvlJc w:val="left"/>
      <w:pPr>
        <w:ind w:left="3240" w:hanging="360"/>
      </w:pPr>
      <w:rPr>
        <w:rFonts w:ascii="Wingdings" w:hAnsi="Wingding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10A5E15"/>
    <w:multiLevelType w:val="hybridMultilevel"/>
    <w:tmpl w:val="4D60CD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610" w:hanging="360"/>
      </w:pPr>
      <w:rPr>
        <w:rFonts w:ascii="Courier New" w:hAnsi="Courier New" w:cs="Courier New"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8B46FD"/>
    <w:multiLevelType w:val="hybridMultilevel"/>
    <w:tmpl w:val="E0AE1272"/>
    <w:lvl w:ilvl="0">
      <w:start w:val="1"/>
      <w:numFmt w:val="upperLetter"/>
      <w:pStyle w:val="Heading2"/>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421E2B"/>
    <w:multiLevelType w:val="hybridMultilevel"/>
    <w:tmpl w:val="338835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5554A53"/>
    <w:multiLevelType w:val="hybridMultilevel"/>
    <w:tmpl w:val="82206CDC"/>
    <w:lvl w:ilvl="0">
      <w:start w:val="1"/>
      <w:numFmt w:val="upperRoman"/>
      <w:pStyle w:val="Heading1"/>
      <w:lvlText w:val="%1."/>
      <w:lvlJc w:val="left"/>
      <w:pPr>
        <w:ind w:left="1080" w:hanging="72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B8A4F26"/>
    <w:multiLevelType w:val="hybridMultilevel"/>
    <w:tmpl w:val="311EA722"/>
    <w:lvl w:ilvl="0">
      <w:start w:val="1"/>
      <w:numFmt w:val="upperLetter"/>
      <w:pStyle w:val="TOC2"/>
      <w:lvlText w:val="%1."/>
      <w:lvlJc w:val="left"/>
      <w:pPr>
        <w:ind w:left="810" w:hanging="360"/>
      </w:pPr>
      <w:rPr>
        <w:rFonts w:eastAsiaTheme="minorHAnsi" w:hint="default"/>
        <w:color w:val="auto"/>
        <w:u w:val="none"/>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6">
    <w:nsid w:val="3D7D2B90"/>
    <w:multiLevelType w:val="hybridMultilevel"/>
    <w:tmpl w:val="F776F3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8385AC0"/>
    <w:multiLevelType w:val="hybridMultilevel"/>
    <w:tmpl w:val="A090589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4AC703BD"/>
    <w:multiLevelType w:val="hybridMultilevel"/>
    <w:tmpl w:val="C660F554"/>
    <w:lvl w:ilvl="0">
      <w:start w:val="1"/>
      <w:numFmt w:val="upperRoman"/>
      <w:lvlText w:val="%1."/>
      <w:lvlJc w:val="left"/>
      <w:pPr>
        <w:ind w:left="720" w:hanging="765"/>
      </w:pPr>
      <w:rPr>
        <w:rFonts w:hint="default"/>
        <w:b/>
      </w:rPr>
    </w:lvl>
    <w:lvl w:ilvl="1" w:tentative="1">
      <w:start w:val="1"/>
      <w:numFmt w:val="lowerLetter"/>
      <w:lvlText w:val="%2."/>
      <w:lvlJc w:val="left"/>
      <w:pPr>
        <w:ind w:left="1035" w:hanging="360"/>
      </w:pPr>
    </w:lvl>
    <w:lvl w:ilvl="2" w:tentative="1">
      <w:start w:val="1"/>
      <w:numFmt w:val="lowerRoman"/>
      <w:lvlText w:val="%3."/>
      <w:lvlJc w:val="right"/>
      <w:pPr>
        <w:ind w:left="1755" w:hanging="180"/>
      </w:pPr>
    </w:lvl>
    <w:lvl w:ilvl="3" w:tentative="1">
      <w:start w:val="1"/>
      <w:numFmt w:val="decimal"/>
      <w:lvlText w:val="%4."/>
      <w:lvlJc w:val="left"/>
      <w:pPr>
        <w:ind w:left="2475" w:hanging="360"/>
      </w:pPr>
    </w:lvl>
    <w:lvl w:ilvl="4" w:tentative="1">
      <w:start w:val="1"/>
      <w:numFmt w:val="lowerLetter"/>
      <w:lvlText w:val="%5."/>
      <w:lvlJc w:val="left"/>
      <w:pPr>
        <w:ind w:left="3195" w:hanging="360"/>
      </w:pPr>
    </w:lvl>
    <w:lvl w:ilvl="5" w:tentative="1">
      <w:start w:val="1"/>
      <w:numFmt w:val="lowerRoman"/>
      <w:lvlText w:val="%6."/>
      <w:lvlJc w:val="right"/>
      <w:pPr>
        <w:ind w:left="3915" w:hanging="180"/>
      </w:pPr>
    </w:lvl>
    <w:lvl w:ilvl="6" w:tentative="1">
      <w:start w:val="1"/>
      <w:numFmt w:val="decimal"/>
      <w:lvlText w:val="%7."/>
      <w:lvlJc w:val="left"/>
      <w:pPr>
        <w:ind w:left="4635" w:hanging="360"/>
      </w:pPr>
    </w:lvl>
    <w:lvl w:ilvl="7" w:tentative="1">
      <w:start w:val="1"/>
      <w:numFmt w:val="lowerLetter"/>
      <w:lvlText w:val="%8."/>
      <w:lvlJc w:val="left"/>
      <w:pPr>
        <w:ind w:left="5355" w:hanging="360"/>
      </w:pPr>
    </w:lvl>
    <w:lvl w:ilvl="8" w:tentative="1">
      <w:start w:val="1"/>
      <w:numFmt w:val="lowerRoman"/>
      <w:lvlText w:val="%9."/>
      <w:lvlJc w:val="right"/>
      <w:pPr>
        <w:ind w:left="6075" w:hanging="180"/>
      </w:pPr>
    </w:lvl>
  </w:abstractNum>
  <w:abstractNum w:abstractNumId="9">
    <w:nsid w:val="4F9E1E65"/>
    <w:multiLevelType w:val="hybridMultilevel"/>
    <w:tmpl w:val="452E6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2FB373F"/>
    <w:multiLevelType w:val="hybridMultilevel"/>
    <w:tmpl w:val="010A5248"/>
    <w:lvl w:ilvl="0">
      <w:start w:val="1"/>
      <w:numFmt w:val="decimal"/>
      <w:pStyle w:val="Heading3"/>
      <w:lvlText w:val="%1."/>
      <w:lvlJc w:val="left"/>
      <w:pPr>
        <w:ind w:left="1080" w:hanging="36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BB62750"/>
    <w:multiLevelType w:val="hybridMultilevel"/>
    <w:tmpl w:val="A6C08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1B94D5F"/>
    <w:multiLevelType w:val="multilevel"/>
    <w:tmpl w:val="816EB7AC"/>
    <w:lvl w:ilvl="0">
      <w:start w:val="1"/>
      <w:numFmt w:val="bullet"/>
      <w:lvlText w:val=""/>
      <w:lvlJc w:val="left"/>
      <w:pPr>
        <w:ind w:left="1080" w:hanging="360"/>
      </w:pPr>
      <w:rPr>
        <w:rFonts w:ascii="Symbol" w:hAnsi="Symbol" w:hint="default"/>
      </w:rPr>
    </w:lvl>
    <w:lvl w:ilvl="1">
      <w:start w:val="1"/>
      <w:numFmt w:val="upperLetter"/>
      <w:lvlText w:val="%2"/>
      <w:lvlJc w:val="left"/>
      <w:pPr>
        <w:ind w:left="1800" w:hanging="360"/>
      </w:pPr>
      <w:rPr>
        <w:rFonts w:hint="default"/>
      </w:rPr>
    </w:lvl>
    <w:lvl w:ilvl="2">
      <w:start w:val="1"/>
      <w:numFmt w:val="lowerRoman"/>
      <w:lvlText w:val="%3"/>
      <w:lvlJc w:val="left"/>
      <w:pPr>
        <w:ind w:left="2520" w:hanging="360"/>
      </w:pPr>
      <w:rPr>
        <w:rFonts w:hint="default"/>
      </w:rPr>
    </w:lvl>
    <w:lvl w:ilvl="3">
      <w:start w:val="1"/>
      <w:numFmt w:val="lowerLetter"/>
      <w:lvlText w:val="%4"/>
      <w:lvlJc w:val="left"/>
      <w:pPr>
        <w:ind w:left="3240" w:hanging="360"/>
      </w:pPr>
      <w:rPr>
        <w:rFonts w:hint="default"/>
      </w:rPr>
    </w:lvl>
    <w:lvl w:ilvl="4">
      <w:start w:val="1"/>
      <w:numFmt w:val="bullet"/>
      <w:lvlText w:val=""/>
      <w:lvlJc w:val="left"/>
      <w:pPr>
        <w:ind w:left="3960" w:hanging="360"/>
      </w:pPr>
      <w:rPr>
        <w:rFonts w:ascii="Symbol" w:hAnsi="Symbol" w:hint="default"/>
      </w:rPr>
    </w:lvl>
    <w:lvl w:ilvl="5">
      <w:start w:val="1"/>
      <w:numFmt w:val="bullet"/>
      <w:lvlText w:val="o"/>
      <w:lvlJc w:val="left"/>
      <w:pPr>
        <w:ind w:left="4680" w:hanging="360"/>
      </w:pPr>
      <w:rPr>
        <w:rFonts w:ascii="Courier New" w:hAnsi="Courier New" w:hint="default"/>
      </w:rPr>
    </w:lvl>
    <w:lvl w:ilvl="6">
      <w:start w:val="1"/>
      <w:numFmt w:val="bullet"/>
      <w:lvlText w:val=""/>
      <w:lvlJc w:val="left"/>
      <w:pPr>
        <w:ind w:left="5400" w:hanging="360"/>
      </w:pPr>
      <w:rPr>
        <w:rFonts w:ascii="Wingdings" w:hAnsi="Wingdings" w:hint="default"/>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Wingdings" w:hAnsi="Wingdings" w:hint="default"/>
      </w:rPr>
    </w:lvl>
  </w:abstractNum>
  <w:abstractNum w:abstractNumId="14">
    <w:nsid w:val="64BD7BC4"/>
    <w:multiLevelType w:val="hybridMultilevel"/>
    <w:tmpl w:val="786E7BC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A616AED"/>
    <w:multiLevelType w:val="hybridMultilevel"/>
    <w:tmpl w:val="8550EC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4952F3"/>
    <w:multiLevelType w:val="hybridMultilevel"/>
    <w:tmpl w:val="E35E174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10"/>
  </w:num>
  <w:num w:numId="6">
    <w:abstractNumId w:val="7"/>
  </w:num>
  <w:num w:numId="7">
    <w:abstractNumId w:val="0"/>
  </w:num>
  <w:num w:numId="8">
    <w:abstractNumId w:val="1"/>
  </w:num>
  <w:num w:numId="9">
    <w:abstractNumId w:val="12"/>
  </w:num>
  <w:num w:numId="10">
    <w:abstractNumId w:val="9"/>
  </w:num>
  <w:num w:numId="11">
    <w:abstractNumId w:val="3"/>
  </w:num>
  <w:num w:numId="12">
    <w:abstractNumId w:val="13"/>
  </w:num>
  <w:num w:numId="13">
    <w:abstractNumId w:val="5"/>
  </w:num>
  <w:num w:numId="14">
    <w:abstractNumId w:val="15"/>
  </w:num>
  <w:num w:numId="15">
    <w:abstractNumId w:val="11"/>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D6B"/>
    <w:rsid w:val="0001069B"/>
    <w:rsid w:val="00011F5B"/>
    <w:rsid w:val="0002013B"/>
    <w:rsid w:val="0002411B"/>
    <w:rsid w:val="00024F9C"/>
    <w:rsid w:val="0004012F"/>
    <w:rsid w:val="00046F83"/>
    <w:rsid w:val="000513CC"/>
    <w:rsid w:val="000552BD"/>
    <w:rsid w:val="00077BF2"/>
    <w:rsid w:val="00077C5C"/>
    <w:rsid w:val="000875A6"/>
    <w:rsid w:val="000A07BB"/>
    <w:rsid w:val="000A32E3"/>
    <w:rsid w:val="000B2E39"/>
    <w:rsid w:val="000B42DD"/>
    <w:rsid w:val="000C0579"/>
    <w:rsid w:val="000C0B13"/>
    <w:rsid w:val="000C1080"/>
    <w:rsid w:val="000C265D"/>
    <w:rsid w:val="000C3A85"/>
    <w:rsid w:val="000E1D0D"/>
    <w:rsid w:val="000E5E55"/>
    <w:rsid w:val="00102D03"/>
    <w:rsid w:val="00124BB4"/>
    <w:rsid w:val="00127B68"/>
    <w:rsid w:val="001310F9"/>
    <w:rsid w:val="00134B8A"/>
    <w:rsid w:val="00141E55"/>
    <w:rsid w:val="00146103"/>
    <w:rsid w:val="0014764D"/>
    <w:rsid w:val="001563B0"/>
    <w:rsid w:val="00174550"/>
    <w:rsid w:val="00191DED"/>
    <w:rsid w:val="001B665C"/>
    <w:rsid w:val="001C2A20"/>
    <w:rsid w:val="001C499C"/>
    <w:rsid w:val="001C78E8"/>
    <w:rsid w:val="001D20D6"/>
    <w:rsid w:val="001D76F1"/>
    <w:rsid w:val="001D78F1"/>
    <w:rsid w:val="001F1D67"/>
    <w:rsid w:val="001F6DA7"/>
    <w:rsid w:val="00212FD7"/>
    <w:rsid w:val="00222A89"/>
    <w:rsid w:val="002279E6"/>
    <w:rsid w:val="002353DF"/>
    <w:rsid w:val="00235CCE"/>
    <w:rsid w:val="00241612"/>
    <w:rsid w:val="00244B35"/>
    <w:rsid w:val="00251317"/>
    <w:rsid w:val="00261281"/>
    <w:rsid w:val="00274135"/>
    <w:rsid w:val="0027592D"/>
    <w:rsid w:val="00277F88"/>
    <w:rsid w:val="00291F81"/>
    <w:rsid w:val="00296681"/>
    <w:rsid w:val="0029758B"/>
    <w:rsid w:val="002A1DCA"/>
    <w:rsid w:val="002A24DC"/>
    <w:rsid w:val="002B56A6"/>
    <w:rsid w:val="002C749E"/>
    <w:rsid w:val="002D5CD7"/>
    <w:rsid w:val="002E41C2"/>
    <w:rsid w:val="002E5152"/>
    <w:rsid w:val="002F5FF4"/>
    <w:rsid w:val="00300EA6"/>
    <w:rsid w:val="003019E4"/>
    <w:rsid w:val="00304F14"/>
    <w:rsid w:val="00310039"/>
    <w:rsid w:val="0031047B"/>
    <w:rsid w:val="00311AE2"/>
    <w:rsid w:val="0031482B"/>
    <w:rsid w:val="00315795"/>
    <w:rsid w:val="00322EDE"/>
    <w:rsid w:val="00323474"/>
    <w:rsid w:val="003319FC"/>
    <w:rsid w:val="0037417A"/>
    <w:rsid w:val="0037620C"/>
    <w:rsid w:val="00386F14"/>
    <w:rsid w:val="00393957"/>
    <w:rsid w:val="003A1AA8"/>
    <w:rsid w:val="003A637D"/>
    <w:rsid w:val="003B219C"/>
    <w:rsid w:val="003B33C5"/>
    <w:rsid w:val="003B445C"/>
    <w:rsid w:val="003B75E9"/>
    <w:rsid w:val="003C2DB1"/>
    <w:rsid w:val="003C3CE4"/>
    <w:rsid w:val="003D0B53"/>
    <w:rsid w:val="003D574C"/>
    <w:rsid w:val="003D7D03"/>
    <w:rsid w:val="003E2EEF"/>
    <w:rsid w:val="003E7F98"/>
    <w:rsid w:val="003F214A"/>
    <w:rsid w:val="004048F7"/>
    <w:rsid w:val="00406AA4"/>
    <w:rsid w:val="00407157"/>
    <w:rsid w:val="00416E21"/>
    <w:rsid w:val="00422E59"/>
    <w:rsid w:val="004239D4"/>
    <w:rsid w:val="00423E56"/>
    <w:rsid w:val="00424684"/>
    <w:rsid w:val="00426150"/>
    <w:rsid w:val="00431134"/>
    <w:rsid w:val="00431D66"/>
    <w:rsid w:val="0044256A"/>
    <w:rsid w:val="00442BD8"/>
    <w:rsid w:val="0044690F"/>
    <w:rsid w:val="00450437"/>
    <w:rsid w:val="00453A4F"/>
    <w:rsid w:val="0046112E"/>
    <w:rsid w:val="00467548"/>
    <w:rsid w:val="00471401"/>
    <w:rsid w:val="0047181F"/>
    <w:rsid w:val="00475092"/>
    <w:rsid w:val="00483567"/>
    <w:rsid w:val="004900C1"/>
    <w:rsid w:val="004936B5"/>
    <w:rsid w:val="004A2659"/>
    <w:rsid w:val="004A5D6B"/>
    <w:rsid w:val="004D00F9"/>
    <w:rsid w:val="004D0644"/>
    <w:rsid w:val="004D6B65"/>
    <w:rsid w:val="004F68CA"/>
    <w:rsid w:val="00502D05"/>
    <w:rsid w:val="00510306"/>
    <w:rsid w:val="00510571"/>
    <w:rsid w:val="00511023"/>
    <w:rsid w:val="00511D5C"/>
    <w:rsid w:val="0052722F"/>
    <w:rsid w:val="00530A58"/>
    <w:rsid w:val="00534154"/>
    <w:rsid w:val="005360BB"/>
    <w:rsid w:val="00542E26"/>
    <w:rsid w:val="00550CB4"/>
    <w:rsid w:val="005527B5"/>
    <w:rsid w:val="00555902"/>
    <w:rsid w:val="0056063A"/>
    <w:rsid w:val="0056121D"/>
    <w:rsid w:val="00573179"/>
    <w:rsid w:val="0059789C"/>
    <w:rsid w:val="005C16B1"/>
    <w:rsid w:val="005D5801"/>
    <w:rsid w:val="005D793C"/>
    <w:rsid w:val="005E5B5B"/>
    <w:rsid w:val="00602A9D"/>
    <w:rsid w:val="00605599"/>
    <w:rsid w:val="00606C85"/>
    <w:rsid w:val="00612CE2"/>
    <w:rsid w:val="00620329"/>
    <w:rsid w:val="00627B8E"/>
    <w:rsid w:val="00635191"/>
    <w:rsid w:val="00643364"/>
    <w:rsid w:val="006473FA"/>
    <w:rsid w:val="00651E0C"/>
    <w:rsid w:val="00654007"/>
    <w:rsid w:val="006611B3"/>
    <w:rsid w:val="0066406F"/>
    <w:rsid w:val="00671621"/>
    <w:rsid w:val="00677DC7"/>
    <w:rsid w:val="00687EFF"/>
    <w:rsid w:val="0069099C"/>
    <w:rsid w:val="0069165C"/>
    <w:rsid w:val="006A1040"/>
    <w:rsid w:val="006B2912"/>
    <w:rsid w:val="006E193A"/>
    <w:rsid w:val="006E4118"/>
    <w:rsid w:val="006F0B06"/>
    <w:rsid w:val="006F2EC2"/>
    <w:rsid w:val="006F366A"/>
    <w:rsid w:val="006F585A"/>
    <w:rsid w:val="0070618A"/>
    <w:rsid w:val="00715092"/>
    <w:rsid w:val="00717793"/>
    <w:rsid w:val="00721623"/>
    <w:rsid w:val="00721C2D"/>
    <w:rsid w:val="00724AB9"/>
    <w:rsid w:val="0073363D"/>
    <w:rsid w:val="00740B94"/>
    <w:rsid w:val="00746AC1"/>
    <w:rsid w:val="007556CF"/>
    <w:rsid w:val="007608D9"/>
    <w:rsid w:val="007631F7"/>
    <w:rsid w:val="00767930"/>
    <w:rsid w:val="0078111D"/>
    <w:rsid w:val="007868FE"/>
    <w:rsid w:val="007B4174"/>
    <w:rsid w:val="007B5A28"/>
    <w:rsid w:val="007C226A"/>
    <w:rsid w:val="007C74D7"/>
    <w:rsid w:val="007D75CA"/>
    <w:rsid w:val="007E1235"/>
    <w:rsid w:val="007E3056"/>
    <w:rsid w:val="007E7A47"/>
    <w:rsid w:val="0080699D"/>
    <w:rsid w:val="00807890"/>
    <w:rsid w:val="008113BB"/>
    <w:rsid w:val="0081191C"/>
    <w:rsid w:val="00811C61"/>
    <w:rsid w:val="00814DAF"/>
    <w:rsid w:val="00815C37"/>
    <w:rsid w:val="00815DAF"/>
    <w:rsid w:val="00827715"/>
    <w:rsid w:val="00827A9D"/>
    <w:rsid w:val="00836A89"/>
    <w:rsid w:val="00837679"/>
    <w:rsid w:val="008405B9"/>
    <w:rsid w:val="0085718B"/>
    <w:rsid w:val="008571B2"/>
    <w:rsid w:val="008729AB"/>
    <w:rsid w:val="00890C06"/>
    <w:rsid w:val="008A21F6"/>
    <w:rsid w:val="008B375A"/>
    <w:rsid w:val="008C1538"/>
    <w:rsid w:val="008C16A9"/>
    <w:rsid w:val="008C1C45"/>
    <w:rsid w:val="008D369A"/>
    <w:rsid w:val="008E0313"/>
    <w:rsid w:val="008E2BDB"/>
    <w:rsid w:val="008E459F"/>
    <w:rsid w:val="008F1C56"/>
    <w:rsid w:val="008F24CF"/>
    <w:rsid w:val="008F2A5E"/>
    <w:rsid w:val="008F32BE"/>
    <w:rsid w:val="00902FE1"/>
    <w:rsid w:val="00931400"/>
    <w:rsid w:val="0093358B"/>
    <w:rsid w:val="00933680"/>
    <w:rsid w:val="0093641B"/>
    <w:rsid w:val="0093786F"/>
    <w:rsid w:val="00951516"/>
    <w:rsid w:val="009520E8"/>
    <w:rsid w:val="009553F0"/>
    <w:rsid w:val="0095670B"/>
    <w:rsid w:val="00956EAD"/>
    <w:rsid w:val="0095728E"/>
    <w:rsid w:val="00961E42"/>
    <w:rsid w:val="009679A9"/>
    <w:rsid w:val="00982B22"/>
    <w:rsid w:val="00996D7A"/>
    <w:rsid w:val="009A591B"/>
    <w:rsid w:val="009B73D5"/>
    <w:rsid w:val="009C1F52"/>
    <w:rsid w:val="009C682B"/>
    <w:rsid w:val="00A35696"/>
    <w:rsid w:val="00A36541"/>
    <w:rsid w:val="00A36F57"/>
    <w:rsid w:val="00A42AB3"/>
    <w:rsid w:val="00A44650"/>
    <w:rsid w:val="00A53318"/>
    <w:rsid w:val="00A56D3F"/>
    <w:rsid w:val="00A61241"/>
    <w:rsid w:val="00A61FAC"/>
    <w:rsid w:val="00A625DC"/>
    <w:rsid w:val="00A6403E"/>
    <w:rsid w:val="00A64EE0"/>
    <w:rsid w:val="00A907D9"/>
    <w:rsid w:val="00AA7770"/>
    <w:rsid w:val="00AD1764"/>
    <w:rsid w:val="00AD2573"/>
    <w:rsid w:val="00AD6708"/>
    <w:rsid w:val="00AD69C3"/>
    <w:rsid w:val="00AF4A32"/>
    <w:rsid w:val="00B04C33"/>
    <w:rsid w:val="00B13C3D"/>
    <w:rsid w:val="00B16481"/>
    <w:rsid w:val="00B16FA7"/>
    <w:rsid w:val="00B3679B"/>
    <w:rsid w:val="00B46967"/>
    <w:rsid w:val="00B51ACB"/>
    <w:rsid w:val="00B82B88"/>
    <w:rsid w:val="00B85C90"/>
    <w:rsid w:val="00BA0734"/>
    <w:rsid w:val="00BA739F"/>
    <w:rsid w:val="00BE2932"/>
    <w:rsid w:val="00BE3009"/>
    <w:rsid w:val="00BE4762"/>
    <w:rsid w:val="00BF0266"/>
    <w:rsid w:val="00BF0571"/>
    <w:rsid w:val="00C043F7"/>
    <w:rsid w:val="00C05401"/>
    <w:rsid w:val="00C1666D"/>
    <w:rsid w:val="00C22713"/>
    <w:rsid w:val="00C302E2"/>
    <w:rsid w:val="00C33EBA"/>
    <w:rsid w:val="00C37272"/>
    <w:rsid w:val="00C5522E"/>
    <w:rsid w:val="00C6154E"/>
    <w:rsid w:val="00C63964"/>
    <w:rsid w:val="00C730C0"/>
    <w:rsid w:val="00C75F82"/>
    <w:rsid w:val="00C85429"/>
    <w:rsid w:val="00CC311D"/>
    <w:rsid w:val="00CD542B"/>
    <w:rsid w:val="00CD627D"/>
    <w:rsid w:val="00CD62C4"/>
    <w:rsid w:val="00CE1544"/>
    <w:rsid w:val="00CE22A6"/>
    <w:rsid w:val="00CE483E"/>
    <w:rsid w:val="00CE713A"/>
    <w:rsid w:val="00CF3208"/>
    <w:rsid w:val="00D1149E"/>
    <w:rsid w:val="00D403F9"/>
    <w:rsid w:val="00D41FDC"/>
    <w:rsid w:val="00D4296D"/>
    <w:rsid w:val="00D44386"/>
    <w:rsid w:val="00D50CCA"/>
    <w:rsid w:val="00D52C9D"/>
    <w:rsid w:val="00D570B3"/>
    <w:rsid w:val="00D622C9"/>
    <w:rsid w:val="00D641D3"/>
    <w:rsid w:val="00D65FF0"/>
    <w:rsid w:val="00D764E2"/>
    <w:rsid w:val="00D773EC"/>
    <w:rsid w:val="00D809D6"/>
    <w:rsid w:val="00D86EC0"/>
    <w:rsid w:val="00D927AC"/>
    <w:rsid w:val="00D9486A"/>
    <w:rsid w:val="00DA1DFD"/>
    <w:rsid w:val="00DA5A53"/>
    <w:rsid w:val="00DB11D4"/>
    <w:rsid w:val="00DD3A3D"/>
    <w:rsid w:val="00DD43D2"/>
    <w:rsid w:val="00DE0C01"/>
    <w:rsid w:val="00DE3B7D"/>
    <w:rsid w:val="00DE4A14"/>
    <w:rsid w:val="00DF1C1B"/>
    <w:rsid w:val="00E00835"/>
    <w:rsid w:val="00E13B2C"/>
    <w:rsid w:val="00E2117E"/>
    <w:rsid w:val="00E23EF0"/>
    <w:rsid w:val="00E31519"/>
    <w:rsid w:val="00E3500E"/>
    <w:rsid w:val="00E35EAF"/>
    <w:rsid w:val="00E36AEB"/>
    <w:rsid w:val="00E51F0C"/>
    <w:rsid w:val="00E70AD5"/>
    <w:rsid w:val="00E86055"/>
    <w:rsid w:val="00E8689E"/>
    <w:rsid w:val="00E906AB"/>
    <w:rsid w:val="00E943B5"/>
    <w:rsid w:val="00EA5BF4"/>
    <w:rsid w:val="00EB4094"/>
    <w:rsid w:val="00EB42D1"/>
    <w:rsid w:val="00ED39EF"/>
    <w:rsid w:val="00EE6945"/>
    <w:rsid w:val="00EF0AF7"/>
    <w:rsid w:val="00F0363E"/>
    <w:rsid w:val="00F15EE5"/>
    <w:rsid w:val="00F460C2"/>
    <w:rsid w:val="00F5648A"/>
    <w:rsid w:val="00F670B0"/>
    <w:rsid w:val="00F70859"/>
    <w:rsid w:val="00F76910"/>
    <w:rsid w:val="00F76FE4"/>
    <w:rsid w:val="00F82514"/>
    <w:rsid w:val="00F83CF5"/>
    <w:rsid w:val="00F92DCA"/>
    <w:rsid w:val="00FA3443"/>
    <w:rsid w:val="00FA770C"/>
    <w:rsid w:val="00FA7F8C"/>
    <w:rsid w:val="00FB0037"/>
    <w:rsid w:val="00FB3C05"/>
    <w:rsid w:val="00FB40F6"/>
    <w:rsid w:val="00FC1236"/>
    <w:rsid w:val="00FF17F7"/>
    <w:rsid w:val="00FF32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D6B"/>
  </w:style>
  <w:style w:type="paragraph" w:styleId="Heading1">
    <w:name w:val="heading 1"/>
    <w:basedOn w:val="ListParagraph"/>
    <w:next w:val="Normal"/>
    <w:link w:val="Heading1Char"/>
    <w:uiPriority w:val="9"/>
    <w:qFormat/>
    <w:rsid w:val="004A5D6B"/>
    <w:pPr>
      <w:numPr>
        <w:numId w:val="2"/>
      </w:numPr>
      <w:outlineLvl w:val="0"/>
    </w:pPr>
    <w:rPr>
      <w:rFonts w:ascii="Times New Roman" w:hAnsi="Times New Roman" w:cs="Times New Roman"/>
      <w:b/>
      <w:u w:val="single"/>
    </w:rPr>
  </w:style>
  <w:style w:type="paragraph" w:styleId="Heading2">
    <w:name w:val="heading 2"/>
    <w:basedOn w:val="ListParagraph"/>
    <w:next w:val="Normal"/>
    <w:link w:val="Heading2Char"/>
    <w:uiPriority w:val="9"/>
    <w:unhideWhenUsed/>
    <w:qFormat/>
    <w:rsid w:val="006473FA"/>
    <w:pPr>
      <w:numPr>
        <w:numId w:val="4"/>
      </w:numPr>
      <w:outlineLvl w:val="1"/>
    </w:pPr>
    <w:rPr>
      <w:rFonts w:ascii="Times New Roman" w:hAnsi="Times New Roman" w:cs="Times New Roman"/>
      <w:b/>
    </w:rPr>
  </w:style>
  <w:style w:type="paragraph" w:styleId="Heading3">
    <w:name w:val="heading 3"/>
    <w:basedOn w:val="ListParagraph"/>
    <w:next w:val="Normal"/>
    <w:link w:val="Heading3Char"/>
    <w:uiPriority w:val="9"/>
    <w:unhideWhenUsed/>
    <w:qFormat/>
    <w:rsid w:val="006473FA"/>
    <w:pPr>
      <w:numPr>
        <w:numId w:val="5"/>
      </w:numPr>
      <w:outlineLvl w:val="2"/>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D6B"/>
  </w:style>
  <w:style w:type="paragraph" w:styleId="Footer">
    <w:name w:val="footer"/>
    <w:basedOn w:val="Normal"/>
    <w:link w:val="FooterChar"/>
    <w:uiPriority w:val="99"/>
    <w:unhideWhenUsed/>
    <w:rsid w:val="004A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D6B"/>
  </w:style>
  <w:style w:type="character" w:customStyle="1" w:styleId="Heading1Char">
    <w:name w:val="Heading 1 Char"/>
    <w:basedOn w:val="DefaultParagraphFont"/>
    <w:link w:val="Heading1"/>
    <w:uiPriority w:val="9"/>
    <w:rsid w:val="004A5D6B"/>
    <w:rPr>
      <w:rFonts w:ascii="Times New Roman" w:hAnsi="Times New Roman" w:cs="Times New Roman"/>
      <w:b/>
      <w:u w:val="single"/>
    </w:rPr>
  </w:style>
  <w:style w:type="paragraph" w:styleId="TOCHeading">
    <w:name w:val="TOC Heading"/>
    <w:basedOn w:val="Heading1"/>
    <w:next w:val="Normal"/>
    <w:uiPriority w:val="39"/>
    <w:unhideWhenUsed/>
    <w:qFormat/>
    <w:rsid w:val="004A5D6B"/>
    <w:pPr>
      <w:tabs>
        <w:tab w:val="left" w:pos="720"/>
      </w:tabs>
      <w:outlineLvl w:val="9"/>
    </w:pPr>
  </w:style>
  <w:style w:type="paragraph" w:styleId="TOC1">
    <w:name w:val="toc 1"/>
    <w:basedOn w:val="Normal"/>
    <w:next w:val="Normal"/>
    <w:autoRedefine/>
    <w:uiPriority w:val="39"/>
    <w:unhideWhenUsed/>
    <w:rsid w:val="003A637D"/>
    <w:pPr>
      <w:tabs>
        <w:tab w:val="left" w:pos="450"/>
        <w:tab w:val="right" w:leader="dot" w:pos="9350"/>
      </w:tabs>
      <w:spacing w:before="120" w:after="100"/>
      <w:jc w:val="center"/>
    </w:pPr>
    <w:rPr>
      <w:rFonts w:ascii="Times New Roman" w:hAnsi="Times New Roman" w:eastAsiaTheme="minorEastAsia" w:cs="Times New Roman"/>
      <w:noProof/>
    </w:rPr>
  </w:style>
  <w:style w:type="paragraph" w:styleId="ListParagraph">
    <w:name w:val="List Paragraph"/>
    <w:basedOn w:val="Normal"/>
    <w:uiPriority w:val="34"/>
    <w:qFormat/>
    <w:rsid w:val="004A5D6B"/>
    <w:pPr>
      <w:ind w:left="720"/>
      <w:contextualSpacing/>
    </w:pPr>
  </w:style>
  <w:style w:type="character" w:styleId="Hyperlink">
    <w:name w:val="Hyperlink"/>
    <w:basedOn w:val="DefaultParagraphFont"/>
    <w:uiPriority w:val="99"/>
    <w:unhideWhenUsed/>
    <w:rsid w:val="004A5D6B"/>
    <w:rPr>
      <w:color w:val="0563C1" w:themeColor="hyperlink"/>
      <w:u w:val="single"/>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basedOn w:val="Normal"/>
    <w:link w:val="FootnoteTextChar"/>
    <w:unhideWhenUsed/>
    <w:rsid w:val="00DD43D2"/>
    <w:pPr>
      <w:spacing w:after="0" w:line="240" w:lineRule="auto"/>
    </w:pPr>
    <w:rPr>
      <w:sz w:val="20"/>
      <w:szCs w:val="20"/>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basedOn w:val="DefaultParagraphFont"/>
    <w:link w:val="FootnoteText"/>
    <w:rsid w:val="00DD43D2"/>
    <w:rPr>
      <w:sz w:val="20"/>
      <w:szCs w:val="20"/>
    </w:rPr>
  </w:style>
  <w:style w:type="character" w:styleId="FootnoteReference">
    <w:name w:val="footnote reference"/>
    <w:basedOn w:val="DefaultParagraphFont"/>
    <w:uiPriority w:val="99"/>
    <w:semiHidden/>
    <w:unhideWhenUsed/>
    <w:rsid w:val="00DD43D2"/>
    <w:rPr>
      <w:vertAlign w:val="superscript"/>
    </w:rPr>
  </w:style>
  <w:style w:type="character" w:customStyle="1" w:styleId="Heading2Char">
    <w:name w:val="Heading 2 Char"/>
    <w:basedOn w:val="DefaultParagraphFont"/>
    <w:link w:val="Heading2"/>
    <w:uiPriority w:val="9"/>
    <w:rsid w:val="006473FA"/>
    <w:rPr>
      <w:rFonts w:ascii="Times New Roman" w:hAnsi="Times New Roman" w:cs="Times New Roman"/>
      <w:b/>
    </w:rPr>
  </w:style>
  <w:style w:type="paragraph" w:styleId="TOC2">
    <w:name w:val="toc 2"/>
    <w:basedOn w:val="Normal"/>
    <w:next w:val="Normal"/>
    <w:autoRedefine/>
    <w:uiPriority w:val="39"/>
    <w:unhideWhenUsed/>
    <w:rsid w:val="007B5A28"/>
    <w:pPr>
      <w:numPr>
        <w:numId w:val="13"/>
      </w:numPr>
      <w:tabs>
        <w:tab w:val="left" w:pos="450"/>
        <w:tab w:val="left" w:pos="900"/>
        <w:tab w:val="right" w:leader="dot" w:pos="9350"/>
      </w:tabs>
      <w:spacing w:after="0" w:line="240" w:lineRule="auto"/>
      <w:ind w:left="900" w:hanging="450"/>
    </w:pPr>
  </w:style>
  <w:style w:type="character" w:customStyle="1" w:styleId="Heading3Char">
    <w:name w:val="Heading 3 Char"/>
    <w:basedOn w:val="DefaultParagraphFont"/>
    <w:link w:val="Heading3"/>
    <w:uiPriority w:val="9"/>
    <w:rsid w:val="006473FA"/>
    <w:rPr>
      <w:rFonts w:ascii="Times New Roman" w:hAnsi="Times New Roman" w:cs="Times New Roman"/>
      <w:b/>
    </w:rPr>
  </w:style>
  <w:style w:type="paragraph" w:styleId="TOC3">
    <w:name w:val="toc 3"/>
    <w:basedOn w:val="Normal"/>
    <w:next w:val="Normal"/>
    <w:autoRedefine/>
    <w:uiPriority w:val="39"/>
    <w:unhideWhenUsed/>
    <w:rsid w:val="006473FA"/>
    <w:pPr>
      <w:spacing w:after="100"/>
      <w:ind w:left="440"/>
    </w:pPr>
  </w:style>
  <w:style w:type="character" w:customStyle="1" w:styleId="UnresolvedMention1">
    <w:name w:val="Unresolved Mention1"/>
    <w:basedOn w:val="DefaultParagraphFont"/>
    <w:uiPriority w:val="99"/>
    <w:semiHidden/>
    <w:unhideWhenUsed/>
    <w:rsid w:val="001563B0"/>
    <w:rPr>
      <w:color w:val="808080"/>
      <w:shd w:val="clear" w:color="auto" w:fill="E6E6E6"/>
    </w:rPr>
  </w:style>
  <w:style w:type="paragraph" w:customStyle="1" w:styleId="ParaNum">
    <w:name w:val="ParaNum"/>
    <w:basedOn w:val="Normal"/>
    <w:link w:val="ParaNumChar"/>
    <w:rsid w:val="00931400"/>
    <w:pPr>
      <w:widowControl w:val="0"/>
      <w:numPr>
        <w:numId w:val="9"/>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931400"/>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B82B88"/>
    <w:rPr>
      <w:color w:val="954F72" w:themeColor="followedHyperlink"/>
      <w:u w:val="single"/>
    </w:rPr>
  </w:style>
  <w:style w:type="paragraph" w:styleId="BalloonText">
    <w:name w:val="Balloon Text"/>
    <w:basedOn w:val="Normal"/>
    <w:link w:val="BalloonTextChar"/>
    <w:uiPriority w:val="99"/>
    <w:semiHidden/>
    <w:unhideWhenUsed/>
    <w:rsid w:val="00B82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B88"/>
    <w:rPr>
      <w:rFonts w:ascii="Segoe UI" w:hAnsi="Segoe UI" w:cs="Segoe UI"/>
      <w:sz w:val="18"/>
      <w:szCs w:val="18"/>
    </w:rPr>
  </w:style>
  <w:style w:type="character" w:styleId="CommentReference">
    <w:name w:val="annotation reference"/>
    <w:uiPriority w:val="99"/>
    <w:semiHidden/>
    <w:unhideWhenUsed/>
    <w:rsid w:val="00BE4762"/>
    <w:rPr>
      <w:sz w:val="16"/>
      <w:szCs w:val="16"/>
    </w:rPr>
  </w:style>
  <w:style w:type="paragraph" w:styleId="CommentText">
    <w:name w:val="annotation text"/>
    <w:basedOn w:val="Normal"/>
    <w:link w:val="CommentTextChar"/>
    <w:uiPriority w:val="99"/>
    <w:unhideWhenUsed/>
    <w:rsid w:val="00BE4762"/>
    <w:rPr>
      <w:sz w:val="20"/>
    </w:rPr>
  </w:style>
  <w:style w:type="character" w:customStyle="1" w:styleId="CommentTextChar">
    <w:name w:val="Comment Text Char"/>
    <w:basedOn w:val="DefaultParagraphFont"/>
    <w:link w:val="CommentText"/>
    <w:uiPriority w:val="99"/>
    <w:rsid w:val="00BE4762"/>
    <w:rPr>
      <w:sz w:val="20"/>
    </w:rPr>
  </w:style>
  <w:style w:type="paragraph" w:styleId="CommentSubject">
    <w:name w:val="annotation subject"/>
    <w:basedOn w:val="CommentText"/>
    <w:next w:val="CommentText"/>
    <w:link w:val="CommentSubjectChar"/>
    <w:uiPriority w:val="99"/>
    <w:semiHidden/>
    <w:unhideWhenUsed/>
    <w:rsid w:val="00717793"/>
    <w:pPr>
      <w:spacing w:line="240" w:lineRule="auto"/>
    </w:pPr>
    <w:rPr>
      <w:b/>
      <w:bCs/>
      <w:szCs w:val="20"/>
    </w:rPr>
  </w:style>
  <w:style w:type="character" w:customStyle="1" w:styleId="CommentSubjectChar">
    <w:name w:val="Comment Subject Char"/>
    <w:basedOn w:val="CommentTextChar"/>
    <w:link w:val="CommentSubject"/>
    <w:uiPriority w:val="99"/>
    <w:semiHidden/>
    <w:rsid w:val="00717793"/>
    <w:rPr>
      <w:b/>
      <w:bCs/>
      <w:sz w:val="20"/>
      <w:szCs w:val="20"/>
    </w:rPr>
  </w:style>
  <w:style w:type="paragraph" w:styleId="Revision">
    <w:name w:val="Revision"/>
    <w:hidden/>
    <w:uiPriority w:val="99"/>
    <w:semiHidden/>
    <w:rsid w:val="00C22713"/>
    <w:pPr>
      <w:spacing w:after="0" w:line="240" w:lineRule="auto"/>
    </w:pPr>
  </w:style>
  <w:style w:type="character" w:customStyle="1" w:styleId="UnresolvedMention2">
    <w:name w:val="Unresolved Mention2"/>
    <w:basedOn w:val="DefaultParagraphFont"/>
    <w:uiPriority w:val="99"/>
    <w:semiHidden/>
    <w:unhideWhenUsed/>
    <w:rsid w:val="008E03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docs.fcc.gov/public/attachments/FCC-18-73A1.pdf" TargetMode="External" /><Relationship Id="rId8" Type="http://schemas.openxmlformats.org/officeDocument/2006/relationships/hyperlink" Target="https://www.gpo.gov/fdsys/pkg/FR-2018-07-20/pdf/2018-14806.pdf" TargetMode="Externa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