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P="00013A8B">
      <w:pPr>
        <w:jc w:val="right"/>
        <w:rPr>
          <w:b/>
          <w:sz w:val="24"/>
        </w:rPr>
      </w:pPr>
      <w:r>
        <w:rPr>
          <w:b/>
          <w:sz w:val="24"/>
        </w:rPr>
        <w:t>DA 18-</w:t>
      </w:r>
      <w:r w:rsidR="00BD5E30">
        <w:rPr>
          <w:b/>
          <w:sz w:val="24"/>
        </w:rPr>
        <w:t>993</w:t>
      </w:r>
    </w:p>
    <w:p w:rsidR="00013A8B" w:rsidRPr="00B20363" w:rsidP="00013A8B">
      <w:pPr>
        <w:spacing w:before="60"/>
        <w:jc w:val="right"/>
        <w:rPr>
          <w:b/>
          <w:sz w:val="24"/>
        </w:rPr>
      </w:pPr>
      <w:r>
        <w:rPr>
          <w:b/>
          <w:sz w:val="24"/>
        </w:rPr>
        <w:t>September 27, 2018</w:t>
      </w:r>
    </w:p>
    <w:p w:rsidR="00013A8B" w:rsidP="00013A8B">
      <w:pPr>
        <w:jc w:val="right"/>
        <w:rPr>
          <w:sz w:val="24"/>
        </w:rPr>
      </w:pPr>
    </w:p>
    <w:p w:rsidR="00013A8B" w:rsidP="00013A8B">
      <w:pPr>
        <w:spacing w:after="240"/>
        <w:jc w:val="center"/>
        <w:rPr>
          <w:b/>
          <w:sz w:val="24"/>
        </w:rPr>
      </w:pPr>
      <w:r>
        <w:rPr>
          <w:b/>
          <w:sz w:val="24"/>
        </w:rPr>
        <w:t xml:space="preserve">INTERNATIONAL BUREAU SEEKS COMMENT ON EUTELSAT S.A. </w:t>
      </w:r>
      <w:r w:rsidRPr="00D273CF" w:rsidR="00D273CF">
        <w:rPr>
          <w:b/>
          <w:sz w:val="24"/>
        </w:rPr>
        <w:t xml:space="preserve">PETITION FOR CLARIFICATION </w:t>
      </w:r>
      <w:r w:rsidR="00BA7EF8">
        <w:rPr>
          <w:b/>
          <w:sz w:val="24"/>
        </w:rPr>
        <w:t xml:space="preserve">OR DECLARATORY RULING </w:t>
      </w:r>
      <w:r w:rsidR="00387738">
        <w:rPr>
          <w:b/>
          <w:sz w:val="24"/>
        </w:rPr>
        <w:t xml:space="preserve">REGARDING </w:t>
      </w:r>
      <w:r w:rsidR="009C731A">
        <w:rPr>
          <w:b/>
          <w:sz w:val="24"/>
        </w:rPr>
        <w:t xml:space="preserve">NOTICES </w:t>
      </w:r>
      <w:r w:rsidR="00D273CF">
        <w:rPr>
          <w:b/>
          <w:sz w:val="24"/>
        </w:rPr>
        <w:t xml:space="preserve">OF </w:t>
      </w:r>
      <w:r w:rsidR="009C731A">
        <w:rPr>
          <w:b/>
          <w:sz w:val="24"/>
        </w:rPr>
        <w:t>“</w:t>
      </w:r>
      <w:r w:rsidR="00D273CF">
        <w:rPr>
          <w:b/>
          <w:sz w:val="24"/>
        </w:rPr>
        <w:t>NON</w:t>
      </w:r>
      <w:r w:rsidRPr="00D273CF" w:rsidR="00D273CF">
        <w:rPr>
          <w:b/>
          <w:sz w:val="24"/>
        </w:rPr>
        <w:t>-ROUTINE</w:t>
      </w:r>
      <w:r w:rsidR="009C731A">
        <w:rPr>
          <w:b/>
          <w:sz w:val="24"/>
        </w:rPr>
        <w:t>” SATELLITE AND EARTH STATION</w:t>
      </w:r>
      <w:r w:rsidRPr="00D273CF" w:rsidR="00D273CF">
        <w:rPr>
          <w:b/>
          <w:sz w:val="24"/>
        </w:rPr>
        <w:t xml:space="preserve"> </w:t>
      </w:r>
      <w:r w:rsidR="009C731A">
        <w:rPr>
          <w:b/>
          <w:sz w:val="24"/>
        </w:rPr>
        <w:t>POWER LEVELS</w:t>
      </w:r>
      <w:r w:rsidR="00387738">
        <w:rPr>
          <w:b/>
          <w:sz w:val="24"/>
        </w:rPr>
        <w:t xml:space="preserve"> PURSUANT TO SECTION 25.140(d)</w:t>
      </w:r>
    </w:p>
    <w:p w:rsidR="00013A8B" w:rsidP="00013A8B">
      <w:pPr>
        <w:jc w:val="center"/>
        <w:rPr>
          <w:b/>
          <w:sz w:val="24"/>
        </w:rPr>
      </w:pPr>
      <w:r>
        <w:rPr>
          <w:b/>
          <w:sz w:val="24"/>
        </w:rPr>
        <w:t>IB Docket No. 12-267</w:t>
      </w:r>
    </w:p>
    <w:p w:rsidR="00D64A51" w:rsidP="00F96F63">
      <w:pPr>
        <w:rPr>
          <w:b/>
          <w:sz w:val="24"/>
        </w:rPr>
      </w:pPr>
      <w:bookmarkStart w:id="0" w:name="TOChere"/>
    </w:p>
    <w:p w:rsidR="004C3B28" w:rsidP="00F96F63">
      <w:pPr>
        <w:rPr>
          <w:b/>
          <w:sz w:val="24"/>
        </w:rPr>
      </w:pPr>
      <w:bookmarkEnd w:id="0"/>
      <w:r>
        <w:rPr>
          <w:b/>
          <w:sz w:val="24"/>
        </w:rPr>
        <w:t>Comment Date:</w:t>
      </w:r>
      <w:r w:rsidR="006A4A51">
        <w:rPr>
          <w:b/>
          <w:sz w:val="24"/>
        </w:rPr>
        <w:t xml:space="preserve">  October </w:t>
      </w:r>
      <w:r w:rsidR="00B30E88">
        <w:rPr>
          <w:b/>
          <w:sz w:val="24"/>
        </w:rPr>
        <w:t>29</w:t>
      </w:r>
      <w:r w:rsidR="006A4A51">
        <w:rPr>
          <w:b/>
          <w:sz w:val="24"/>
        </w:rPr>
        <w:t>, 2018</w:t>
      </w:r>
    </w:p>
    <w:p w:rsidR="00F96F63" w:rsidRPr="00D273CF" w:rsidP="00F96F63">
      <w:pPr>
        <w:rPr>
          <w:b/>
          <w:sz w:val="24"/>
        </w:rPr>
      </w:pPr>
      <w:r>
        <w:rPr>
          <w:b/>
          <w:sz w:val="24"/>
        </w:rPr>
        <w:t>Reply Comment Date:</w:t>
      </w:r>
      <w:r w:rsidR="006A4A51">
        <w:rPr>
          <w:b/>
          <w:sz w:val="24"/>
        </w:rPr>
        <w:t xml:space="preserve">  November </w:t>
      </w:r>
      <w:r w:rsidR="00B30E88">
        <w:rPr>
          <w:b/>
          <w:sz w:val="24"/>
        </w:rPr>
        <w:t>13</w:t>
      </w:r>
      <w:bookmarkStart w:id="1" w:name="_GoBack"/>
      <w:bookmarkEnd w:id="1"/>
      <w:r w:rsidR="006A4A51">
        <w:rPr>
          <w:b/>
          <w:sz w:val="24"/>
        </w:rPr>
        <w:t>, 2018</w:t>
      </w:r>
    </w:p>
    <w:p w:rsidR="00D273CF" w:rsidP="00F96F63">
      <w:pPr>
        <w:rPr>
          <w:sz w:val="24"/>
        </w:rPr>
      </w:pPr>
    </w:p>
    <w:p w:rsidR="00D273CF" w:rsidP="00F96F63">
      <w:pPr>
        <w:rPr>
          <w:sz w:val="24"/>
        </w:rPr>
      </w:pPr>
    </w:p>
    <w:p w:rsidR="004C3B28" w:rsidP="00D273CF">
      <w:pPr>
        <w:rPr>
          <w:sz w:val="24"/>
        </w:rPr>
      </w:pPr>
      <w:r w:rsidRPr="00D273CF">
        <w:rPr>
          <w:sz w:val="24"/>
        </w:rPr>
        <w:t xml:space="preserve">Eutelsat S.A. </w:t>
      </w:r>
      <w:r w:rsidR="00D64A51">
        <w:rPr>
          <w:sz w:val="24"/>
        </w:rPr>
        <w:t>has petitioned the International Bureau</w:t>
      </w:r>
      <w:r w:rsidRPr="00D273CF">
        <w:rPr>
          <w:sz w:val="24"/>
        </w:rPr>
        <w:t xml:space="preserve"> to clarify or issue a declaratory ruling to remove </w:t>
      </w:r>
      <w:r w:rsidR="00387738">
        <w:rPr>
          <w:sz w:val="24"/>
        </w:rPr>
        <w:t xml:space="preserve">alleged </w:t>
      </w:r>
      <w:r w:rsidRPr="00D273CF">
        <w:rPr>
          <w:sz w:val="24"/>
        </w:rPr>
        <w:t>uncertainty</w:t>
      </w:r>
      <w:r w:rsidR="00D64A51">
        <w:rPr>
          <w:sz w:val="24"/>
        </w:rPr>
        <w:t xml:space="preserve"> </w:t>
      </w:r>
      <w:r w:rsidRPr="00D273CF">
        <w:rPr>
          <w:sz w:val="24"/>
        </w:rPr>
        <w:t xml:space="preserve">regarding the policies associated with notifications of </w:t>
      </w:r>
      <w:r w:rsidR="00D64A51">
        <w:rPr>
          <w:sz w:val="24"/>
        </w:rPr>
        <w:t>“</w:t>
      </w:r>
      <w:r w:rsidRPr="00D273CF">
        <w:rPr>
          <w:sz w:val="24"/>
        </w:rPr>
        <w:t>non-routine</w:t>
      </w:r>
      <w:r w:rsidR="00D64A51">
        <w:rPr>
          <w:sz w:val="24"/>
        </w:rPr>
        <w:t>”</w:t>
      </w:r>
      <w:r w:rsidRPr="00D273CF">
        <w:rPr>
          <w:sz w:val="24"/>
        </w:rPr>
        <w:t xml:space="preserve"> earth station and </w:t>
      </w:r>
      <w:r w:rsidR="00D64A51">
        <w:rPr>
          <w:sz w:val="24"/>
        </w:rPr>
        <w:t xml:space="preserve">space station </w:t>
      </w:r>
      <w:r w:rsidRPr="00D273CF">
        <w:rPr>
          <w:sz w:val="24"/>
        </w:rPr>
        <w:t xml:space="preserve">transmission levels submitted </w:t>
      </w:r>
      <w:r w:rsidR="00D64A51">
        <w:rPr>
          <w:sz w:val="24"/>
        </w:rPr>
        <w:t>under</w:t>
      </w:r>
      <w:r w:rsidRPr="00D273CF">
        <w:rPr>
          <w:sz w:val="24"/>
        </w:rPr>
        <w:t xml:space="preserve"> Section 25.140(d) of the </w:t>
      </w:r>
      <w:r w:rsidR="00D64A51">
        <w:rPr>
          <w:sz w:val="24"/>
        </w:rPr>
        <w:t xml:space="preserve">Commission’s </w:t>
      </w:r>
      <w:r w:rsidR="00387738">
        <w:rPr>
          <w:sz w:val="24"/>
        </w:rPr>
        <w:t>r</w:t>
      </w:r>
      <w:r w:rsidRPr="00D273CF">
        <w:rPr>
          <w:sz w:val="24"/>
        </w:rPr>
        <w:t>ules.</w:t>
      </w:r>
      <w:r>
        <w:rPr>
          <w:rStyle w:val="FootnoteReference"/>
        </w:rPr>
        <w:footnoteReference w:id="3"/>
      </w:r>
      <w:r w:rsidRPr="00D273CF">
        <w:rPr>
          <w:sz w:val="24"/>
        </w:rPr>
        <w:t xml:space="preserve"> </w:t>
      </w:r>
      <w:r w:rsidR="00D64A51">
        <w:rPr>
          <w:sz w:val="24"/>
        </w:rPr>
        <w:t xml:space="preserve"> </w:t>
      </w:r>
      <w:r w:rsidRPr="00D273CF">
        <w:rPr>
          <w:sz w:val="24"/>
        </w:rPr>
        <w:t>Eutelsat seeks clarification</w:t>
      </w:r>
      <w:r w:rsidR="00387738">
        <w:rPr>
          <w:sz w:val="24"/>
        </w:rPr>
        <w:t>, or a declaratory ruling,</w:t>
      </w:r>
      <w:r w:rsidRPr="00D273CF">
        <w:rPr>
          <w:sz w:val="24"/>
        </w:rPr>
        <w:t xml:space="preserve"> that (</w:t>
      </w:r>
      <w:r w:rsidRPr="00D273CF">
        <w:rPr>
          <w:sz w:val="24"/>
        </w:rPr>
        <w:t>i</w:t>
      </w:r>
      <w:r w:rsidRPr="00D273CF">
        <w:rPr>
          <w:sz w:val="24"/>
        </w:rPr>
        <w:t>) continuation of non-routine transmission</w:t>
      </w:r>
      <w:r w:rsidR="00D64A51">
        <w:rPr>
          <w:sz w:val="24"/>
        </w:rPr>
        <w:t xml:space="preserve"> </w:t>
      </w:r>
      <w:r w:rsidRPr="00D273CF">
        <w:rPr>
          <w:sz w:val="24"/>
        </w:rPr>
        <w:t>levels notified by a satellite operator pursuant to Section 25.140(d) is limited to</w:t>
      </w:r>
      <w:r w:rsidR="00D64A51">
        <w:rPr>
          <w:sz w:val="24"/>
        </w:rPr>
        <w:t xml:space="preserve"> </w:t>
      </w:r>
      <w:r w:rsidRPr="00D273CF">
        <w:rPr>
          <w:sz w:val="24"/>
        </w:rPr>
        <w:t>previously authorized power levels; and (ii) inaccurate information in Section 25</w:t>
      </w:r>
      <w:r w:rsidR="009C731A">
        <w:rPr>
          <w:sz w:val="24"/>
        </w:rPr>
        <w:t>.140(</w:t>
      </w:r>
      <w:r w:rsidRPr="00D273CF">
        <w:rPr>
          <w:sz w:val="24"/>
        </w:rPr>
        <w:t>d)</w:t>
      </w:r>
      <w:r w:rsidR="00D64A51">
        <w:rPr>
          <w:sz w:val="24"/>
        </w:rPr>
        <w:t xml:space="preserve"> </w:t>
      </w:r>
      <w:r w:rsidRPr="00D273CF">
        <w:rPr>
          <w:sz w:val="24"/>
        </w:rPr>
        <w:t>notifications cannot enable</w:t>
      </w:r>
      <w:r w:rsidR="00D64A51">
        <w:rPr>
          <w:sz w:val="24"/>
        </w:rPr>
        <w:t xml:space="preserve"> </w:t>
      </w:r>
      <w:r w:rsidRPr="00D273CF">
        <w:rPr>
          <w:sz w:val="24"/>
        </w:rPr>
        <w:t>higher-power operations or constrain the operation of a satellite operating at routine power</w:t>
      </w:r>
      <w:r w:rsidR="00D64A51">
        <w:rPr>
          <w:sz w:val="24"/>
        </w:rPr>
        <w:t xml:space="preserve"> </w:t>
      </w:r>
      <w:r w:rsidRPr="00D273CF">
        <w:rPr>
          <w:sz w:val="24"/>
        </w:rPr>
        <w:t>levels.</w:t>
      </w:r>
      <w:r>
        <w:rPr>
          <w:sz w:val="24"/>
        </w:rPr>
        <w:t xml:space="preserve">  </w:t>
      </w:r>
    </w:p>
    <w:p w:rsidR="004C3B28" w:rsidP="00D273CF">
      <w:pPr>
        <w:rPr>
          <w:sz w:val="24"/>
        </w:rPr>
      </w:pPr>
    </w:p>
    <w:p w:rsidR="00930ECF" w:rsidP="00D273CF">
      <w:pPr>
        <w:rPr>
          <w:sz w:val="24"/>
        </w:rPr>
      </w:pPr>
      <w:r>
        <w:rPr>
          <w:sz w:val="24"/>
        </w:rPr>
        <w:t>We seek comment on these and any other issues raised by the petition.</w:t>
      </w:r>
    </w:p>
    <w:p w:rsidR="00D64A51" w:rsidP="00D273CF">
      <w:pPr>
        <w:rPr>
          <w:sz w:val="24"/>
        </w:rPr>
      </w:pPr>
    </w:p>
    <w:p w:rsidR="00E947CD" w:rsidRPr="00470D28" w:rsidP="00E947CD">
      <w:pPr>
        <w:rPr>
          <w:sz w:val="24"/>
        </w:rPr>
      </w:pPr>
      <w:r w:rsidRPr="00470D28">
        <w:rPr>
          <w:sz w:val="24"/>
        </w:rPr>
        <w:t xml:space="preserve">Pursuant to </w:t>
      </w:r>
      <w:r>
        <w:rPr>
          <w:sz w:val="24"/>
        </w:rPr>
        <w:t>S</w:t>
      </w:r>
      <w:r w:rsidR="006A4A51">
        <w:rPr>
          <w:sz w:val="24"/>
        </w:rPr>
        <w:t>ection 1.2</w:t>
      </w:r>
      <w:r w:rsidRPr="00470D28">
        <w:rPr>
          <w:sz w:val="24"/>
        </w:rPr>
        <w:t xml:space="preserve"> of the Commission</w:t>
      </w:r>
      <w:r w:rsidR="006A4A51">
        <w:rPr>
          <w:sz w:val="24"/>
        </w:rPr>
        <w:t>’s rules, 47 CFR § 1.2</w:t>
      </w:r>
      <w:r w:rsidRPr="00470D28">
        <w:rPr>
          <w:sz w:val="24"/>
        </w:rPr>
        <w:t xml:space="preserve">, interested parties may file comments and reply comments on or before the dates indicated on the first page of this document.  Comments may be filed using the Commission’s Electronic Comment Filing System (ECFS).  </w:t>
      </w:r>
      <w:r w:rsidRPr="00470D28">
        <w:rPr>
          <w:i/>
          <w:sz w:val="24"/>
        </w:rPr>
        <w:t>See Electronic Filing of Documents in Rulemaking Proceedings</w:t>
      </w:r>
      <w:r w:rsidRPr="00470D28">
        <w:rPr>
          <w:sz w:val="24"/>
        </w:rPr>
        <w:t>, 63 FR 24121 (1998).</w:t>
      </w:r>
    </w:p>
    <w:p w:rsidR="00E947CD" w:rsidRPr="00470D28" w:rsidP="00E947CD">
      <w:pPr>
        <w:rPr>
          <w:sz w:val="24"/>
        </w:rPr>
      </w:pPr>
    </w:p>
    <w:p w:rsidR="00E947CD" w:rsidRPr="00470D28" w:rsidP="00E947CD">
      <w:pPr>
        <w:widowControl/>
        <w:numPr>
          <w:ilvl w:val="0"/>
          <w:numId w:val="10"/>
        </w:numPr>
        <w:rPr>
          <w:sz w:val="24"/>
        </w:rPr>
      </w:pPr>
      <w:r w:rsidRPr="00470D28">
        <w:rPr>
          <w:sz w:val="24"/>
        </w:rPr>
        <w:t xml:space="preserve">Electronic Filers:  Comments may be filed electronically using the Internet by accessing the ECFS:  </w:t>
      </w:r>
      <w:r>
        <w:fldChar w:fldCharType="begin"/>
      </w:r>
      <w:r>
        <w:instrText xml:space="preserve"> HYPERLINK "http://apps.fcc.gov/ecfs/" </w:instrText>
      </w:r>
      <w:r>
        <w:fldChar w:fldCharType="separate"/>
      </w:r>
      <w:r>
        <w:rPr>
          <w:color w:val="0000FF"/>
          <w:sz w:val="24"/>
          <w:u w:val="single"/>
        </w:rPr>
        <w:t>http://apps.fcc.gov/ecfs/</w:t>
      </w:r>
      <w:r>
        <w:fldChar w:fldCharType="end"/>
      </w:r>
      <w:r w:rsidRPr="00470D28">
        <w:rPr>
          <w:sz w:val="24"/>
        </w:rPr>
        <w:t xml:space="preserve">.  </w:t>
      </w:r>
    </w:p>
    <w:p w:rsidR="00E947CD" w:rsidRPr="00470D28" w:rsidP="00E947CD">
      <w:pPr>
        <w:rPr>
          <w:sz w:val="24"/>
        </w:rPr>
      </w:pPr>
    </w:p>
    <w:p w:rsidR="00E947CD" w:rsidRPr="00470D28" w:rsidP="00E947CD">
      <w:pPr>
        <w:widowControl/>
        <w:numPr>
          <w:ilvl w:val="0"/>
          <w:numId w:val="8"/>
        </w:numPr>
        <w:rPr>
          <w:sz w:val="24"/>
        </w:rPr>
      </w:pPr>
      <w:r w:rsidRPr="00470D28">
        <w:rPr>
          <w:sz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47CD" w:rsidRPr="00470D28" w:rsidP="00E947CD">
      <w:pPr>
        <w:rPr>
          <w:sz w:val="24"/>
        </w:rPr>
      </w:pPr>
    </w:p>
    <w:p w:rsidR="00E947CD" w:rsidRPr="00470D28" w:rsidP="00E947CD">
      <w:pPr>
        <w:ind w:left="720"/>
        <w:rPr>
          <w:sz w:val="24"/>
        </w:rPr>
      </w:pPr>
      <w:r w:rsidRPr="00470D28">
        <w:rPr>
          <w:sz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947CD" w:rsidRPr="00470D28" w:rsidP="00E947CD">
      <w:pPr>
        <w:rPr>
          <w:sz w:val="24"/>
        </w:rPr>
      </w:pPr>
    </w:p>
    <w:p w:rsidR="00E947CD" w:rsidRPr="00470D28" w:rsidP="00E947CD">
      <w:pPr>
        <w:widowControl/>
        <w:numPr>
          <w:ilvl w:val="0"/>
          <w:numId w:val="9"/>
        </w:numPr>
        <w:rPr>
          <w:sz w:val="24"/>
        </w:rPr>
      </w:pPr>
      <w:r w:rsidRPr="00470D28">
        <w:rPr>
          <w:sz w:val="24"/>
        </w:rP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rsidRPr="00470D28">
            <w:rPr>
              <w:sz w:val="24"/>
            </w:rPr>
            <w:t>445 12</w:t>
          </w:r>
          <w:r w:rsidRPr="00470D28">
            <w:rPr>
              <w:sz w:val="24"/>
              <w:vertAlign w:val="superscript"/>
            </w:rPr>
            <w:t>th</w:t>
          </w:r>
          <w:r w:rsidRPr="00470D28">
            <w:rPr>
              <w:sz w:val="24"/>
            </w:rPr>
            <w:t xml:space="preserve"> St., SW</w:t>
          </w:r>
        </w:smartTag>
      </w:smartTag>
      <w:r w:rsidRPr="00470D28">
        <w:rPr>
          <w:sz w:val="24"/>
        </w:rPr>
        <w:t xml:space="preserve">, Room TW-A325, </w:t>
      </w:r>
      <w:smartTag w:uri="urn:schemas-microsoft-com:office:smarttags" w:element="place">
        <w:smartTag w:uri="urn:schemas-microsoft-com:office:smarttags" w:element="country-region">
          <w:smartTag w:uri="urn:schemas-microsoft-com:office:smarttags" w:element="City">
            <w:r w:rsidRPr="00470D28">
              <w:rPr>
                <w:sz w:val="24"/>
              </w:rPr>
              <w:t>Washington</w:t>
            </w:r>
          </w:smartTag>
          <w:r w:rsidRPr="00470D28">
            <w:rPr>
              <w:sz w:val="24"/>
            </w:rPr>
            <w:t xml:space="preserve">, </w:t>
          </w:r>
          <w:smartTag w:uri="urn:schemas-microsoft-com:office:smarttags" w:element="State">
            <w:r w:rsidRPr="00470D28">
              <w:rPr>
                <w:sz w:val="24"/>
              </w:rPr>
              <w:t>DC</w:t>
            </w:r>
          </w:smartTag>
          <w:r w:rsidRPr="00470D28">
            <w:rPr>
              <w:sz w:val="24"/>
            </w:rPr>
            <w:t xml:space="preserve"> </w:t>
          </w:r>
          <w:smartTag w:uri="urn:schemas-microsoft-com:office:smarttags" w:element="PostalCode">
            <w:r w:rsidRPr="00470D28">
              <w:rPr>
                <w:sz w:val="24"/>
              </w:rPr>
              <w:t>20554</w:t>
            </w:r>
          </w:smartTag>
        </w:smartTag>
      </w:smartTag>
      <w:r w:rsidRPr="00470D28">
        <w:rPr>
          <w:sz w:val="24"/>
        </w:rPr>
        <w:t xml:space="preserve">.  The filing hours are 8:00 a.m. to 7:00 p.m.   All hand deliveries must be held together with rubber bands or fasteners.  Any envelopes and boxes must be disposed of </w:t>
      </w:r>
      <w:r w:rsidRPr="00470D28">
        <w:rPr>
          <w:sz w:val="24"/>
          <w:u w:val="single"/>
        </w:rPr>
        <w:t>before</w:t>
      </w:r>
      <w:r w:rsidRPr="00470D28">
        <w:rPr>
          <w:sz w:val="24"/>
        </w:rPr>
        <w:t xml:space="preserve"> entering the building.  </w:t>
      </w:r>
    </w:p>
    <w:p w:rsidR="00E947CD" w:rsidRPr="00470D28" w:rsidP="00E947CD">
      <w:pPr>
        <w:ind w:left="1080"/>
        <w:rPr>
          <w:sz w:val="24"/>
        </w:rPr>
      </w:pPr>
    </w:p>
    <w:p w:rsidR="00E947CD" w:rsidRPr="008402DB" w:rsidP="00E947CD">
      <w:pPr>
        <w:widowControl/>
        <w:numPr>
          <w:ilvl w:val="0"/>
          <w:numId w:val="9"/>
        </w:numPr>
        <w:rPr>
          <w:sz w:val="24"/>
        </w:rPr>
      </w:pPr>
      <w:r w:rsidRPr="008402DB">
        <w:rPr>
          <w:sz w:val="24"/>
        </w:rPr>
        <w:t>Commercial overnight mail (other than U.S. Postal Service Express Mail and Priority Mail) must be sent to 9050 Junction Drive</w:t>
      </w:r>
      <w:r>
        <w:rPr>
          <w:sz w:val="24"/>
        </w:rPr>
        <w:t xml:space="preserve">, </w:t>
      </w:r>
      <w:r w:rsidRPr="008402DB">
        <w:rPr>
          <w:sz w:val="24"/>
        </w:rPr>
        <w:t>Annapolis Junction, MD 20701.</w:t>
      </w:r>
    </w:p>
    <w:p w:rsidR="00E947CD" w:rsidRPr="00470D28" w:rsidP="00E947CD">
      <w:pPr>
        <w:rPr>
          <w:sz w:val="24"/>
        </w:rPr>
      </w:pPr>
    </w:p>
    <w:p w:rsidR="00E947CD" w:rsidRPr="00470D28" w:rsidP="00E947CD">
      <w:pPr>
        <w:widowControl/>
        <w:numPr>
          <w:ilvl w:val="0"/>
          <w:numId w:val="9"/>
        </w:numPr>
        <w:rPr>
          <w:sz w:val="24"/>
        </w:rPr>
      </w:pPr>
      <w:r w:rsidRPr="00470D28">
        <w:rPr>
          <w:sz w:val="24"/>
        </w:rPr>
        <w:t xml:space="preserve">U.S. Postal Service first-class, Express, and Priority mail must be addressed to </w:t>
      </w:r>
      <w:smartTag w:uri="urn:schemas-microsoft-com:office:smarttags" w:element="address">
        <w:smartTag w:uri="urn:schemas-microsoft-com:office:smarttags" w:element="Street">
          <w:r w:rsidRPr="00470D28">
            <w:rPr>
              <w:sz w:val="24"/>
            </w:rPr>
            <w:t>445 12</w:t>
          </w:r>
          <w:r w:rsidRPr="00470D28">
            <w:rPr>
              <w:sz w:val="24"/>
              <w:vertAlign w:val="superscript"/>
            </w:rPr>
            <w:t>th</w:t>
          </w:r>
          <w:r w:rsidRPr="00470D28">
            <w:rPr>
              <w:sz w:val="24"/>
            </w:rPr>
            <w:t xml:space="preserve"> Street, SW</w:t>
          </w:r>
        </w:smartTag>
        <w:r w:rsidRPr="00470D28">
          <w:rPr>
            <w:sz w:val="24"/>
          </w:rPr>
          <w:t xml:space="preserve">, </w:t>
        </w:r>
        <w:smartTag w:uri="urn:schemas-microsoft-com:office:smarttags" w:element="City">
          <w:r w:rsidRPr="00470D28">
            <w:rPr>
              <w:sz w:val="24"/>
            </w:rPr>
            <w:t>Washington</w:t>
          </w:r>
        </w:smartTag>
        <w:r w:rsidRPr="00470D28">
          <w:rPr>
            <w:sz w:val="24"/>
          </w:rPr>
          <w:t xml:space="preserve"> </w:t>
        </w:r>
        <w:smartTag w:uri="urn:schemas-microsoft-com:office:smarttags" w:element="State">
          <w:r w:rsidRPr="00470D28">
            <w:rPr>
              <w:sz w:val="24"/>
            </w:rPr>
            <w:t>DC</w:t>
          </w:r>
        </w:smartTag>
        <w:r w:rsidRPr="00470D28">
          <w:rPr>
            <w:sz w:val="24"/>
          </w:rPr>
          <w:t xml:space="preserve">  </w:t>
        </w:r>
        <w:smartTag w:uri="urn:schemas-microsoft-com:office:smarttags" w:element="PostalCode">
          <w:r w:rsidRPr="00470D28">
            <w:rPr>
              <w:sz w:val="24"/>
            </w:rPr>
            <w:t>20554</w:t>
          </w:r>
        </w:smartTag>
      </w:smartTag>
      <w:r w:rsidRPr="00470D28">
        <w:rPr>
          <w:sz w:val="24"/>
        </w:rPr>
        <w:t>.</w:t>
      </w:r>
    </w:p>
    <w:p w:rsidR="00E947CD" w:rsidRPr="00470D28" w:rsidP="00E947CD">
      <w:pPr>
        <w:rPr>
          <w:sz w:val="24"/>
        </w:rPr>
      </w:pPr>
    </w:p>
    <w:p w:rsidR="00E947CD" w:rsidP="00E947CD">
      <w:pPr>
        <w:rPr>
          <w:sz w:val="24"/>
        </w:rPr>
      </w:pPr>
      <w:r w:rsidRPr="00470D28">
        <w:rPr>
          <w:sz w:val="24"/>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470D28">
        <w:rPr>
          <w:color w:val="0000FF"/>
          <w:sz w:val="24"/>
          <w:u w:val="single"/>
        </w:rPr>
        <w:t>fcc504@fcc.gov</w:t>
      </w:r>
      <w:r>
        <w:fldChar w:fldCharType="end"/>
      </w:r>
      <w:r w:rsidRPr="00470D28">
        <w:rPr>
          <w:sz w:val="24"/>
        </w:rPr>
        <w:t xml:space="preserve"> or call the Consumer &amp; Governmental Affairs Bureau at 202-418-0530 (voice), 202-418-0432 (</w:t>
      </w:r>
      <w:r w:rsidRPr="00470D28">
        <w:rPr>
          <w:sz w:val="24"/>
        </w:rPr>
        <w:t>tty</w:t>
      </w:r>
      <w:r w:rsidRPr="00470D28">
        <w:rPr>
          <w:sz w:val="24"/>
        </w:rPr>
        <w:t>).</w:t>
      </w:r>
    </w:p>
    <w:p w:rsidR="00E947CD" w:rsidP="00E947CD">
      <w:pPr>
        <w:rPr>
          <w:sz w:val="24"/>
        </w:rPr>
      </w:pPr>
    </w:p>
    <w:p w:rsidR="00E947CD" w:rsidRPr="00D64A51" w:rsidP="00E947CD">
      <w:pPr>
        <w:jc w:val="center"/>
        <w:rPr>
          <w:b/>
          <w:sz w:val="24"/>
        </w:rPr>
      </w:pPr>
      <w:r w:rsidRPr="00D64A51">
        <w:rPr>
          <w:b/>
          <w:sz w:val="24"/>
        </w:rPr>
        <w:t>- FCC -</w:t>
      </w:r>
    </w:p>
    <w:p w:rsidR="00D64A51" w:rsidRPr="00D64A51" w:rsidP="00E947CD">
      <w:pP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73CF">
      <w:r>
        <w:separator/>
      </w:r>
    </w:p>
  </w:footnote>
  <w:footnote w:type="continuationSeparator" w:id="1">
    <w:p w:rsidR="00D273CF">
      <w:pPr>
        <w:rPr>
          <w:sz w:val="20"/>
        </w:rPr>
      </w:pPr>
      <w:r>
        <w:rPr>
          <w:sz w:val="20"/>
        </w:rPr>
        <w:t xml:space="preserve">(Continued from previous page)  </w:t>
      </w:r>
      <w:r>
        <w:rPr>
          <w:sz w:val="20"/>
        </w:rPr>
        <w:separator/>
      </w:r>
    </w:p>
  </w:footnote>
  <w:footnote w:type="continuationNotice" w:id="2">
    <w:p w:rsidR="00D273CF" w:rsidP="00910F12">
      <w:pPr>
        <w:jc w:val="right"/>
        <w:rPr>
          <w:sz w:val="20"/>
        </w:rPr>
      </w:pPr>
      <w:r>
        <w:rPr>
          <w:sz w:val="20"/>
        </w:rPr>
        <w:t>(continued….)</w:t>
      </w:r>
    </w:p>
  </w:footnote>
  <w:footnote w:id="3">
    <w:p w:rsidR="00D64A51" w:rsidP="00D64A51">
      <w:pPr>
        <w:pStyle w:val="FootnoteText"/>
      </w:pPr>
      <w:r>
        <w:rPr>
          <w:rStyle w:val="FootnoteReference"/>
        </w:rPr>
        <w:footnoteRef/>
      </w:r>
      <w:r>
        <w:t xml:space="preserve"> </w:t>
      </w:r>
      <w:r w:rsidRPr="009C731A" w:rsidR="009C731A">
        <w:rPr>
          <w:i/>
        </w:rPr>
        <w:t>See</w:t>
      </w:r>
      <w:r w:rsidR="009C731A">
        <w:t xml:space="preserve"> 47 CFR </w:t>
      </w:r>
      <w:r w:rsidRPr="009C731A" w:rsidR="009C731A">
        <w:t xml:space="preserve">§ </w:t>
      </w:r>
      <w:r w:rsidR="009C731A">
        <w:t xml:space="preserve">25.140(d); </w:t>
      </w:r>
      <w:r w:rsidRPr="00D64A51">
        <w:rPr>
          <w:i/>
        </w:rPr>
        <w:t>Notifications of "Non-Routine" Transmission Levels</w:t>
      </w:r>
      <w:r>
        <w:t>, Public Notice, DA 18-779 (</w:t>
      </w:r>
      <w:r w:rsidR="009C731A">
        <w:t xml:space="preserve">Int’l Bur., Sat. Div., Satellite Policy Branch, </w:t>
      </w:r>
      <w:r>
        <w:t>released July 26,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2F8560B"/>
    <w:multiLevelType w:val="hybridMultilevel"/>
    <w:tmpl w:val="0C1A7C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D5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