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86C189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5F97509" w14:textId="77777777">
      <w:pPr>
        <w:pStyle w:val="StyleBoldCentered"/>
      </w:pPr>
      <w:r>
        <w:t>F</w:t>
      </w:r>
      <w:r>
        <w:rPr>
          <w:caps w:val="0"/>
        </w:rPr>
        <w:t>ederal Communications Commission</w:t>
      </w:r>
    </w:p>
    <w:p w:rsidR="004C2EE3" w:rsidP="00096D8C" w14:paraId="2E0BBC0D" w14:textId="77777777">
      <w:pPr>
        <w:pStyle w:val="StyleBoldCentered"/>
      </w:pPr>
      <w:r>
        <w:rPr>
          <w:caps w:val="0"/>
        </w:rPr>
        <w:t>Washington, D.C. 20554</w:t>
      </w:r>
    </w:p>
    <w:p w:rsidR="004C2EE3" w:rsidP="0070224F" w14:paraId="133A1A23" w14:textId="77777777"/>
    <w:p w:rsidR="004C2EE3" w:rsidP="0070224F" w14:paraId="37097B45" w14:textId="77777777"/>
    <w:tbl>
      <w:tblPr>
        <w:tblW w:w="0" w:type="auto"/>
        <w:tblLayout w:type="fixed"/>
        <w:tblLook w:val="0000"/>
      </w:tblPr>
      <w:tblGrid>
        <w:gridCol w:w="4698"/>
        <w:gridCol w:w="630"/>
        <w:gridCol w:w="4248"/>
      </w:tblGrid>
      <w:tr w14:paraId="15B9CA47" w14:textId="77777777">
        <w:tblPrEx>
          <w:tblW w:w="0" w:type="auto"/>
          <w:tblLayout w:type="fixed"/>
          <w:tblLook w:val="0000"/>
        </w:tblPrEx>
        <w:tc>
          <w:tcPr>
            <w:tcW w:w="4698" w:type="dxa"/>
          </w:tcPr>
          <w:p w:rsidR="004C2EE3" w14:paraId="01CAD5A5" w14:textId="77777777">
            <w:pPr>
              <w:tabs>
                <w:tab w:val="center" w:pos="4680"/>
              </w:tabs>
              <w:suppressAutoHyphens/>
              <w:rPr>
                <w:spacing w:val="-2"/>
              </w:rPr>
            </w:pPr>
            <w:r>
              <w:rPr>
                <w:spacing w:val="-2"/>
              </w:rPr>
              <w:t>In the Matter of</w:t>
            </w:r>
          </w:p>
          <w:p w:rsidR="004C2EE3" w14:paraId="5D72CAAB" w14:textId="77777777">
            <w:pPr>
              <w:tabs>
                <w:tab w:val="center" w:pos="4680"/>
              </w:tabs>
              <w:suppressAutoHyphens/>
              <w:rPr>
                <w:spacing w:val="-2"/>
              </w:rPr>
            </w:pPr>
          </w:p>
          <w:p w:rsidR="00662845" w:rsidP="00662845" w14:paraId="17D5F704" w14:textId="77777777">
            <w:pPr>
              <w:tabs>
                <w:tab w:val="center" w:pos="4680"/>
              </w:tabs>
              <w:suppressAutoHyphens/>
              <w:rPr>
                <w:spacing w:val="-2"/>
              </w:rPr>
            </w:pPr>
            <w:r>
              <w:rPr>
                <w:spacing w:val="-2"/>
              </w:rPr>
              <w:t>Results Broadcasting Rhinelander, Inc.</w:t>
            </w:r>
          </w:p>
          <w:p w:rsidR="00662845" w:rsidP="00662845" w14:paraId="0672065C" w14:textId="77777777">
            <w:pPr>
              <w:tabs>
                <w:tab w:val="center" w:pos="4680"/>
              </w:tabs>
              <w:suppressAutoHyphens/>
              <w:rPr>
                <w:spacing w:val="-2"/>
              </w:rPr>
            </w:pPr>
          </w:p>
          <w:p w:rsidR="00662845" w:rsidP="00662845" w14:paraId="5F6AA9D9" w14:textId="77777777">
            <w:pPr>
              <w:tabs>
                <w:tab w:val="center" w:pos="4680"/>
              </w:tabs>
              <w:suppressAutoHyphens/>
              <w:rPr>
                <w:spacing w:val="-2"/>
              </w:rPr>
            </w:pPr>
            <w:r>
              <w:rPr>
                <w:spacing w:val="-2"/>
              </w:rPr>
              <w:t>Petition for Waiver of Final Payment Deadline</w:t>
            </w:r>
          </w:p>
          <w:p w:rsidR="004C2EE3" w:rsidRPr="007115F7" w:rsidP="00662845" w14:paraId="1A02CD0A" w14:textId="77777777">
            <w:pPr>
              <w:tabs>
                <w:tab w:val="center" w:pos="4680"/>
              </w:tabs>
              <w:suppressAutoHyphens/>
              <w:rPr>
                <w:spacing w:val="-2"/>
              </w:rPr>
            </w:pPr>
            <w:r>
              <w:rPr>
                <w:spacing w:val="-2"/>
              </w:rPr>
              <w:t>For Winning Bids in Auction 94</w:t>
            </w:r>
          </w:p>
        </w:tc>
        <w:tc>
          <w:tcPr>
            <w:tcW w:w="630" w:type="dxa"/>
          </w:tcPr>
          <w:p w:rsidR="004C2EE3" w14:paraId="7880BEFD" w14:textId="77777777">
            <w:pPr>
              <w:tabs>
                <w:tab w:val="center" w:pos="4680"/>
              </w:tabs>
              <w:suppressAutoHyphens/>
              <w:rPr>
                <w:b/>
                <w:spacing w:val="-2"/>
              </w:rPr>
            </w:pPr>
            <w:r>
              <w:rPr>
                <w:b/>
                <w:spacing w:val="-2"/>
              </w:rPr>
              <w:t>)</w:t>
            </w:r>
          </w:p>
          <w:p w:rsidR="004C2EE3" w14:paraId="7E2BDF40" w14:textId="77777777">
            <w:pPr>
              <w:tabs>
                <w:tab w:val="center" w:pos="4680"/>
              </w:tabs>
              <w:suppressAutoHyphens/>
              <w:rPr>
                <w:b/>
                <w:spacing w:val="-2"/>
              </w:rPr>
            </w:pPr>
            <w:r>
              <w:rPr>
                <w:b/>
                <w:spacing w:val="-2"/>
              </w:rPr>
              <w:t>)</w:t>
            </w:r>
          </w:p>
          <w:p w:rsidR="004C2EE3" w14:paraId="74209774" w14:textId="77777777">
            <w:pPr>
              <w:tabs>
                <w:tab w:val="center" w:pos="4680"/>
              </w:tabs>
              <w:suppressAutoHyphens/>
              <w:rPr>
                <w:b/>
                <w:spacing w:val="-2"/>
              </w:rPr>
            </w:pPr>
            <w:r>
              <w:rPr>
                <w:b/>
                <w:spacing w:val="-2"/>
              </w:rPr>
              <w:t>)</w:t>
            </w:r>
          </w:p>
          <w:p w:rsidR="00662845" w14:paraId="215F2B10" w14:textId="77777777">
            <w:pPr>
              <w:tabs>
                <w:tab w:val="center" w:pos="4680"/>
              </w:tabs>
              <w:suppressAutoHyphens/>
              <w:rPr>
                <w:b/>
                <w:spacing w:val="-2"/>
              </w:rPr>
            </w:pPr>
            <w:r>
              <w:rPr>
                <w:b/>
                <w:spacing w:val="-2"/>
              </w:rPr>
              <w:t>)</w:t>
            </w:r>
          </w:p>
          <w:p w:rsidR="00662845" w14:paraId="5B03CA45" w14:textId="77777777">
            <w:pPr>
              <w:tabs>
                <w:tab w:val="center" w:pos="4680"/>
              </w:tabs>
              <w:suppressAutoHyphens/>
              <w:rPr>
                <w:b/>
                <w:spacing w:val="-2"/>
              </w:rPr>
            </w:pPr>
            <w:r>
              <w:rPr>
                <w:b/>
                <w:spacing w:val="-2"/>
              </w:rPr>
              <w:t>)</w:t>
            </w:r>
          </w:p>
          <w:p w:rsidR="004C2EE3" w:rsidRPr="00662845" w14:paraId="3B73A184" w14:textId="77777777">
            <w:pPr>
              <w:tabs>
                <w:tab w:val="center" w:pos="4680"/>
              </w:tabs>
              <w:suppressAutoHyphens/>
              <w:rPr>
                <w:b/>
                <w:spacing w:val="-2"/>
              </w:rPr>
            </w:pPr>
            <w:r>
              <w:rPr>
                <w:b/>
                <w:spacing w:val="-2"/>
              </w:rPr>
              <w:t>)</w:t>
            </w:r>
          </w:p>
        </w:tc>
        <w:tc>
          <w:tcPr>
            <w:tcW w:w="4248" w:type="dxa"/>
          </w:tcPr>
          <w:p w:rsidR="004C2EE3" w14:paraId="5E0826BC" w14:textId="77777777">
            <w:pPr>
              <w:tabs>
                <w:tab w:val="center" w:pos="4680"/>
              </w:tabs>
              <w:suppressAutoHyphens/>
              <w:rPr>
                <w:spacing w:val="-2"/>
              </w:rPr>
            </w:pPr>
          </w:p>
          <w:p w:rsidR="004C2EE3" w14:paraId="79C2D5B5" w14:textId="77777777">
            <w:pPr>
              <w:pStyle w:val="TOAHeading"/>
              <w:tabs>
                <w:tab w:val="center" w:pos="4680"/>
                <w:tab w:val="clear" w:pos="9360"/>
              </w:tabs>
              <w:rPr>
                <w:spacing w:val="-2"/>
              </w:rPr>
            </w:pPr>
          </w:p>
          <w:p w:rsidR="00662845" w:rsidP="00662845" w14:paraId="428D71AC" w14:textId="77777777">
            <w:pPr>
              <w:tabs>
                <w:tab w:val="center" w:pos="2016"/>
              </w:tabs>
              <w:suppressAutoHyphens/>
              <w:rPr>
                <w:spacing w:val="-2"/>
              </w:rPr>
            </w:pPr>
            <w:r>
              <w:rPr>
                <w:spacing w:val="-2"/>
              </w:rPr>
              <w:t>MM-FM1061-C3</w:t>
            </w:r>
          </w:p>
          <w:p w:rsidR="004C2EE3" w:rsidP="00662845" w14:paraId="474EA322" w14:textId="77777777">
            <w:pPr>
              <w:tabs>
                <w:tab w:val="center" w:pos="4680"/>
              </w:tabs>
              <w:suppressAutoHyphens/>
              <w:rPr>
                <w:spacing w:val="-2"/>
              </w:rPr>
            </w:pPr>
            <w:r>
              <w:rPr>
                <w:spacing w:val="-2"/>
              </w:rPr>
              <w:t>MM-FM969-A</w:t>
            </w:r>
          </w:p>
          <w:p w:rsidR="00662845" w:rsidP="00662845" w14:paraId="2ED52C6A" w14:textId="77777777">
            <w:pPr>
              <w:tabs>
                <w:tab w:val="center" w:pos="4680"/>
              </w:tabs>
              <w:suppressAutoHyphens/>
              <w:rPr>
                <w:spacing w:val="-2"/>
              </w:rPr>
            </w:pPr>
          </w:p>
          <w:p w:rsidR="00662845" w:rsidP="00662845" w14:paraId="4315A8E9" w14:textId="77777777">
            <w:pPr>
              <w:tabs>
                <w:tab w:val="center" w:pos="4680"/>
              </w:tabs>
              <w:suppressAutoHyphens/>
              <w:rPr>
                <w:spacing w:val="-2"/>
              </w:rPr>
            </w:pPr>
          </w:p>
          <w:p w:rsidR="00662845" w:rsidP="00662845" w14:paraId="30FDDAA5" w14:textId="77777777">
            <w:pPr>
              <w:tabs>
                <w:tab w:val="center" w:pos="4680"/>
              </w:tabs>
              <w:suppressAutoHyphens/>
              <w:rPr>
                <w:spacing w:val="-2"/>
              </w:rPr>
            </w:pPr>
          </w:p>
        </w:tc>
      </w:tr>
    </w:tbl>
    <w:p w:rsidR="004C2EE3" w:rsidP="0070224F" w14:paraId="1391D392" w14:textId="77777777"/>
    <w:p w:rsidR="003A2820" w:rsidP="003A2820" w14:paraId="5C6E5058" w14:textId="77777777">
      <w:pPr>
        <w:pStyle w:val="StyleBoldCentered"/>
      </w:pPr>
      <w:r>
        <w:t>ORDER</w:t>
      </w:r>
    </w:p>
    <w:p w:rsidR="003A2820" w:rsidP="003A2820" w14:paraId="0F0D24AD" w14:textId="77777777">
      <w:pPr>
        <w:tabs>
          <w:tab w:val="left" w:pos="-720"/>
        </w:tabs>
        <w:suppressAutoHyphens/>
        <w:spacing w:line="227" w:lineRule="auto"/>
        <w:rPr>
          <w:spacing w:val="-2"/>
        </w:rPr>
      </w:pPr>
    </w:p>
    <w:p w:rsidR="003A2820" w:rsidP="003A2820" w14:paraId="0644B91F" w14:textId="6CB4AE22">
      <w:pPr>
        <w:tabs>
          <w:tab w:val="left" w:pos="720"/>
          <w:tab w:val="right" w:pos="9360"/>
        </w:tabs>
        <w:suppressAutoHyphens/>
        <w:spacing w:line="227" w:lineRule="auto"/>
        <w:rPr>
          <w:spacing w:val="-2"/>
        </w:rPr>
      </w:pPr>
      <w:r>
        <w:rPr>
          <w:b/>
          <w:spacing w:val="-2"/>
        </w:rPr>
        <w:t xml:space="preserve">Adopted:  </w:t>
      </w:r>
      <w:r w:rsidR="009D7604">
        <w:rPr>
          <w:b/>
          <w:spacing w:val="-2"/>
        </w:rPr>
        <w:t>October 3, 2019</w:t>
      </w:r>
      <w:r>
        <w:rPr>
          <w:b/>
          <w:spacing w:val="-2"/>
        </w:rPr>
        <w:tab/>
        <w:t xml:space="preserve">Released:  </w:t>
      </w:r>
      <w:r w:rsidR="009D7604">
        <w:rPr>
          <w:b/>
          <w:spacing w:val="-2"/>
        </w:rPr>
        <w:t>October 3, 2019</w:t>
      </w:r>
    </w:p>
    <w:p w:rsidR="003A2820" w:rsidP="003A2820" w14:paraId="157E9D8D" w14:textId="77777777"/>
    <w:p w:rsidR="003A2820" w:rsidRPr="00147F92" w:rsidP="003A2820" w14:paraId="356EE20C" w14:textId="77777777">
      <w:pPr>
        <w:tabs>
          <w:tab w:val="left" w:pos="5760"/>
        </w:tabs>
        <w:ind w:left="1350" w:hanging="1350"/>
        <w:rPr>
          <w:spacing w:val="-2"/>
          <w:szCs w:val="22"/>
        </w:rPr>
      </w:pPr>
      <w:r>
        <w:t xml:space="preserve">By the </w:t>
      </w:r>
      <w:r>
        <w:rPr>
          <w:spacing w:val="-2"/>
        </w:rPr>
        <w:t xml:space="preserve">Chiefs, Auctions Division, Office of Economics and Analytics </w:t>
      </w:r>
      <w:r>
        <w:rPr>
          <w:szCs w:val="22"/>
        </w:rPr>
        <w:t>and Audio Division, Media Bureau</w:t>
      </w:r>
      <w:r>
        <w:rPr>
          <w:spacing w:val="-2"/>
          <w:szCs w:val="22"/>
        </w:rPr>
        <w:t>:</w:t>
      </w:r>
    </w:p>
    <w:p w:rsidR="003A2820" w:rsidP="003A2820" w14:paraId="79E2A632" w14:textId="77777777"/>
    <w:p w:rsidR="003A2820" w:rsidRPr="007F2931" w:rsidP="003A2820" w14:paraId="070EC314" w14:textId="77777777">
      <w:pPr>
        <w:pStyle w:val="Heading1"/>
      </w:pPr>
      <w:r>
        <w:t>introduction</w:t>
      </w:r>
    </w:p>
    <w:p w:rsidR="003A2820" w:rsidRPr="00A37A24" w:rsidP="003A2820" w14:paraId="5C5E93EE" w14:textId="035F3612">
      <w:pPr>
        <w:pStyle w:val="ParaNum"/>
        <w:rPr>
          <w:snapToGrid/>
          <w:szCs w:val="22"/>
        </w:rPr>
      </w:pPr>
      <w:r w:rsidRPr="00A37A24">
        <w:rPr>
          <w:szCs w:val="22"/>
        </w:rPr>
        <w:t>In this Order,</w:t>
      </w:r>
      <w:r w:rsidRPr="004B6A10">
        <w:t xml:space="preserve"> </w:t>
      </w:r>
      <w:r w:rsidRPr="009B0A51">
        <w:t>the</w:t>
      </w:r>
      <w:r>
        <w:t xml:space="preserve"> Auctions Division of the </w:t>
      </w:r>
      <w:r w:rsidRPr="009B0A51">
        <w:t>Office of Economics and Analytics</w:t>
      </w:r>
      <w:r>
        <w:t xml:space="preserve">, in coordination with the Audio Division of the Media Bureau, </w:t>
      </w:r>
      <w:r w:rsidRPr="00A37A24">
        <w:rPr>
          <w:szCs w:val="22"/>
        </w:rPr>
        <w:t>den</w:t>
      </w:r>
      <w:r>
        <w:rPr>
          <w:szCs w:val="22"/>
        </w:rPr>
        <w:t>ies</w:t>
      </w:r>
      <w:r w:rsidRPr="00A37A24">
        <w:rPr>
          <w:szCs w:val="22"/>
        </w:rPr>
        <w:t xml:space="preserve"> the request of Results Broadcasting Rhinelander, Inc. (Results) </w:t>
      </w:r>
      <w:r w:rsidRPr="00A37A24">
        <w:rPr>
          <w:snapToGrid/>
          <w:szCs w:val="22"/>
        </w:rPr>
        <w:t xml:space="preserve">to waive the </w:t>
      </w:r>
      <w:r>
        <w:rPr>
          <w:snapToGrid/>
          <w:szCs w:val="22"/>
        </w:rPr>
        <w:t xml:space="preserve">final payment </w:t>
      </w:r>
      <w:r w:rsidRPr="00A37A24">
        <w:rPr>
          <w:snapToGrid/>
          <w:szCs w:val="22"/>
        </w:rPr>
        <w:t>deadline for two winning bids for construction permits in the Auction of FM Broadcast Construction Permits (Auction 94)</w:t>
      </w:r>
      <w:r w:rsidRPr="00A37A24">
        <w:rPr>
          <w:szCs w:val="22"/>
        </w:rPr>
        <w:t>.</w:t>
      </w:r>
      <w:r>
        <w:rPr>
          <w:rStyle w:val="FootnoteReference"/>
          <w:szCs w:val="22"/>
        </w:rPr>
        <w:footnoteReference w:id="3"/>
      </w:r>
      <w:r w:rsidRPr="00A37A24">
        <w:rPr>
          <w:szCs w:val="22"/>
        </w:rPr>
        <w:t xml:space="preserve">  Results failed to make its required payments for the permits by the deadline established under </w:t>
      </w:r>
      <w:r w:rsidR="0033619E">
        <w:rPr>
          <w:szCs w:val="22"/>
        </w:rPr>
        <w:t>s</w:t>
      </w:r>
      <w:r w:rsidRPr="00A37A24">
        <w:rPr>
          <w:szCs w:val="22"/>
        </w:rPr>
        <w:t>ection</w:t>
      </w:r>
      <w:r>
        <w:rPr>
          <w:szCs w:val="22"/>
        </w:rPr>
        <w:t>s</w:t>
      </w:r>
      <w:r w:rsidRPr="00A37A24">
        <w:rPr>
          <w:szCs w:val="22"/>
        </w:rPr>
        <w:t xml:space="preserve"> 1.2109</w:t>
      </w:r>
      <w:r>
        <w:rPr>
          <w:szCs w:val="22"/>
        </w:rPr>
        <w:t>(a)</w:t>
      </w:r>
      <w:r w:rsidRPr="00A37A24">
        <w:rPr>
          <w:szCs w:val="22"/>
        </w:rPr>
        <w:t xml:space="preserve"> </w:t>
      </w:r>
      <w:r>
        <w:rPr>
          <w:szCs w:val="22"/>
        </w:rPr>
        <w:t xml:space="preserve">and 73.5003 </w:t>
      </w:r>
      <w:r w:rsidRPr="00A37A24">
        <w:rPr>
          <w:szCs w:val="22"/>
        </w:rPr>
        <w:t>of the Commission’s rules, and now seeks a waiver of that deadline.</w:t>
      </w:r>
      <w:r>
        <w:rPr>
          <w:rStyle w:val="FootnoteReference"/>
          <w:szCs w:val="22"/>
        </w:rPr>
        <w:footnoteReference w:id="4"/>
      </w:r>
      <w:r w:rsidRPr="00A37A24">
        <w:rPr>
          <w:szCs w:val="22"/>
        </w:rPr>
        <w:t xml:space="preserve">  </w:t>
      </w:r>
      <w:r w:rsidRPr="00A37A24">
        <w:rPr>
          <w:snapToGrid/>
          <w:szCs w:val="22"/>
        </w:rPr>
        <w:t xml:space="preserve">We conclude that </w:t>
      </w:r>
      <w:r w:rsidRPr="00A37A24">
        <w:rPr>
          <w:szCs w:val="22"/>
        </w:rPr>
        <w:t xml:space="preserve">Results </w:t>
      </w:r>
      <w:r w:rsidRPr="00A37A24">
        <w:rPr>
          <w:color w:val="000000"/>
          <w:szCs w:val="22"/>
        </w:rPr>
        <w:t>has not met the standard for granting a waiver because it has</w:t>
      </w:r>
      <w:r w:rsidRPr="00A37A24">
        <w:rPr>
          <w:szCs w:val="22"/>
        </w:rPr>
        <w:t xml:space="preserve"> failed to demonstrate special circumstances that warrant deviation from the application of the final payment rule</w:t>
      </w:r>
      <w:r>
        <w:rPr>
          <w:szCs w:val="22"/>
        </w:rPr>
        <w:t>,</w:t>
      </w:r>
      <w:r w:rsidRPr="00A37A24">
        <w:rPr>
          <w:szCs w:val="22"/>
        </w:rPr>
        <w:t xml:space="preserve"> and that such deviation would serve the public interest.</w:t>
      </w:r>
      <w:r>
        <w:rPr>
          <w:rStyle w:val="FootnoteReference"/>
          <w:szCs w:val="22"/>
        </w:rPr>
        <w:footnoteReference w:id="5"/>
      </w:r>
      <w:r w:rsidRPr="00A37A24">
        <w:rPr>
          <w:szCs w:val="22"/>
        </w:rPr>
        <w:t xml:space="preserve"> </w:t>
      </w:r>
      <w:r w:rsidRPr="00A37A24">
        <w:rPr>
          <w:rStyle w:val="FootnoteReference"/>
          <w:szCs w:val="22"/>
        </w:rPr>
        <w:t xml:space="preserve"> </w:t>
      </w:r>
      <w:r w:rsidRPr="00A37A24">
        <w:rPr>
          <w:color w:val="000000"/>
          <w:szCs w:val="22"/>
        </w:rPr>
        <w:t xml:space="preserve">  </w:t>
      </w:r>
    </w:p>
    <w:p w:rsidR="003A2820" w:rsidRPr="00A37A24" w:rsidP="003A2820" w14:paraId="335DFE1C" w14:textId="77777777">
      <w:pPr>
        <w:pStyle w:val="Heading1"/>
        <w:rPr>
          <w:rFonts w:ascii="Times New Roman" w:hAnsi="Times New Roman"/>
          <w:szCs w:val="22"/>
        </w:rPr>
      </w:pPr>
      <w:r w:rsidRPr="00A37A24">
        <w:rPr>
          <w:rFonts w:ascii="Times New Roman" w:hAnsi="Times New Roman"/>
          <w:szCs w:val="22"/>
        </w:rPr>
        <w:t>background</w:t>
      </w:r>
    </w:p>
    <w:p w:rsidR="003A2820" w:rsidRPr="00A37A24" w:rsidP="003A2820" w14:paraId="37EA3A2F" w14:textId="73483501">
      <w:pPr>
        <w:pStyle w:val="ParaNum"/>
        <w:rPr>
          <w:snapToGrid/>
          <w:szCs w:val="22"/>
        </w:rPr>
      </w:pPr>
      <w:r>
        <w:rPr>
          <w:szCs w:val="22"/>
        </w:rPr>
        <w:t xml:space="preserve">Auction 94 was </w:t>
      </w:r>
      <w:r w:rsidRPr="00A37A24">
        <w:rPr>
          <w:szCs w:val="22"/>
        </w:rPr>
        <w:t>an auction of certain construction permits in the FM broadcast service</w:t>
      </w:r>
      <w:r>
        <w:rPr>
          <w:szCs w:val="22"/>
        </w:rPr>
        <w:t xml:space="preserve"> that concluded in 2013</w:t>
      </w:r>
      <w:r w:rsidRPr="00A37A24">
        <w:rPr>
          <w:szCs w:val="22"/>
        </w:rPr>
        <w:t>.</w:t>
      </w:r>
      <w:r>
        <w:rPr>
          <w:rStyle w:val="FootnoteReference"/>
          <w:szCs w:val="22"/>
        </w:rPr>
        <w:footnoteReference w:id="6"/>
      </w:r>
      <w:r w:rsidRPr="00A37A24">
        <w:rPr>
          <w:szCs w:val="22"/>
        </w:rPr>
        <w:t xml:space="preserve">  </w:t>
      </w:r>
      <w:r>
        <w:rPr>
          <w:szCs w:val="22"/>
        </w:rPr>
        <w:t xml:space="preserve">Prior to the opening of the filing window for auction applications, Commission staff </w:t>
      </w:r>
      <w:r w:rsidRPr="00A37A24">
        <w:rPr>
          <w:szCs w:val="22"/>
        </w:rPr>
        <w:t xml:space="preserve">released a Public Notice announcing the procedures that would govern </w:t>
      </w:r>
      <w:r>
        <w:rPr>
          <w:szCs w:val="22"/>
        </w:rPr>
        <w:t xml:space="preserve">the conduct of </w:t>
      </w:r>
      <w:r w:rsidRPr="00A37A24">
        <w:rPr>
          <w:szCs w:val="22"/>
        </w:rPr>
        <w:t>Auction 94.</w:t>
      </w:r>
      <w:r>
        <w:rPr>
          <w:rStyle w:val="FootnoteReference"/>
          <w:szCs w:val="22"/>
        </w:rPr>
        <w:footnoteReference w:id="7"/>
      </w:r>
      <w:r w:rsidRPr="00A37A24">
        <w:rPr>
          <w:szCs w:val="22"/>
        </w:rPr>
        <w:t xml:space="preserve">  The </w:t>
      </w:r>
      <w:r w:rsidRPr="00A37A24">
        <w:rPr>
          <w:i/>
          <w:szCs w:val="22"/>
        </w:rPr>
        <w:t>Auction 94</w:t>
      </w:r>
      <w:r w:rsidRPr="00A37A24">
        <w:rPr>
          <w:szCs w:val="22"/>
        </w:rPr>
        <w:t xml:space="preserve"> </w:t>
      </w:r>
      <w:r w:rsidRPr="00A37A24">
        <w:rPr>
          <w:i/>
          <w:szCs w:val="22"/>
        </w:rPr>
        <w:t>Procedures Public Notice</w:t>
      </w:r>
      <w:r w:rsidRPr="00A37A24">
        <w:rPr>
          <w:szCs w:val="22"/>
        </w:rPr>
        <w:t xml:space="preserve"> described the requirements for participation in the auction and explained the post-auction procedures.</w:t>
      </w:r>
      <w:r>
        <w:rPr>
          <w:rStyle w:val="FootnoteReference"/>
          <w:szCs w:val="22"/>
        </w:rPr>
        <w:footnoteReference w:id="8"/>
      </w:r>
      <w:r>
        <w:rPr>
          <w:szCs w:val="22"/>
        </w:rPr>
        <w:t xml:space="preserve">  Among other things, that public notice explained that, following the close of bidding, the Commission would issue a public notice declaring the auction closed, identifying the </w:t>
      </w:r>
      <w:r>
        <w:rPr>
          <w:color w:val="000000"/>
          <w:szCs w:val="22"/>
        </w:rPr>
        <w:t>winning</w:t>
      </w:r>
      <w:r>
        <w:rPr>
          <w:szCs w:val="22"/>
        </w:rPr>
        <w:t xml:space="preserve"> bidders, and setting out the specific deadlines for submitting down payments and final </w:t>
      </w:r>
      <w:r>
        <w:rPr>
          <w:szCs w:val="22"/>
        </w:rPr>
        <w:t>payments as well as the deadline for filing a long-form.</w:t>
      </w:r>
      <w:r>
        <w:rPr>
          <w:rStyle w:val="FootnoteReference"/>
          <w:szCs w:val="22"/>
        </w:rPr>
        <w:footnoteReference w:id="9"/>
      </w:r>
      <w:r>
        <w:rPr>
          <w:szCs w:val="22"/>
        </w:rPr>
        <w:t xml:space="preserve">  T</w:t>
      </w:r>
      <w:r w:rsidRPr="00A37A24">
        <w:rPr>
          <w:szCs w:val="22"/>
        </w:rPr>
        <w:t xml:space="preserve">he </w:t>
      </w:r>
      <w:r w:rsidRPr="00A37A24">
        <w:rPr>
          <w:i/>
          <w:szCs w:val="22"/>
        </w:rPr>
        <w:t>Auction 94</w:t>
      </w:r>
      <w:r w:rsidRPr="00A37A24">
        <w:rPr>
          <w:szCs w:val="22"/>
        </w:rPr>
        <w:t xml:space="preserve"> </w:t>
      </w:r>
      <w:r w:rsidRPr="00A37A24">
        <w:rPr>
          <w:i/>
          <w:szCs w:val="22"/>
        </w:rPr>
        <w:t>Procedures Public Notice</w:t>
      </w:r>
      <w:r>
        <w:rPr>
          <w:i/>
          <w:szCs w:val="22"/>
        </w:rPr>
        <w:t xml:space="preserve"> </w:t>
      </w:r>
      <w:r>
        <w:rPr>
          <w:szCs w:val="22"/>
        </w:rPr>
        <w:t xml:space="preserve">stated that each winning bidder would be </w:t>
      </w:r>
      <w:r w:rsidRPr="00975BFB">
        <w:rPr>
          <w:szCs w:val="22"/>
        </w:rPr>
        <w:t xml:space="preserve">required to submit </w:t>
      </w:r>
      <w:r>
        <w:rPr>
          <w:szCs w:val="22"/>
        </w:rPr>
        <w:t xml:space="preserve">its final payment, </w:t>
      </w:r>
      <w:r w:rsidRPr="00975BFB">
        <w:rPr>
          <w:szCs w:val="22"/>
        </w:rPr>
        <w:t>the balance of the net amount of its winning bids</w:t>
      </w:r>
      <w:r>
        <w:rPr>
          <w:szCs w:val="22"/>
        </w:rPr>
        <w:t>,</w:t>
      </w:r>
      <w:r w:rsidRPr="00975BFB">
        <w:rPr>
          <w:szCs w:val="22"/>
        </w:rPr>
        <w:t xml:space="preserve"> within ten business days after the applicable deadline for submitting down payments</w:t>
      </w:r>
      <w:r>
        <w:rPr>
          <w:szCs w:val="22"/>
        </w:rPr>
        <w:t xml:space="preserve">, consistent with the requirement set forth in </w:t>
      </w:r>
      <w:r w:rsidR="0033619E">
        <w:rPr>
          <w:szCs w:val="22"/>
        </w:rPr>
        <w:t>s</w:t>
      </w:r>
      <w:r>
        <w:rPr>
          <w:szCs w:val="22"/>
        </w:rPr>
        <w:t>ection 1.2109(a)</w:t>
      </w:r>
      <w:r w:rsidRPr="00975BFB">
        <w:rPr>
          <w:szCs w:val="22"/>
        </w:rPr>
        <w:t>.</w:t>
      </w:r>
      <w:r>
        <w:rPr>
          <w:rStyle w:val="FootnoteReference"/>
          <w:szCs w:val="22"/>
        </w:rPr>
        <w:footnoteReference w:id="10"/>
      </w:r>
      <w:r>
        <w:rPr>
          <w:szCs w:val="22"/>
        </w:rPr>
        <w:t xml:space="preserve">  Bidders were advised that pursuant to </w:t>
      </w:r>
      <w:r w:rsidR="0033619E">
        <w:rPr>
          <w:szCs w:val="22"/>
        </w:rPr>
        <w:t>s</w:t>
      </w:r>
      <w:r>
        <w:rPr>
          <w:szCs w:val="22"/>
        </w:rPr>
        <w:t xml:space="preserve">ection 1.2109(a), </w:t>
      </w:r>
      <w:r w:rsidRPr="00A37A24">
        <w:rPr>
          <w:szCs w:val="22"/>
        </w:rPr>
        <w:t>if a winning bidder fail</w:t>
      </w:r>
      <w:r>
        <w:rPr>
          <w:szCs w:val="22"/>
        </w:rPr>
        <w:t>ed</w:t>
      </w:r>
      <w:r w:rsidRPr="00A37A24">
        <w:rPr>
          <w:szCs w:val="22"/>
        </w:rPr>
        <w:t xml:space="preserve"> to pay the balance of its winning bid in a lump sum by th</w:t>
      </w:r>
      <w:r>
        <w:rPr>
          <w:szCs w:val="22"/>
        </w:rPr>
        <w:t>e final payment</w:t>
      </w:r>
      <w:r w:rsidRPr="00A37A24">
        <w:rPr>
          <w:szCs w:val="22"/>
        </w:rPr>
        <w:t xml:space="preserve"> deadline, it </w:t>
      </w:r>
      <w:r>
        <w:rPr>
          <w:szCs w:val="22"/>
        </w:rPr>
        <w:t xml:space="preserve">would be </w:t>
      </w:r>
      <w:r w:rsidRPr="00A37A24">
        <w:rPr>
          <w:szCs w:val="22"/>
        </w:rPr>
        <w:t>allowed to make payment within ten business days after the payment deadline, provided that it also pa</w:t>
      </w:r>
      <w:r>
        <w:rPr>
          <w:szCs w:val="22"/>
        </w:rPr>
        <w:t>id</w:t>
      </w:r>
      <w:r w:rsidRPr="00A37A24">
        <w:rPr>
          <w:szCs w:val="22"/>
        </w:rPr>
        <w:t xml:space="preserve"> a late fee equal to </w:t>
      </w:r>
      <w:r>
        <w:rPr>
          <w:szCs w:val="22"/>
        </w:rPr>
        <w:t>five</w:t>
      </w:r>
      <w:r w:rsidRPr="00A37A24">
        <w:rPr>
          <w:szCs w:val="22"/>
        </w:rPr>
        <w:t xml:space="preserve"> percent of the amount due.</w:t>
      </w:r>
      <w:r>
        <w:rPr>
          <w:rStyle w:val="FootnoteReference"/>
          <w:szCs w:val="22"/>
        </w:rPr>
        <w:footnoteReference w:id="11"/>
      </w:r>
      <w:r>
        <w:rPr>
          <w:szCs w:val="22"/>
        </w:rPr>
        <w:t xml:space="preserve">  They were further instructed that i</w:t>
      </w:r>
      <w:r w:rsidRPr="00A37A24">
        <w:rPr>
          <w:szCs w:val="22"/>
        </w:rPr>
        <w:t>f a winning bidder fail</w:t>
      </w:r>
      <w:r>
        <w:rPr>
          <w:szCs w:val="22"/>
        </w:rPr>
        <w:t>ed</w:t>
      </w:r>
      <w:r w:rsidRPr="00A37A24">
        <w:rPr>
          <w:szCs w:val="22"/>
        </w:rPr>
        <w:t xml:space="preserve"> to pay </w:t>
      </w:r>
      <w:r>
        <w:rPr>
          <w:szCs w:val="22"/>
        </w:rPr>
        <w:t xml:space="preserve">the </w:t>
      </w:r>
      <w:r w:rsidRPr="00A37A24">
        <w:rPr>
          <w:szCs w:val="22"/>
        </w:rPr>
        <w:t xml:space="preserve">balance of its winning bid </w:t>
      </w:r>
      <w:r>
        <w:rPr>
          <w:szCs w:val="22"/>
        </w:rPr>
        <w:t>by</w:t>
      </w:r>
      <w:r w:rsidRPr="00A37A24">
        <w:rPr>
          <w:szCs w:val="22"/>
        </w:rPr>
        <w:t xml:space="preserve"> </w:t>
      </w:r>
      <w:r>
        <w:rPr>
          <w:szCs w:val="22"/>
        </w:rPr>
        <w:t xml:space="preserve">the </w:t>
      </w:r>
      <w:r w:rsidRPr="00A37A24">
        <w:rPr>
          <w:szCs w:val="22"/>
        </w:rPr>
        <w:t xml:space="preserve">late payment deadline, it </w:t>
      </w:r>
      <w:r>
        <w:rPr>
          <w:szCs w:val="22"/>
        </w:rPr>
        <w:t xml:space="preserve">would be considered to </w:t>
      </w:r>
      <w:r w:rsidRPr="00A37A24">
        <w:rPr>
          <w:szCs w:val="22"/>
        </w:rPr>
        <w:t>be in default</w:t>
      </w:r>
      <w:r>
        <w:rPr>
          <w:szCs w:val="22"/>
        </w:rPr>
        <w:t xml:space="preserve"> on the permits won</w:t>
      </w:r>
      <w:r w:rsidRPr="00A37A24">
        <w:rPr>
          <w:szCs w:val="22"/>
        </w:rPr>
        <w:t xml:space="preserve"> and subject to applicable default payments.</w:t>
      </w:r>
      <w:r>
        <w:rPr>
          <w:rStyle w:val="FootnoteReference"/>
          <w:szCs w:val="22"/>
        </w:rPr>
        <w:footnoteReference w:id="12"/>
      </w:r>
      <w:r w:rsidRPr="00A37A24">
        <w:rPr>
          <w:szCs w:val="22"/>
        </w:rPr>
        <w:t xml:space="preserve">  </w:t>
      </w:r>
    </w:p>
    <w:p w:rsidR="003A2820" w:rsidRPr="00B41931" w:rsidP="003A2820" w14:paraId="2FC6F7E3" w14:textId="77777777">
      <w:pPr>
        <w:pStyle w:val="ParaNum"/>
        <w:rPr>
          <w:snapToGrid/>
          <w:szCs w:val="22"/>
        </w:rPr>
      </w:pPr>
      <w:r w:rsidRPr="00A37A24">
        <w:rPr>
          <w:snapToGrid/>
          <w:szCs w:val="22"/>
        </w:rPr>
        <w:t xml:space="preserve">Results filed </w:t>
      </w:r>
      <w:r w:rsidRPr="00A37A24">
        <w:rPr>
          <w:szCs w:val="22"/>
        </w:rPr>
        <w:t>its short-form application to participate in Auction 94</w:t>
      </w:r>
      <w:r>
        <w:rPr>
          <w:szCs w:val="22"/>
        </w:rPr>
        <w:t>,</w:t>
      </w:r>
      <w:r w:rsidRPr="00A37A24">
        <w:rPr>
          <w:szCs w:val="22"/>
        </w:rPr>
        <w:t xml:space="preserve"> and timely submitted an upfront payment in the amount of $11,500.00.  Subsequently, Results </w:t>
      </w:r>
      <w:r>
        <w:rPr>
          <w:szCs w:val="22"/>
        </w:rPr>
        <w:t xml:space="preserve">was determined to be </w:t>
      </w:r>
      <w:r w:rsidRPr="00A37A24">
        <w:rPr>
          <w:szCs w:val="22"/>
        </w:rPr>
        <w:t>a qualified bidder</w:t>
      </w:r>
      <w:r>
        <w:rPr>
          <w:szCs w:val="22"/>
        </w:rPr>
        <w:t>, meaning that it was eligible to participate in the bidding</w:t>
      </w:r>
      <w:r w:rsidRPr="00A37A24">
        <w:rPr>
          <w:szCs w:val="22"/>
        </w:rPr>
        <w:t>.</w:t>
      </w:r>
      <w:r>
        <w:rPr>
          <w:rStyle w:val="FootnoteReference"/>
          <w:szCs w:val="22"/>
        </w:rPr>
        <w:footnoteReference w:id="13"/>
      </w:r>
      <w:r w:rsidRPr="00A37A24">
        <w:rPr>
          <w:szCs w:val="22"/>
        </w:rPr>
        <w:t xml:space="preserve">  Bidding in Auction 94 began on April 23, 2013</w:t>
      </w:r>
      <w:r>
        <w:rPr>
          <w:szCs w:val="22"/>
        </w:rPr>
        <w:t>,</w:t>
      </w:r>
      <w:r w:rsidRPr="00A37A24">
        <w:rPr>
          <w:szCs w:val="22"/>
        </w:rPr>
        <w:t xml:space="preserve"> and ended on May 6, 2013.  On May 14, 2013, </w:t>
      </w:r>
      <w:r>
        <w:rPr>
          <w:szCs w:val="22"/>
        </w:rPr>
        <w:t xml:space="preserve">Commission staff released </w:t>
      </w:r>
      <w:r w:rsidRPr="00A37A24">
        <w:rPr>
          <w:szCs w:val="22"/>
        </w:rPr>
        <w:t xml:space="preserve">the </w:t>
      </w:r>
      <w:r w:rsidRPr="00A37A24">
        <w:rPr>
          <w:i/>
          <w:szCs w:val="22"/>
        </w:rPr>
        <w:t>Auction 94</w:t>
      </w:r>
      <w:r w:rsidRPr="00A37A24">
        <w:rPr>
          <w:szCs w:val="22"/>
        </w:rPr>
        <w:t xml:space="preserve"> </w:t>
      </w:r>
      <w:r w:rsidRPr="00A37A24">
        <w:rPr>
          <w:i/>
          <w:szCs w:val="22"/>
        </w:rPr>
        <w:t>Closing Public Notice</w:t>
      </w:r>
      <w:r w:rsidRPr="00A37A24">
        <w:rPr>
          <w:szCs w:val="22"/>
        </w:rPr>
        <w:t>, which announced the close of Auction 94 and identified the winning bidders.</w:t>
      </w:r>
      <w:r>
        <w:rPr>
          <w:rStyle w:val="FootnoteReference"/>
          <w:szCs w:val="22"/>
        </w:rPr>
        <w:footnoteReference w:id="14"/>
      </w:r>
      <w:r w:rsidRPr="00A37A24">
        <w:rPr>
          <w:szCs w:val="22"/>
        </w:rPr>
        <w:t xml:space="preserve">  </w:t>
      </w:r>
      <w:r>
        <w:rPr>
          <w:szCs w:val="22"/>
        </w:rPr>
        <w:t xml:space="preserve">Consistent with usual practice, a copy of </w:t>
      </w:r>
      <w:r w:rsidRPr="00A37A24">
        <w:rPr>
          <w:szCs w:val="22"/>
        </w:rPr>
        <w:t xml:space="preserve">the </w:t>
      </w:r>
      <w:r w:rsidRPr="00A37A24">
        <w:rPr>
          <w:i/>
          <w:szCs w:val="22"/>
        </w:rPr>
        <w:t>Auction 94</w:t>
      </w:r>
      <w:r w:rsidRPr="00A37A24">
        <w:rPr>
          <w:szCs w:val="22"/>
        </w:rPr>
        <w:t xml:space="preserve"> </w:t>
      </w:r>
      <w:r w:rsidRPr="00A37A24">
        <w:rPr>
          <w:i/>
          <w:szCs w:val="22"/>
        </w:rPr>
        <w:t>Closing Public Notice</w:t>
      </w:r>
      <w:r>
        <w:rPr>
          <w:i/>
          <w:szCs w:val="22"/>
        </w:rPr>
        <w:t xml:space="preserve"> </w:t>
      </w:r>
      <w:r>
        <w:rPr>
          <w:szCs w:val="22"/>
        </w:rPr>
        <w:t>was sent via overnight delivery to Results and every other Auction 94 winning bidder.</w:t>
      </w:r>
      <w:r>
        <w:rPr>
          <w:rStyle w:val="FootnoteReference"/>
          <w:szCs w:val="22"/>
        </w:rPr>
        <w:footnoteReference w:id="15"/>
      </w:r>
      <w:r>
        <w:rPr>
          <w:szCs w:val="22"/>
        </w:rPr>
        <w:t xml:space="preserve"> </w:t>
      </w:r>
      <w:r w:rsidRPr="00B41931">
        <w:rPr>
          <w:szCs w:val="22"/>
        </w:rPr>
        <w:t xml:space="preserve"> The </w:t>
      </w:r>
      <w:r w:rsidRPr="00B41931">
        <w:rPr>
          <w:i/>
          <w:szCs w:val="22"/>
        </w:rPr>
        <w:t>Auction 94</w:t>
      </w:r>
      <w:r w:rsidRPr="00B41931">
        <w:rPr>
          <w:szCs w:val="22"/>
        </w:rPr>
        <w:t xml:space="preserve"> </w:t>
      </w:r>
      <w:r w:rsidRPr="00B41931">
        <w:rPr>
          <w:i/>
          <w:szCs w:val="22"/>
        </w:rPr>
        <w:t>Closing Public Notice</w:t>
      </w:r>
      <w:r w:rsidRPr="00B41931">
        <w:rPr>
          <w:szCs w:val="22"/>
        </w:rPr>
        <w:t xml:space="preserve"> indicated that Results was the winning bidder for two FM broa</w:t>
      </w:r>
      <w:r w:rsidRPr="00672675">
        <w:rPr>
          <w:szCs w:val="22"/>
        </w:rPr>
        <w:t>dcast construction permits, MM-</w:t>
      </w:r>
      <w:r w:rsidRPr="00672675">
        <w:rPr>
          <w:spacing w:val="-2"/>
          <w:szCs w:val="22"/>
        </w:rPr>
        <w:t xml:space="preserve">FM1061-C3 (Tomahawk, WI) </w:t>
      </w:r>
      <w:r w:rsidRPr="009562FE">
        <w:rPr>
          <w:szCs w:val="22"/>
        </w:rPr>
        <w:t xml:space="preserve">and </w:t>
      </w:r>
      <w:r w:rsidRPr="009562FE">
        <w:rPr>
          <w:spacing w:val="-2"/>
          <w:szCs w:val="22"/>
        </w:rPr>
        <w:t>MM-FM969-A (Crandon, WI)</w:t>
      </w:r>
      <w:r w:rsidRPr="009562FE">
        <w:rPr>
          <w:szCs w:val="22"/>
        </w:rPr>
        <w:t>, with net winning bids totaling $35,000.00.</w:t>
      </w:r>
      <w:r>
        <w:rPr>
          <w:rStyle w:val="FootnoteReference"/>
          <w:szCs w:val="22"/>
        </w:rPr>
        <w:footnoteReference w:id="16"/>
      </w:r>
      <w:r w:rsidRPr="00B41931">
        <w:rPr>
          <w:szCs w:val="22"/>
        </w:rPr>
        <w:t xml:space="preserve">  </w:t>
      </w:r>
    </w:p>
    <w:p w:rsidR="003A2820" w:rsidRPr="00A37A24" w:rsidP="003A2820" w14:paraId="7F209EFF" w14:textId="77777777">
      <w:pPr>
        <w:pStyle w:val="ParaNum"/>
        <w:rPr>
          <w:snapToGrid/>
          <w:szCs w:val="22"/>
        </w:rPr>
      </w:pPr>
      <w:r>
        <w:rPr>
          <w:szCs w:val="22"/>
        </w:rPr>
        <w:t>T</w:t>
      </w:r>
      <w:r w:rsidRPr="00A37A24">
        <w:rPr>
          <w:szCs w:val="22"/>
        </w:rPr>
        <w:t xml:space="preserve">he </w:t>
      </w:r>
      <w:r w:rsidRPr="00A37A24">
        <w:rPr>
          <w:i/>
          <w:szCs w:val="22"/>
        </w:rPr>
        <w:t>Auction 94</w:t>
      </w:r>
      <w:r w:rsidRPr="00A37A24">
        <w:rPr>
          <w:szCs w:val="22"/>
        </w:rPr>
        <w:t xml:space="preserve"> </w:t>
      </w:r>
      <w:r w:rsidRPr="00A37A24">
        <w:rPr>
          <w:i/>
          <w:szCs w:val="22"/>
        </w:rPr>
        <w:t>Closing Public Notice</w:t>
      </w:r>
      <w:r w:rsidRPr="00A37A24">
        <w:rPr>
          <w:szCs w:val="22"/>
        </w:rPr>
        <w:t xml:space="preserve"> also announced </w:t>
      </w:r>
      <w:r>
        <w:rPr>
          <w:szCs w:val="22"/>
        </w:rPr>
        <w:t xml:space="preserve">winning bidders would be required to make down payments </w:t>
      </w:r>
      <w:r w:rsidRPr="00A37A24">
        <w:rPr>
          <w:szCs w:val="22"/>
        </w:rPr>
        <w:t xml:space="preserve">by no later than May 29, 2013, </w:t>
      </w:r>
      <w:r>
        <w:rPr>
          <w:szCs w:val="22"/>
        </w:rPr>
        <w:t xml:space="preserve">and that final payments would be due </w:t>
      </w:r>
      <w:r w:rsidRPr="00A37A24">
        <w:rPr>
          <w:szCs w:val="22"/>
        </w:rPr>
        <w:t>by June 12, 2013.</w:t>
      </w:r>
      <w:r>
        <w:rPr>
          <w:rStyle w:val="FootnoteReference"/>
          <w:szCs w:val="22"/>
        </w:rPr>
        <w:footnoteReference w:id="17"/>
      </w:r>
      <w:r w:rsidRPr="00A37A24">
        <w:rPr>
          <w:szCs w:val="22"/>
        </w:rPr>
        <w:t xml:space="preserve">  </w:t>
      </w:r>
      <w:r>
        <w:rPr>
          <w:szCs w:val="22"/>
        </w:rPr>
        <w:t xml:space="preserve">Additionally, that Public Notice stated that the late payment deadline for final payments, the last date by which a winning bidder could </w:t>
      </w:r>
      <w:r w:rsidRPr="00A37A24">
        <w:rPr>
          <w:szCs w:val="22"/>
        </w:rPr>
        <w:t xml:space="preserve">pay the balance of its winning bid </w:t>
      </w:r>
      <w:r>
        <w:rPr>
          <w:szCs w:val="22"/>
        </w:rPr>
        <w:t xml:space="preserve">along with the late fee, would be </w:t>
      </w:r>
      <w:r w:rsidRPr="00A37A24">
        <w:rPr>
          <w:szCs w:val="22"/>
        </w:rPr>
        <w:t>June 26, 2013.</w:t>
      </w:r>
      <w:r>
        <w:rPr>
          <w:rStyle w:val="FootnoteReference"/>
          <w:szCs w:val="22"/>
        </w:rPr>
        <w:footnoteReference w:id="18"/>
      </w:r>
      <w:r w:rsidRPr="00A37A24">
        <w:rPr>
          <w:szCs w:val="22"/>
        </w:rPr>
        <w:t xml:space="preserve">  </w:t>
      </w:r>
      <w:r>
        <w:rPr>
          <w:szCs w:val="22"/>
        </w:rPr>
        <w:t xml:space="preserve">Finally, the Public Notice </w:t>
      </w:r>
      <w:r w:rsidRPr="00A37A24">
        <w:rPr>
          <w:szCs w:val="22"/>
        </w:rPr>
        <w:t>announced that each winning bidder was required to submit its long-form application by July 24, 2013</w:t>
      </w:r>
      <w:r>
        <w:rPr>
          <w:szCs w:val="22"/>
        </w:rPr>
        <w:t>.</w:t>
      </w:r>
      <w:r>
        <w:rPr>
          <w:rStyle w:val="FootnoteReference"/>
          <w:szCs w:val="22"/>
        </w:rPr>
        <w:footnoteReference w:id="19"/>
      </w:r>
    </w:p>
    <w:p w:rsidR="003A2820" w:rsidP="001958B6" w14:paraId="21808D2E" w14:textId="77777777">
      <w:pPr>
        <w:pStyle w:val="ParaNum"/>
        <w:widowControl/>
        <w:rPr>
          <w:szCs w:val="22"/>
        </w:rPr>
      </w:pPr>
      <w:r w:rsidRPr="00646B91">
        <w:rPr>
          <w:szCs w:val="22"/>
        </w:rPr>
        <w:t>Results did not submit its final payment for its winning bids by the deadline of June 12, 2013, and it failed to pay the balance of its winning bid</w:t>
      </w:r>
      <w:r>
        <w:rPr>
          <w:szCs w:val="22"/>
        </w:rPr>
        <w:t>s</w:t>
      </w:r>
      <w:r w:rsidRPr="00646B91">
        <w:rPr>
          <w:szCs w:val="22"/>
        </w:rPr>
        <w:t xml:space="preserve"> plus the late fee by June 26, 2013.  </w:t>
      </w:r>
      <w:r>
        <w:rPr>
          <w:szCs w:val="22"/>
        </w:rPr>
        <w:t>Instead, o</w:t>
      </w:r>
      <w:r w:rsidRPr="00646B91">
        <w:rPr>
          <w:szCs w:val="22"/>
        </w:rPr>
        <w:t xml:space="preserve">n July 24, 2013, Results </w:t>
      </w:r>
      <w:r>
        <w:rPr>
          <w:szCs w:val="22"/>
        </w:rPr>
        <w:t>submitted</w:t>
      </w:r>
      <w:r w:rsidRPr="00646B91">
        <w:rPr>
          <w:szCs w:val="22"/>
        </w:rPr>
        <w:t xml:space="preserve"> a payment in the amount of </w:t>
      </w:r>
      <w:r>
        <w:rPr>
          <w:szCs w:val="22"/>
        </w:rPr>
        <w:t>the remaining balance of its</w:t>
      </w:r>
      <w:r w:rsidRPr="00646B91">
        <w:rPr>
          <w:szCs w:val="22"/>
        </w:rPr>
        <w:t xml:space="preserve"> winning bids </w:t>
      </w:r>
      <w:r>
        <w:rPr>
          <w:szCs w:val="22"/>
        </w:rPr>
        <w:t xml:space="preserve">along with </w:t>
      </w:r>
      <w:r>
        <w:rPr>
          <w:szCs w:val="22"/>
        </w:rPr>
        <w:t xml:space="preserve">an additional amount </w:t>
      </w:r>
      <w:r w:rsidRPr="00A37A24">
        <w:rPr>
          <w:szCs w:val="22"/>
        </w:rPr>
        <w:t xml:space="preserve">equal to </w:t>
      </w:r>
      <w:r>
        <w:rPr>
          <w:szCs w:val="22"/>
        </w:rPr>
        <w:t>five</w:t>
      </w:r>
      <w:r w:rsidRPr="00A37A24">
        <w:rPr>
          <w:szCs w:val="22"/>
        </w:rPr>
        <w:t xml:space="preserve"> percent of the amount due</w:t>
      </w:r>
      <w:r w:rsidRPr="00646B91">
        <w:rPr>
          <w:szCs w:val="22"/>
        </w:rPr>
        <w:t xml:space="preserve"> and</w:t>
      </w:r>
      <w:r>
        <w:rPr>
          <w:szCs w:val="22"/>
        </w:rPr>
        <w:t xml:space="preserve"> filed its</w:t>
      </w:r>
      <w:r w:rsidRPr="00646B91">
        <w:rPr>
          <w:szCs w:val="22"/>
        </w:rPr>
        <w:t xml:space="preserve"> long</w:t>
      </w:r>
      <w:r>
        <w:rPr>
          <w:szCs w:val="22"/>
        </w:rPr>
        <w:t xml:space="preserve"> </w:t>
      </w:r>
      <w:r w:rsidRPr="00646B91">
        <w:rPr>
          <w:szCs w:val="22"/>
        </w:rPr>
        <w:t>form application</w:t>
      </w:r>
      <w:r>
        <w:rPr>
          <w:szCs w:val="22"/>
        </w:rPr>
        <w:t>s.</w:t>
      </w:r>
      <w:r>
        <w:rPr>
          <w:rStyle w:val="FootnoteReference"/>
          <w:szCs w:val="22"/>
        </w:rPr>
        <w:footnoteReference w:id="20"/>
      </w:r>
      <w:r w:rsidRPr="00646B91">
        <w:rPr>
          <w:szCs w:val="22"/>
        </w:rPr>
        <w:t xml:space="preserve"> </w:t>
      </w:r>
      <w:r>
        <w:rPr>
          <w:szCs w:val="22"/>
        </w:rPr>
        <w:t xml:space="preserve"> That same day, Results also filed </w:t>
      </w:r>
      <w:r w:rsidRPr="00646B91">
        <w:rPr>
          <w:szCs w:val="22"/>
        </w:rPr>
        <w:t>a request for waiver of the Commission’s final payment deadline</w:t>
      </w:r>
      <w:r>
        <w:rPr>
          <w:szCs w:val="22"/>
        </w:rPr>
        <w:t>.</w:t>
      </w:r>
      <w:r>
        <w:rPr>
          <w:rStyle w:val="FootnoteReference"/>
          <w:szCs w:val="22"/>
        </w:rPr>
        <w:footnoteReference w:id="21"/>
      </w:r>
      <w:r w:rsidRPr="00646B91">
        <w:rPr>
          <w:szCs w:val="22"/>
        </w:rPr>
        <w:t xml:space="preserve"> </w:t>
      </w:r>
      <w:r>
        <w:rPr>
          <w:szCs w:val="22"/>
        </w:rPr>
        <w:t xml:space="preserve"> </w:t>
      </w:r>
    </w:p>
    <w:p w:rsidR="003A2820" w:rsidRPr="002C7AAC" w:rsidP="003A2820" w14:paraId="5BB4F0F4" w14:textId="77777777">
      <w:pPr>
        <w:pStyle w:val="ParaNum"/>
        <w:widowControl/>
        <w:rPr>
          <w:szCs w:val="22"/>
        </w:rPr>
      </w:pPr>
      <w:r>
        <w:rPr>
          <w:szCs w:val="22"/>
        </w:rPr>
        <w:t xml:space="preserve">In its request, Results explains that its payment was late because its Vice President, Donald </w:t>
      </w:r>
      <w:r>
        <w:rPr>
          <w:szCs w:val="22"/>
        </w:rPr>
        <w:t>Grassman</w:t>
      </w:r>
      <w:r>
        <w:rPr>
          <w:szCs w:val="22"/>
        </w:rPr>
        <w:t xml:space="preserve"> mistakenly assumed that final payments would be due on the same day as the long form applications.</w:t>
      </w:r>
      <w:r>
        <w:rPr>
          <w:rStyle w:val="FootnoteReference"/>
          <w:szCs w:val="22"/>
        </w:rPr>
        <w:footnoteReference w:id="22"/>
      </w:r>
      <w:r>
        <w:rPr>
          <w:szCs w:val="22"/>
        </w:rPr>
        <w:t xml:space="preserve">  In his Declaration, Mr. </w:t>
      </w:r>
      <w:r>
        <w:rPr>
          <w:szCs w:val="22"/>
        </w:rPr>
        <w:t>Grassman</w:t>
      </w:r>
      <w:r>
        <w:rPr>
          <w:szCs w:val="22"/>
        </w:rPr>
        <w:t xml:space="preserve"> states that on Friday, July 19, 2013, during a discussion with a consulting engineer that was assisting Results with its long form application, the engineer inquired whether Results had satisfied it final payment obligation.</w:t>
      </w:r>
      <w:r>
        <w:rPr>
          <w:rStyle w:val="FootnoteReference"/>
          <w:szCs w:val="22"/>
        </w:rPr>
        <w:footnoteReference w:id="23"/>
      </w:r>
      <w:r>
        <w:rPr>
          <w:szCs w:val="22"/>
        </w:rPr>
        <w:t xml:space="preserve">  The Declaration further explains that after reviewing the </w:t>
      </w:r>
      <w:r w:rsidRPr="00A37A24">
        <w:rPr>
          <w:i/>
          <w:szCs w:val="22"/>
        </w:rPr>
        <w:t>Auction 94</w:t>
      </w:r>
      <w:r w:rsidRPr="00A37A24">
        <w:rPr>
          <w:szCs w:val="22"/>
        </w:rPr>
        <w:t xml:space="preserve"> </w:t>
      </w:r>
      <w:r w:rsidRPr="00A37A24">
        <w:rPr>
          <w:i/>
          <w:szCs w:val="22"/>
        </w:rPr>
        <w:t>Closing Public Notice</w:t>
      </w:r>
      <w:r w:rsidRPr="00A37A24">
        <w:rPr>
          <w:szCs w:val="22"/>
        </w:rPr>
        <w:t xml:space="preserve"> </w:t>
      </w:r>
      <w:r>
        <w:rPr>
          <w:szCs w:val="22"/>
        </w:rPr>
        <w:t xml:space="preserve">and confirming that the engineer was correct that the payment was past due, Mr. </w:t>
      </w:r>
      <w:r>
        <w:rPr>
          <w:szCs w:val="22"/>
        </w:rPr>
        <w:t>Grassman</w:t>
      </w:r>
      <w:r>
        <w:rPr>
          <w:szCs w:val="22"/>
        </w:rPr>
        <w:t xml:space="preserve"> sought the assistance of communications counsel on the following business day (Monday, July 22, 2013), and two days later, on July 24, 2013, Results rendered its payment along with a request for waiver.</w:t>
      </w:r>
      <w:r>
        <w:rPr>
          <w:rStyle w:val="FootnoteReference"/>
          <w:szCs w:val="22"/>
        </w:rPr>
        <w:footnoteReference w:id="24"/>
      </w:r>
      <w:r>
        <w:rPr>
          <w:szCs w:val="22"/>
        </w:rPr>
        <w:t xml:space="preserve">  </w:t>
      </w:r>
      <w:r w:rsidRPr="00646B91">
        <w:rPr>
          <w:szCs w:val="22"/>
        </w:rPr>
        <w:t>Results states that the delay in payment was “strictly inadvertent and the result of a horrible mistake.”</w:t>
      </w:r>
      <w:r>
        <w:rPr>
          <w:rStyle w:val="FootnoteReference"/>
          <w:szCs w:val="22"/>
        </w:rPr>
        <w:footnoteReference w:id="25"/>
      </w:r>
      <w:r w:rsidRPr="00646B91">
        <w:rPr>
          <w:szCs w:val="22"/>
        </w:rPr>
        <w:t xml:space="preserve">  Moreover, Results maintains</w:t>
      </w:r>
      <w:r>
        <w:rPr>
          <w:szCs w:val="22"/>
        </w:rPr>
        <w:t xml:space="preserve"> that the delay did not occur due</w:t>
      </w:r>
      <w:r w:rsidRPr="00646B91">
        <w:rPr>
          <w:szCs w:val="22"/>
        </w:rPr>
        <w:t xml:space="preserve"> to an absence of funds</w:t>
      </w:r>
      <w:r>
        <w:rPr>
          <w:szCs w:val="22"/>
        </w:rPr>
        <w:t>,</w:t>
      </w:r>
      <w:r w:rsidRPr="00646B91">
        <w:rPr>
          <w:szCs w:val="22"/>
        </w:rPr>
        <w:t xml:space="preserve"> and that as soon as it realized the</w:t>
      </w:r>
      <w:r>
        <w:t xml:space="preserve"> payment error, it took immediate action to remedy it.</w:t>
      </w:r>
      <w:r>
        <w:rPr>
          <w:rStyle w:val="FootnoteReference"/>
        </w:rPr>
        <w:footnoteReference w:id="26"/>
      </w:r>
      <w:r>
        <w:t xml:space="preserve">  </w:t>
      </w:r>
      <w:r>
        <w:rPr>
          <w:szCs w:val="22"/>
        </w:rPr>
        <w:t>Results contends that a waiver of the final payment deadline is warranted because it complied with all prior auction obligations, its error was inadvertent, and it had the necessary financing on hand to render payment at the time of the deadline.</w:t>
      </w:r>
      <w:r>
        <w:rPr>
          <w:rStyle w:val="FootnoteReference"/>
          <w:szCs w:val="22"/>
        </w:rPr>
        <w:footnoteReference w:id="27"/>
      </w:r>
      <w:r>
        <w:rPr>
          <w:szCs w:val="22"/>
        </w:rPr>
        <w:t xml:space="preserve"> </w:t>
      </w:r>
    </w:p>
    <w:p w:rsidR="003A2820" w:rsidP="003A2820" w14:paraId="478CB946" w14:textId="77777777">
      <w:pPr>
        <w:pStyle w:val="Heading1"/>
      </w:pPr>
      <w:r>
        <w:t>discussion</w:t>
      </w:r>
    </w:p>
    <w:p w:rsidR="003A2820" w:rsidP="003A2820" w14:paraId="7CAC9D33" w14:textId="77777777">
      <w:pPr>
        <w:pStyle w:val="ParaNum"/>
        <w:widowControl/>
      </w:pPr>
      <w:r w:rsidRPr="00646B91">
        <w:rPr>
          <w:szCs w:val="22"/>
        </w:rPr>
        <w:t>The Commission may waive rule provisions “for good cause shown” by the petitioner.</w:t>
      </w:r>
      <w:r>
        <w:rPr>
          <w:rStyle w:val="FootnoteReference"/>
          <w:szCs w:val="22"/>
        </w:rPr>
        <w:footnoteReference w:id="28"/>
      </w:r>
      <w:r w:rsidRPr="00646B91">
        <w:rPr>
          <w:szCs w:val="22"/>
        </w:rPr>
        <w:t xml:space="preserve">  As interpreted by the courts, a party seeking waiver of a rule’s requirements must demonstrate that “special circumstances warrant a deviation from the general rule and such deviation will serve the public interest.”</w:t>
      </w:r>
      <w:r>
        <w:rPr>
          <w:rStyle w:val="FootnoteReference"/>
          <w:szCs w:val="22"/>
        </w:rPr>
        <w:footnoteReference w:id="29"/>
      </w:r>
      <w:r w:rsidRPr="00646B91">
        <w:rPr>
          <w:szCs w:val="22"/>
        </w:rPr>
        <w:t xml:space="preserve"> </w:t>
      </w:r>
      <w:r w:rsidRPr="00646B91">
        <w:rPr>
          <w:rStyle w:val="FootnoteReference"/>
          <w:szCs w:val="22"/>
        </w:rPr>
        <w:t xml:space="preserve"> </w:t>
      </w:r>
      <w:r w:rsidRPr="00646B91">
        <w:rPr>
          <w:szCs w:val="22"/>
        </w:rPr>
        <w:t>In order to demonstrate the required special circumstances, Results must show that the application of the final payment rule would be inequitable, unduly burdensome or contrary to the public interest or that no reasonable alternative existed which would have allowed it to comply with the rule.</w:t>
      </w:r>
      <w:r>
        <w:rPr>
          <w:rStyle w:val="FootnoteReference"/>
          <w:szCs w:val="22"/>
        </w:rPr>
        <w:footnoteReference w:id="30"/>
      </w:r>
      <w:r w:rsidRPr="00646B91">
        <w:rPr>
          <w:szCs w:val="22"/>
        </w:rPr>
        <w:t xml:space="preserve">  Alternatively, Results bears the burden of convincing us that a waiver would not conflict with the policy underlying this rule.</w:t>
      </w:r>
      <w:r>
        <w:rPr>
          <w:rStyle w:val="FootnoteReference"/>
        </w:rPr>
        <w:footnoteReference w:id="31"/>
      </w:r>
      <w:r>
        <w:rPr>
          <w:szCs w:val="22"/>
        </w:rPr>
        <w:t xml:space="preserve">  Based on the facts before us, we find that Results has not met either standard.  Accordingly, Results</w:t>
      </w:r>
      <w:r w:rsidRPr="00646B91">
        <w:rPr>
          <w:szCs w:val="22"/>
        </w:rPr>
        <w:t xml:space="preserve"> is in default</w:t>
      </w:r>
      <w:r>
        <w:rPr>
          <w:szCs w:val="22"/>
        </w:rPr>
        <w:t xml:space="preserve"> on its winning bids</w:t>
      </w:r>
      <w:r w:rsidRPr="00646B91">
        <w:rPr>
          <w:szCs w:val="22"/>
        </w:rPr>
        <w:t>, and subject to applicable default payments</w:t>
      </w:r>
      <w:r w:rsidRPr="00465638">
        <w:t>.</w:t>
      </w:r>
      <w:r>
        <w:rPr>
          <w:rStyle w:val="FootnoteReference"/>
        </w:rPr>
        <w:footnoteReference w:id="32"/>
      </w:r>
    </w:p>
    <w:p w:rsidR="003A2820" w:rsidRPr="00CF2F20" w:rsidP="003A2820" w14:paraId="0517A784" w14:textId="77777777">
      <w:pPr>
        <w:pStyle w:val="ParaNum"/>
        <w:widowControl/>
        <w:rPr>
          <w:szCs w:val="22"/>
        </w:rPr>
      </w:pPr>
      <w:r w:rsidRPr="006666F0">
        <w:rPr>
          <w:szCs w:val="22"/>
        </w:rPr>
        <w:t>We have previously rejected claims</w:t>
      </w:r>
      <w:r>
        <w:rPr>
          <w:szCs w:val="22"/>
        </w:rPr>
        <w:t>, similar to those that Results makes here,</w:t>
      </w:r>
      <w:r w:rsidRPr="006666F0">
        <w:rPr>
          <w:szCs w:val="22"/>
        </w:rPr>
        <w:t xml:space="preserve"> that the </w:t>
      </w:r>
      <w:r>
        <w:rPr>
          <w:szCs w:val="22"/>
        </w:rPr>
        <w:t xml:space="preserve">waiver standard would be met based solely on </w:t>
      </w:r>
      <w:r w:rsidRPr="0007707D">
        <w:rPr>
          <w:szCs w:val="22"/>
        </w:rPr>
        <w:t>a winning bidder</w:t>
      </w:r>
      <w:r>
        <w:rPr>
          <w:szCs w:val="22"/>
        </w:rPr>
        <w:t>’s</w:t>
      </w:r>
      <w:r w:rsidRPr="0007707D">
        <w:rPr>
          <w:szCs w:val="22"/>
        </w:rPr>
        <w:t xml:space="preserve"> assert</w:t>
      </w:r>
      <w:r>
        <w:rPr>
          <w:szCs w:val="22"/>
        </w:rPr>
        <w:t>ion</w:t>
      </w:r>
      <w:r w:rsidRPr="0007707D">
        <w:rPr>
          <w:szCs w:val="22"/>
        </w:rPr>
        <w:t xml:space="preserve"> that it was financially capable of making the payment, but inadvertently missed the deadline.</w:t>
      </w:r>
      <w:r>
        <w:rPr>
          <w:rStyle w:val="FootnoteReference"/>
          <w:szCs w:val="22"/>
        </w:rPr>
        <w:footnoteReference w:id="33"/>
      </w:r>
      <w:r w:rsidRPr="006666F0">
        <w:rPr>
          <w:szCs w:val="22"/>
        </w:rPr>
        <w:t xml:space="preserve">  </w:t>
      </w:r>
      <w:r>
        <w:t xml:space="preserve">Instead, the Commission has long held that the </w:t>
      </w:r>
      <w:r w:rsidRPr="006666F0">
        <w:rPr>
          <w:snapToGrid/>
          <w:kern w:val="0"/>
        </w:rPr>
        <w:t>prompt payment of auction obligations is an objective indicator that a winning bidder is financially able to meet its obligations and intends to provide service to the public.</w:t>
      </w:r>
      <w:r>
        <w:rPr>
          <w:snapToGrid/>
          <w:kern w:val="0"/>
          <w:vertAlign w:val="superscript"/>
        </w:rPr>
        <w:footnoteReference w:id="34"/>
      </w:r>
      <w:r w:rsidRPr="006666F0">
        <w:rPr>
          <w:snapToGrid/>
          <w:kern w:val="0"/>
        </w:rPr>
        <w:t xml:space="preserve">  </w:t>
      </w:r>
      <w:r>
        <w:t>The</w:t>
      </w:r>
      <w:r w:rsidRPr="00AF2F7D">
        <w:t xml:space="preserve"> </w:t>
      </w:r>
      <w:r>
        <w:t xml:space="preserve">Commission has specifically </w:t>
      </w:r>
      <w:r w:rsidRPr="006666F0">
        <w:rPr>
          <w:color w:val="000000"/>
        </w:rPr>
        <w:t>“determined that timely payments of auction obligations are the manner in which [it] can be assured of the financial qualifications, and thus the seriousness, of a winning bidder.”</w:t>
      </w:r>
      <w:r>
        <w:rPr>
          <w:rStyle w:val="FootnoteReference"/>
          <w:szCs w:val="22"/>
        </w:rPr>
        <w:footnoteReference w:id="35"/>
      </w:r>
      <w:r>
        <w:rPr>
          <w:color w:val="000000"/>
        </w:rPr>
        <w:t xml:space="preserve">  Thus, when the Commission adopted the rule allowing a winning bidder to have an additional ten business days to submit its final payment, it explained “</w:t>
      </w:r>
      <w:r w:rsidRPr="00460383">
        <w:rPr>
          <w:color w:val="000000"/>
        </w:rPr>
        <w:t>that the strict enforcement of payment deadlines enhances the integrity of the auction and licensing process by ensuring that applicants have the necessary financial qualifications</w:t>
      </w:r>
      <w:r>
        <w:rPr>
          <w:color w:val="000000"/>
        </w:rPr>
        <w:t>.”</w:t>
      </w:r>
      <w:r>
        <w:rPr>
          <w:rStyle w:val="FootnoteReference"/>
        </w:rPr>
        <w:footnoteReference w:id="36"/>
      </w:r>
      <w:r>
        <w:rPr>
          <w:color w:val="000000"/>
        </w:rPr>
        <w:t xml:space="preserve">  In upholding the policy of strict enforcement of the down payment deadline, the Commission has rejected a claim by a winning bidder that it had the necessary funds in its bank account on the payment deadline, noting that the purposes of the down payment deadline rule:</w:t>
      </w:r>
    </w:p>
    <w:p w:rsidR="003A2820" w:rsidP="003A2820" w14:paraId="77821B56" w14:textId="77777777">
      <w:pPr>
        <w:ind w:left="720" w:right="720"/>
      </w:pPr>
      <w:r>
        <w:t>include not only assurance of ability to pay but also safeguarding the integrity of the auction process by avoiding opportunities to game the auction process.  Moreover, the rule also serves a broader purpose because it eliminates the need for the Commission to undertake an individualized analysis of the financial circumstances of each auction applicant.  If this argument were correct, any winning bidder that could show it had had the required amount of funds in its bank account at the time the initial down payment was due could justify a request for waiver of the deadline seeking an extension for any length of time.</w:t>
      </w:r>
      <w:r>
        <w:rPr>
          <w:rStyle w:val="FootnoteReference"/>
        </w:rPr>
        <w:footnoteReference w:id="37"/>
      </w:r>
    </w:p>
    <w:p w:rsidR="003A2820" w:rsidP="003A2820" w14:paraId="555FAEC6" w14:textId="77777777"/>
    <w:p w:rsidR="003A2820" w:rsidP="003A2820" w14:paraId="52C0B792" w14:textId="77777777">
      <w:pPr>
        <w:spacing w:after="120"/>
        <w:rPr>
          <w:szCs w:val="22"/>
        </w:rPr>
      </w:pPr>
      <w:r>
        <w:t>T</w:t>
      </w:r>
      <w:r w:rsidRPr="00104A00">
        <w:t xml:space="preserve">he </w:t>
      </w:r>
      <w:r>
        <w:t xml:space="preserve">Commission has long recognized that the two post-auction payment deadlines (i.e., those for </w:t>
      </w:r>
      <w:r w:rsidRPr="00104A00">
        <w:t>down payment and final payment</w:t>
      </w:r>
      <w:r>
        <w:t xml:space="preserve">s) </w:t>
      </w:r>
      <w:r w:rsidRPr="00104A00">
        <w:t>share the same underlying purpose</w:t>
      </w:r>
      <w:r>
        <w:t xml:space="preserve"> of ensuring a winning bidder’s financial capability to carry out its obligations as a licensee without requiring the Commission to undertake an individualized analysis of an applicant’s finances.</w:t>
      </w:r>
      <w:r>
        <w:rPr>
          <w:rStyle w:val="FootnoteReference"/>
        </w:rPr>
        <w:footnoteReference w:id="38"/>
      </w:r>
      <w:r w:rsidRPr="00104A00">
        <w:t xml:space="preserve"> </w:t>
      </w:r>
      <w:r>
        <w:t xml:space="preserve"> S</w:t>
      </w:r>
      <w:r w:rsidRPr="00104A00">
        <w:t xml:space="preserve">trict enforcement of the final payment deadline </w:t>
      </w:r>
      <w:r>
        <w:t xml:space="preserve">in </w:t>
      </w:r>
      <w:r>
        <w:t xml:space="preserve">circumstances such as those presented here avoids our need to evaluate </w:t>
      </w:r>
      <w:r w:rsidRPr="00104A00">
        <w:t>whether Results may have possessed the necessary funds when they were due</w:t>
      </w:r>
      <w:r>
        <w:t xml:space="preserve"> and eliminates our burden of having to assess the merits of the justification proffered by Results regarding the length of its delay</w:t>
      </w:r>
      <w:r w:rsidRPr="00104A00">
        <w:t>.</w:t>
      </w:r>
      <w:r>
        <w:rPr>
          <w:rStyle w:val="FootnoteReference"/>
        </w:rPr>
        <w:footnoteReference w:id="39"/>
      </w:r>
      <w:r>
        <w:t xml:space="preserve">  </w:t>
      </w:r>
      <w:r w:rsidRPr="006807B5">
        <w:t xml:space="preserve">Thus, rather than demonstrate special circumstances which would warrant a deviation from the final payment rule, Results has presented the very arguments that demonstrate why enforcement of the rule is so critical </w:t>
      </w:r>
      <w:r w:rsidRPr="00C93E57">
        <w:t xml:space="preserve">to the efficiency of the post-auction process.  </w:t>
      </w:r>
      <w:r>
        <w:t xml:space="preserve">We therefore disagree with Results’ characterization that </w:t>
      </w:r>
      <w:r>
        <w:t>inadvertent error</w:t>
      </w:r>
      <w:r>
        <w:t xml:space="preserve"> along with claims of </w:t>
      </w:r>
      <w:r w:rsidRPr="002C7AAC">
        <w:t>having had the funds on hand</w:t>
      </w:r>
      <w:r>
        <w:t xml:space="preserve"> at the time of the payment deadline provide a sufficient basis to conclude that the underlying purposes of the rule will be served by the grant of a waiver. </w:t>
      </w:r>
      <w:r w:rsidRPr="006666F0">
        <w:rPr>
          <w:szCs w:val="22"/>
        </w:rPr>
        <w:t xml:space="preserve"> </w:t>
      </w:r>
    </w:p>
    <w:p w:rsidR="003A2820" w:rsidRPr="008955A8" w:rsidP="003A2820" w14:paraId="464F4D7B" w14:textId="77777777">
      <w:pPr>
        <w:pStyle w:val="ParaNum"/>
        <w:widowControl/>
        <w:rPr>
          <w:szCs w:val="22"/>
        </w:rPr>
      </w:pPr>
      <w:r>
        <w:rPr>
          <w:szCs w:val="22"/>
        </w:rPr>
        <w:t xml:space="preserve">We also reject Results’ suggestion that </w:t>
      </w:r>
      <w:r w:rsidRPr="00F256BA">
        <w:rPr>
          <w:i/>
          <w:szCs w:val="22"/>
        </w:rPr>
        <w:t>Silver Palm</w:t>
      </w:r>
      <w:r>
        <w:rPr>
          <w:szCs w:val="22"/>
        </w:rPr>
        <w:t xml:space="preserve"> is somehow inapposite because the missed payment in that case was proffered after a much longer period than was the case here.</w:t>
      </w:r>
      <w:r>
        <w:rPr>
          <w:rStyle w:val="FootnoteReference"/>
          <w:szCs w:val="22"/>
        </w:rPr>
        <w:footnoteReference w:id="40"/>
      </w:r>
      <w:r>
        <w:rPr>
          <w:szCs w:val="22"/>
        </w:rPr>
        <w:t xml:space="preserve">  </w:t>
      </w:r>
      <w:r w:rsidRPr="0041017B">
        <w:rPr>
          <w:szCs w:val="22"/>
        </w:rPr>
        <w:t xml:space="preserve">Results asserts that the </w:t>
      </w:r>
      <w:r w:rsidRPr="0041017B">
        <w:rPr>
          <w:i/>
          <w:szCs w:val="22"/>
        </w:rPr>
        <w:t xml:space="preserve">Silver Palm </w:t>
      </w:r>
      <w:r w:rsidRPr="0041017B">
        <w:rPr>
          <w:szCs w:val="22"/>
        </w:rPr>
        <w:t>orders and other decisions denying request for waiver of auction payment deadlines “are readily distinguishable from the circumstances presented here,”</w:t>
      </w:r>
      <w:r>
        <w:rPr>
          <w:rStyle w:val="FootnoteReference"/>
          <w:szCs w:val="22"/>
        </w:rPr>
        <w:footnoteReference w:id="41"/>
      </w:r>
      <w:r w:rsidRPr="0041017B">
        <w:rPr>
          <w:szCs w:val="22"/>
        </w:rPr>
        <w:t xml:space="preserve"> but it fails to explain how its circumstances </w:t>
      </w:r>
      <w:r>
        <w:rPr>
          <w:szCs w:val="22"/>
        </w:rPr>
        <w:t>warrant a different outcome</w:t>
      </w:r>
      <w:r w:rsidRPr="0041017B">
        <w:rPr>
          <w:szCs w:val="22"/>
        </w:rPr>
        <w:t xml:space="preserve">.  For instance, Results observes that the winning bidder in </w:t>
      </w:r>
      <w:r w:rsidRPr="0041017B">
        <w:rPr>
          <w:i/>
          <w:szCs w:val="22"/>
        </w:rPr>
        <w:t xml:space="preserve">Silver Palm </w:t>
      </w:r>
      <w:r w:rsidRPr="0041017B">
        <w:rPr>
          <w:szCs w:val="22"/>
        </w:rPr>
        <w:t>proffered its missed payment “nearly two years” late,</w:t>
      </w:r>
      <w:r>
        <w:rPr>
          <w:rStyle w:val="FootnoteReference"/>
          <w:szCs w:val="22"/>
        </w:rPr>
        <w:footnoteReference w:id="42"/>
      </w:r>
      <w:r w:rsidRPr="0041017B">
        <w:rPr>
          <w:szCs w:val="22"/>
        </w:rPr>
        <w:t xml:space="preserve"> but it does not explain why its </w:t>
      </w:r>
      <w:r>
        <w:rPr>
          <w:szCs w:val="22"/>
        </w:rPr>
        <w:t>own failure of paying more than a month late does not equally conflict with the underlying policies of the payment rule</w:t>
      </w:r>
      <w:r w:rsidRPr="0041017B">
        <w:rPr>
          <w:szCs w:val="22"/>
        </w:rPr>
        <w:t xml:space="preserve">. </w:t>
      </w:r>
      <w:r>
        <w:rPr>
          <w:szCs w:val="22"/>
        </w:rPr>
        <w:t xml:space="preserve"> Similarly, we</w:t>
      </w:r>
      <w:r w:rsidRPr="008955A8">
        <w:rPr>
          <w:szCs w:val="22"/>
        </w:rPr>
        <w:t xml:space="preserve"> are </w:t>
      </w:r>
      <w:r>
        <w:rPr>
          <w:szCs w:val="22"/>
        </w:rPr>
        <w:t xml:space="preserve">also </w:t>
      </w:r>
      <w:r w:rsidRPr="008955A8">
        <w:rPr>
          <w:szCs w:val="22"/>
        </w:rPr>
        <w:t xml:space="preserve">not persuaded by Results’ attempt to </w:t>
      </w:r>
      <w:r w:rsidRPr="00FE3AC0">
        <w:rPr>
          <w:szCs w:val="22"/>
        </w:rPr>
        <w:t xml:space="preserve">compare its circumstances to those where the Commission has granted </w:t>
      </w:r>
      <w:r>
        <w:rPr>
          <w:szCs w:val="22"/>
        </w:rPr>
        <w:t xml:space="preserve">a </w:t>
      </w:r>
      <w:r w:rsidRPr="00FE3AC0">
        <w:rPr>
          <w:szCs w:val="22"/>
        </w:rPr>
        <w:t xml:space="preserve">waiver of another deadline, such as those for an installment payment </w:t>
      </w:r>
      <w:r w:rsidRPr="008955A8">
        <w:rPr>
          <w:szCs w:val="22"/>
        </w:rPr>
        <w:t>or filing a long form application</w:t>
      </w:r>
      <w:r>
        <w:t>.</w:t>
      </w:r>
      <w:r>
        <w:rPr>
          <w:rStyle w:val="FootnoteReference"/>
        </w:rPr>
        <w:footnoteReference w:id="43"/>
      </w:r>
      <w:r>
        <w:t xml:space="preserve">  Both of those rules have their own policy purposes that are distinct from the deadline here.</w:t>
      </w:r>
      <w:r>
        <w:rPr>
          <w:rStyle w:val="FootnoteReference"/>
        </w:rPr>
        <w:footnoteReference w:id="44"/>
      </w:r>
      <w:r>
        <w:t xml:space="preserve"> </w:t>
      </w:r>
    </w:p>
    <w:p w:rsidR="003A2820" w:rsidRPr="006F327D" w:rsidP="003A2820" w14:paraId="6B5C41AC" w14:textId="40AFCCEF">
      <w:pPr>
        <w:pStyle w:val="ParaNum"/>
        <w:widowControl/>
        <w:rPr>
          <w:szCs w:val="22"/>
        </w:rPr>
      </w:pPr>
      <w:r>
        <w:t xml:space="preserve">The Commission has repeatedly stressed that </w:t>
      </w:r>
      <w:r>
        <w:rPr>
          <w:szCs w:val="22"/>
        </w:rPr>
        <w:t>i</w:t>
      </w:r>
      <w:r w:rsidRPr="00E14A5E">
        <w:rPr>
          <w:szCs w:val="22"/>
        </w:rPr>
        <w:t>t is incumbent upon an applicant to diligently prosecute its application by ascertaining and complying with the applicable payment and application deadlines established by public notice.</w:t>
      </w:r>
      <w:r>
        <w:t xml:space="preserve">  Here, Results admits that the payment instructions in the </w:t>
      </w:r>
      <w:r w:rsidRPr="00E14A5E">
        <w:rPr>
          <w:i/>
          <w:szCs w:val="22"/>
        </w:rPr>
        <w:t xml:space="preserve">Auction </w:t>
      </w:r>
      <w:r w:rsidRPr="00E14A5E">
        <w:rPr>
          <w:i/>
          <w:szCs w:val="22"/>
        </w:rPr>
        <w:t>94</w:t>
      </w:r>
      <w:r w:rsidRPr="00E14A5E">
        <w:rPr>
          <w:szCs w:val="22"/>
        </w:rPr>
        <w:t xml:space="preserve"> </w:t>
      </w:r>
      <w:r w:rsidRPr="00E14A5E">
        <w:rPr>
          <w:i/>
          <w:szCs w:val="22"/>
        </w:rPr>
        <w:t>Closing Public Notice</w:t>
      </w:r>
      <w:r w:rsidRPr="00E14A5E">
        <w:rPr>
          <w:szCs w:val="22"/>
        </w:rPr>
        <w:t xml:space="preserve"> </w:t>
      </w:r>
      <w:r>
        <w:t>were clear, and that its failure to meet the payment deadline was due to its own mistake.</w:t>
      </w:r>
      <w:r>
        <w:rPr>
          <w:rStyle w:val="FootnoteReference"/>
        </w:rPr>
        <w:footnoteReference w:id="45"/>
      </w:r>
      <w:r>
        <w:t xml:space="preserve">  We therefore conclude that absent a good faith effort to have made a payment on time, as demonstrated in the limited prior grants of waiver of the final payment deadline, we cannot find that Results has presented </w:t>
      </w:r>
      <w:r w:rsidRPr="00646B91">
        <w:rPr>
          <w:szCs w:val="22"/>
        </w:rPr>
        <w:t>special circumstances</w:t>
      </w:r>
      <w:r>
        <w:rPr>
          <w:szCs w:val="22"/>
        </w:rPr>
        <w:t xml:space="preserve"> that</w:t>
      </w:r>
      <w:r w:rsidRPr="00646B91">
        <w:rPr>
          <w:szCs w:val="22"/>
        </w:rPr>
        <w:t xml:space="preserve"> warrant a deviation from </w:t>
      </w:r>
      <w:r w:rsidR="0033619E">
        <w:rPr>
          <w:szCs w:val="22"/>
        </w:rPr>
        <w:t>s</w:t>
      </w:r>
      <w:r>
        <w:rPr>
          <w:szCs w:val="22"/>
        </w:rPr>
        <w:t>ection 1.2109(a),</w:t>
      </w:r>
      <w:r w:rsidRPr="00646B91">
        <w:rPr>
          <w:szCs w:val="22"/>
        </w:rPr>
        <w:t xml:space="preserve"> and </w:t>
      </w:r>
      <w:r>
        <w:rPr>
          <w:szCs w:val="22"/>
        </w:rPr>
        <w:t xml:space="preserve">that </w:t>
      </w:r>
      <w:r w:rsidRPr="00646B91">
        <w:rPr>
          <w:szCs w:val="22"/>
        </w:rPr>
        <w:t>such deviation w</w:t>
      </w:r>
      <w:r>
        <w:rPr>
          <w:szCs w:val="22"/>
        </w:rPr>
        <w:t xml:space="preserve">ould </w:t>
      </w:r>
      <w:r w:rsidRPr="00646B91">
        <w:rPr>
          <w:szCs w:val="22"/>
        </w:rPr>
        <w:t>serve the public interest</w:t>
      </w:r>
      <w:r>
        <w:rPr>
          <w:szCs w:val="22"/>
        </w:rPr>
        <w:t>.</w:t>
      </w:r>
      <w:r>
        <w:rPr>
          <w:rStyle w:val="FootnoteReference"/>
          <w:szCs w:val="22"/>
        </w:rPr>
        <w:footnoteReference w:id="46"/>
      </w:r>
      <w:r>
        <w:t xml:space="preserve">  We find that excusing mistakes made in the course of trying to make a timely payment is entirely different from granting a waiver to excuse an applicant’s complete inattention to a payment deadline, which would wholly undercut the purposes of the provisions of </w:t>
      </w:r>
      <w:r w:rsidR="0033619E">
        <w:t>s</w:t>
      </w:r>
      <w:r>
        <w:t xml:space="preserve">ection 1.2109(a).  </w:t>
      </w:r>
    </w:p>
    <w:p w:rsidR="003A2820" w:rsidRPr="00010DDE" w:rsidP="003A2820" w14:paraId="4D504318" w14:textId="77777777">
      <w:pPr>
        <w:pStyle w:val="ParaNum"/>
        <w:widowControl/>
        <w:rPr>
          <w:szCs w:val="22"/>
        </w:rPr>
      </w:pPr>
      <w:r>
        <w:rPr>
          <w:szCs w:val="22"/>
        </w:rPr>
        <w:t xml:space="preserve">We are also not persuaded by Results’ claims that grant of a waiver will expedite service to the public because it “will </w:t>
      </w:r>
      <w:r w:rsidRPr="006C3B2B">
        <w:t>enable the construction permits to be granted without resort to further time-consuming procedures</w:t>
      </w:r>
      <w:r>
        <w:t>.”</w:t>
      </w:r>
      <w:r>
        <w:rPr>
          <w:rStyle w:val="FootnoteReference"/>
        </w:rPr>
        <w:footnoteReference w:id="47"/>
      </w:r>
      <w:r>
        <w:t xml:space="preserve">  As the Commission concluded in its denial of waiver in </w:t>
      </w:r>
      <w:r w:rsidRPr="00157182">
        <w:rPr>
          <w:i/>
        </w:rPr>
        <w:t>Silver Palm</w:t>
      </w:r>
      <w:r>
        <w:t>, an asserted intent to provide service to the public does not outweigh the public interest benefit in the consistent enforcement of the competitive bidding rules.</w:t>
      </w:r>
      <w:r>
        <w:rPr>
          <w:rStyle w:val="FootnoteReference"/>
        </w:rPr>
        <w:footnoteReference w:id="48"/>
      </w:r>
      <w:r>
        <w:t xml:space="preserve">  </w:t>
      </w:r>
    </w:p>
    <w:p w:rsidR="003A2820" w:rsidRPr="007F7FA8" w:rsidP="003A2820" w14:paraId="1B2AC0DE" w14:textId="3355C790">
      <w:pPr>
        <w:pStyle w:val="ParaNum"/>
      </w:pPr>
      <w:r>
        <w:t xml:space="preserve">For all these reasons, we conclude that granting Results </w:t>
      </w:r>
      <w:r w:rsidRPr="00646B91">
        <w:rPr>
          <w:szCs w:val="22"/>
        </w:rPr>
        <w:t>a waiver</w:t>
      </w:r>
      <w:r>
        <w:rPr>
          <w:szCs w:val="22"/>
        </w:rPr>
        <w:t xml:space="preserve"> of the Auction 94 final payment deadline</w:t>
      </w:r>
      <w:r w:rsidRPr="00646B91">
        <w:rPr>
          <w:szCs w:val="22"/>
        </w:rPr>
        <w:t xml:space="preserve"> would </w:t>
      </w:r>
      <w:r>
        <w:rPr>
          <w:szCs w:val="22"/>
        </w:rPr>
        <w:t>conflict with the policies</w:t>
      </w:r>
      <w:r w:rsidRPr="00646B91">
        <w:rPr>
          <w:szCs w:val="22"/>
        </w:rPr>
        <w:t xml:space="preserve"> underlying </w:t>
      </w:r>
      <w:r w:rsidR="0033619E">
        <w:rPr>
          <w:szCs w:val="22"/>
        </w:rPr>
        <w:t>s</w:t>
      </w:r>
      <w:r>
        <w:rPr>
          <w:szCs w:val="22"/>
        </w:rPr>
        <w:t xml:space="preserve">ection 1.2109. </w:t>
      </w:r>
      <w:r>
        <w:t xml:space="preserve"> </w:t>
      </w:r>
      <w:r w:rsidRPr="00DA7C16">
        <w:rPr>
          <w:szCs w:val="22"/>
        </w:rPr>
        <w:t>Moreover, insofar as Results admittedly failed to diligently prepare for</w:t>
      </w:r>
      <w:r>
        <w:rPr>
          <w:szCs w:val="22"/>
        </w:rPr>
        <w:t>,</w:t>
      </w:r>
      <w:r w:rsidRPr="00DA7C16">
        <w:rPr>
          <w:szCs w:val="22"/>
        </w:rPr>
        <w:t xml:space="preserve"> </w:t>
      </w:r>
      <w:r>
        <w:rPr>
          <w:szCs w:val="22"/>
        </w:rPr>
        <w:t xml:space="preserve">and be aware of, </w:t>
      </w:r>
      <w:r w:rsidRPr="00DA7C16">
        <w:rPr>
          <w:szCs w:val="22"/>
        </w:rPr>
        <w:t xml:space="preserve">its post auction obligations we cannot conclude that it is inequitable, unduly burdensome or contrary to the public interest to enforce the payment deadline. </w:t>
      </w:r>
    </w:p>
    <w:p w:rsidR="003A2820" w:rsidP="003A2820" w14:paraId="5235D39F" w14:textId="77777777">
      <w:pPr>
        <w:pStyle w:val="Heading1"/>
        <w:widowControl/>
        <w:tabs>
          <w:tab w:val="num" w:pos="720"/>
        </w:tabs>
        <w:rPr>
          <w:szCs w:val="22"/>
        </w:rPr>
      </w:pPr>
      <w:r>
        <w:t>ASSESSMENT OF INTERIM DEFAULT PAYMENT</w:t>
      </w:r>
    </w:p>
    <w:p w:rsidR="003A2820" w:rsidP="003A2820" w14:paraId="760465D5" w14:textId="77777777">
      <w:pPr>
        <w:pStyle w:val="ParaNum"/>
      </w:pPr>
      <w:r>
        <w:t>The Commission’s rules provide that a bidder who fails to remit the required final payment for a license for which it was the high bidder is subject to a default payment.</w:t>
      </w:r>
      <w:r>
        <w:rPr>
          <w:rStyle w:val="FootnoteReference"/>
          <w:szCs w:val="22"/>
        </w:rPr>
        <w:footnoteReference w:id="49"/>
      </w:r>
      <w:r>
        <w:t xml:space="preserve">  These payment obligations include both a deficiency payment, equal to the difference between the amount of the defaulter’s bid and the amount of the winning bid the next time a permit or license covering the same spectrum is won in an auction, plus an additional default payment equal to a percent of the defaulter’s bid or the subsequent winning bid, whichever is less.</w:t>
      </w:r>
      <w:r>
        <w:rPr>
          <w:rStyle w:val="FootnoteReference"/>
        </w:rPr>
        <w:footnoteReference w:id="50"/>
      </w:r>
      <w:r>
        <w:t xml:space="preserve">  The additional default payment for Auction 94 permits was set to twenty percent of the applicable bid.</w:t>
      </w:r>
      <w:r>
        <w:rPr>
          <w:rStyle w:val="FootnoteReference"/>
          <w:szCs w:val="22"/>
        </w:rPr>
        <w:footnoteReference w:id="51"/>
      </w:r>
      <w:r>
        <w:t xml:space="preserve">  </w:t>
      </w:r>
    </w:p>
    <w:p w:rsidR="003A2820" w:rsidRPr="00FC4AA5" w:rsidP="003A2820" w14:paraId="21C38BE0" w14:textId="7CD5B7E0">
      <w:pPr>
        <w:pStyle w:val="ParaNum"/>
      </w:pPr>
      <w:r>
        <w:t xml:space="preserve">Section 1.2109(b) of the Commission’s rules provides that a winning bidder who fails to remit the required down payment within ten business days after the Commission has declared competitive bidding closed will be deemed to have defaulted, its application will be dismissed, and it will be liable for </w:t>
      </w:r>
      <w:r>
        <w:t>the applicable default payment obligations specified in 47 CFR § 1.2104(g).</w:t>
      </w:r>
      <w:r>
        <w:rPr>
          <w:rStyle w:val="FootnoteReference"/>
        </w:rPr>
        <w:footnoteReference w:id="52"/>
      </w:r>
      <w:r>
        <w:t xml:space="preserve">  Although we cannot determine Result’s total default payment at this time,</w:t>
      </w:r>
      <w:r>
        <w:rPr>
          <w:rStyle w:val="FootnoteReference"/>
        </w:rPr>
        <w:footnoteReference w:id="53"/>
      </w:r>
      <w:r>
        <w:t xml:space="preserve"> we will assess an interim default payment owed by Result, amounting to twenty percent of its defaulted net winning bids for </w:t>
      </w:r>
      <w:r w:rsidRPr="00A37A24">
        <w:rPr>
          <w:szCs w:val="22"/>
        </w:rPr>
        <w:t>MM-</w:t>
      </w:r>
      <w:r w:rsidRPr="00A37A24">
        <w:rPr>
          <w:spacing w:val="-2"/>
          <w:szCs w:val="22"/>
        </w:rPr>
        <w:t xml:space="preserve">FM1061-C3 (Tomahawk, WI) </w:t>
      </w:r>
      <w:r w:rsidRPr="00A37A24">
        <w:rPr>
          <w:szCs w:val="22"/>
        </w:rPr>
        <w:t xml:space="preserve">and </w:t>
      </w:r>
      <w:r w:rsidRPr="00A37A24">
        <w:rPr>
          <w:spacing w:val="-2"/>
          <w:szCs w:val="22"/>
        </w:rPr>
        <w:t>MM-FM969-A (Crandon, WI)</w:t>
      </w:r>
      <w:r w:rsidRPr="00A37A24">
        <w:rPr>
          <w:szCs w:val="22"/>
        </w:rPr>
        <w:t xml:space="preserve"> </w:t>
      </w:r>
      <w:r>
        <w:t>or $7,000.00.</w:t>
      </w:r>
      <w:r>
        <w:rPr>
          <w:rStyle w:val="FootnoteReference"/>
        </w:rPr>
        <w:footnoteReference w:id="54"/>
      </w:r>
      <w:r>
        <w:t xml:space="preserve">  Pursuant to </w:t>
      </w:r>
      <w:r w:rsidR="0033619E">
        <w:t>s</w:t>
      </w:r>
      <w:r>
        <w:t>ection 1.2106(e) of the Commission’s rules, we will apply Results’ payment on deposit to satisfy this interim default payment obligation.</w:t>
      </w:r>
      <w:r>
        <w:rPr>
          <w:rStyle w:val="FootnoteReference"/>
        </w:rPr>
        <w:footnoteReference w:id="55"/>
      </w:r>
    </w:p>
    <w:p w:rsidR="003A2820" w:rsidRPr="00FC4AA5" w:rsidP="003A2820" w14:paraId="65D9CEA3" w14:textId="77777777">
      <w:pPr>
        <w:pStyle w:val="Heading1"/>
      </w:pPr>
      <w:r>
        <w:t>ordering clauses</w:t>
      </w:r>
    </w:p>
    <w:p w:rsidR="003A2820" w:rsidP="003A2820" w14:paraId="6FD9413E" w14:textId="5734E0FA">
      <w:pPr>
        <w:pStyle w:val="ParaNum"/>
      </w:pPr>
      <w:r w:rsidRPr="00FC4AA5">
        <w:t xml:space="preserve">Accordingly, IT IS ORDERED that, pursuant to the authority contained in </w:t>
      </w:r>
      <w:r w:rsidR="0033619E">
        <w:t>s</w:t>
      </w:r>
      <w:r w:rsidRPr="00FC4AA5">
        <w:t>ections 1, 4(</w:t>
      </w:r>
      <w:r w:rsidRPr="00FC4AA5">
        <w:t>i</w:t>
      </w:r>
      <w:r w:rsidRPr="00FC4AA5">
        <w:t>), and 303(r), of the Communications Act of 1934, as amended, 47 U.S.C. §§ 151, 154(</w:t>
      </w:r>
      <w:r w:rsidRPr="00FC4AA5">
        <w:t>i</w:t>
      </w:r>
      <w:r w:rsidRPr="00FC4AA5">
        <w:t xml:space="preserve">), 303(r), and </w:t>
      </w:r>
      <w:r w:rsidR="0033619E">
        <w:t>s</w:t>
      </w:r>
      <w:r w:rsidRPr="00FC4AA5">
        <w:t xml:space="preserve">ections </w:t>
      </w:r>
      <w:r>
        <w:t xml:space="preserve">0.21, 0.61, 0.271, 0.283, and 1.3 </w:t>
      </w:r>
      <w:r w:rsidRPr="00FC4AA5">
        <w:t>of the Commission’s rules, 47</w:t>
      </w:r>
      <w:r>
        <w:t> </w:t>
      </w:r>
      <w:r w:rsidRPr="00FC4AA5">
        <w:t xml:space="preserve">CFR §§ </w:t>
      </w:r>
      <w:r>
        <w:t>0.21, 0.61, 0.271, 0.283, and 1.3</w:t>
      </w:r>
      <w:r w:rsidRPr="00FC4AA5">
        <w:t>,</w:t>
      </w:r>
      <w:r w:rsidRPr="00EE5685">
        <w:t xml:space="preserve"> </w:t>
      </w:r>
      <w:r>
        <w:t xml:space="preserve">Results </w:t>
      </w:r>
      <w:r w:rsidRPr="00A37A24">
        <w:rPr>
          <w:szCs w:val="22"/>
        </w:rPr>
        <w:t>Broadcasting R</w:t>
      </w:r>
      <w:r>
        <w:rPr>
          <w:szCs w:val="22"/>
        </w:rPr>
        <w:t>hinelander, Inc.’s</w:t>
      </w:r>
      <w:r w:rsidRPr="00A37A24">
        <w:rPr>
          <w:szCs w:val="22"/>
        </w:rPr>
        <w:t xml:space="preserve"> </w:t>
      </w:r>
      <w:r>
        <w:t>Petition</w:t>
      </w:r>
      <w:r w:rsidRPr="00EE5685">
        <w:t xml:space="preserve"> for Waiver</w:t>
      </w:r>
      <w:r>
        <w:t xml:space="preserve"> of Final Payment Deadline</w:t>
      </w:r>
      <w:r w:rsidRPr="00EE5685">
        <w:t>, dated</w:t>
      </w:r>
      <w:r>
        <w:t xml:space="preserve"> July 24, 2013</w:t>
      </w:r>
      <w:r w:rsidRPr="00EE5685">
        <w:t>, is DENIED.</w:t>
      </w:r>
    </w:p>
    <w:p w:rsidR="003A2820" w:rsidP="003A2820" w14:paraId="7CA8D54A" w14:textId="77777777">
      <w:pPr>
        <w:pStyle w:val="ParaNum"/>
      </w:pPr>
      <w:r>
        <w:t xml:space="preserve">IT IS FURTHER ORDERED that, under sections 1.2104 and 1.2106 of the Commission’s rules, 47 CFR §§ 1.2104 and 1.2106, Results </w:t>
      </w:r>
      <w:r w:rsidRPr="00A37A24">
        <w:rPr>
          <w:szCs w:val="22"/>
        </w:rPr>
        <w:t>Broadcasting R</w:t>
      </w:r>
      <w:r>
        <w:rPr>
          <w:szCs w:val="22"/>
        </w:rPr>
        <w:t>hinelander, Inc.’s</w:t>
      </w:r>
      <w:r w:rsidRPr="00A37A24">
        <w:rPr>
          <w:szCs w:val="22"/>
        </w:rPr>
        <w:t xml:space="preserve"> </w:t>
      </w:r>
      <w:r>
        <w:t>funds on deposit with the Commission will be applied toward satisfying the interim default payment obligation.</w:t>
      </w:r>
    </w:p>
    <w:p w:rsidR="003A2820" w:rsidRPr="00EE5685" w:rsidP="003A2820" w14:paraId="740B7C21" w14:textId="77777777">
      <w:pPr>
        <w:pStyle w:val="ParaNum"/>
      </w:pPr>
      <w:r>
        <w:t xml:space="preserve">IT IS FURTHER ORDERED that, under section 1.2104(g)(2) of the Commission’s rules, 47 CFR § 1.2104(g)(2), Results </w:t>
      </w:r>
      <w:r w:rsidRPr="00A37A24">
        <w:rPr>
          <w:szCs w:val="22"/>
        </w:rPr>
        <w:t>Broadcasting R</w:t>
      </w:r>
      <w:r>
        <w:rPr>
          <w:szCs w:val="22"/>
        </w:rPr>
        <w:t xml:space="preserve">hinelander, Inc. </w:t>
      </w:r>
      <w:r>
        <w:t xml:space="preserve">will be subject to a final default payment for its defaulted winning bids during Auction 94 for </w:t>
      </w:r>
      <w:r w:rsidRPr="00A37A24">
        <w:rPr>
          <w:szCs w:val="22"/>
        </w:rPr>
        <w:t>two FM broadcast construction permits, MM-</w:t>
      </w:r>
      <w:r w:rsidRPr="00A37A24">
        <w:rPr>
          <w:spacing w:val="-2"/>
          <w:szCs w:val="22"/>
        </w:rPr>
        <w:t xml:space="preserve">FM1061-C3 (Tomahawk, WI) </w:t>
      </w:r>
      <w:r w:rsidRPr="00A37A24">
        <w:rPr>
          <w:szCs w:val="22"/>
        </w:rPr>
        <w:t xml:space="preserve">and </w:t>
      </w:r>
      <w:r w:rsidRPr="00A37A24">
        <w:rPr>
          <w:spacing w:val="-2"/>
          <w:szCs w:val="22"/>
        </w:rPr>
        <w:t>MM-FM969-A (Crandon, WI</w:t>
      </w:r>
      <w:r>
        <w:t>) once the permits are won in a subsequent auction and the full payment amount is determined.</w:t>
      </w:r>
    </w:p>
    <w:p w:rsidR="003A2820" w:rsidP="003A2820" w14:paraId="77A5EEC1" w14:textId="77777777">
      <w:pPr>
        <w:pStyle w:val="ParaNum"/>
      </w:pPr>
      <w:r>
        <w:t xml:space="preserve">IT IS FURTHER ORDERED that Results </w:t>
      </w:r>
      <w:r w:rsidRPr="00A37A24">
        <w:rPr>
          <w:szCs w:val="22"/>
        </w:rPr>
        <w:t>Broadcasting R</w:t>
      </w:r>
      <w:r>
        <w:rPr>
          <w:szCs w:val="22"/>
        </w:rPr>
        <w:t>hinelander, Inc.’s</w:t>
      </w:r>
      <w:r w:rsidRPr="00A37A24">
        <w:rPr>
          <w:szCs w:val="22"/>
        </w:rPr>
        <w:t xml:space="preserve"> </w:t>
      </w:r>
      <w:r w:rsidRPr="00226F77">
        <w:t>FCC Form 301</w:t>
      </w:r>
      <w:r>
        <w:t xml:space="preserve"> </w:t>
      </w:r>
      <w:r w:rsidRPr="00226F77">
        <w:t>Application</w:t>
      </w:r>
      <w:r>
        <w:t>s</w:t>
      </w:r>
      <w:r w:rsidRPr="00226F77">
        <w:t xml:space="preserve"> for Construction Permit for Commercial Broadcast Station </w:t>
      </w:r>
      <w:r>
        <w:t>at Tomahawk, WI and Crandon, WI are</w:t>
      </w:r>
      <w:r w:rsidRPr="00226F77">
        <w:t xml:space="preserve"> DISMISSED</w:t>
      </w:r>
      <w:r>
        <w:t>.</w:t>
      </w:r>
    </w:p>
    <w:p w:rsidR="003A2820" w:rsidRPr="00E1785E" w:rsidP="004E06D5" w14:paraId="32BBF8D1" w14:textId="52404249">
      <w:pPr>
        <w:pStyle w:val="ParaNum"/>
        <w:tabs>
          <w:tab w:val="clear" w:pos="1080"/>
          <w:tab w:val="num" w:pos="1440"/>
        </w:tabs>
      </w:pPr>
      <w:r>
        <w:br w:type="page"/>
      </w:r>
      <w:r w:rsidRPr="00E1785E">
        <w:t>IT I</w:t>
      </w:r>
      <w:r>
        <w:t>S FURTHER ORDERED that, pursuant</w:t>
      </w:r>
      <w:r w:rsidRPr="00E1785E">
        <w:t xml:space="preserve"> to </w:t>
      </w:r>
      <w:r w:rsidR="0033619E">
        <w:t>s</w:t>
      </w:r>
      <w:r w:rsidRPr="00E1785E">
        <w:t>ection 1.102(b)(1) of the Commission’s rules, 47</w:t>
      </w:r>
      <w:r>
        <w:t> </w:t>
      </w:r>
      <w:r w:rsidRPr="00E1785E">
        <w:t xml:space="preserve">CFR § 1.102(b)(1), this </w:t>
      </w:r>
      <w:r>
        <w:t>O</w:t>
      </w:r>
      <w:r w:rsidRPr="00E1785E">
        <w:t>rder SHALL BE effective upon release.</w:t>
      </w:r>
    </w:p>
    <w:p w:rsidR="003A2820" w:rsidP="003A2820" w14:paraId="70453A8C" w14:textId="77777777">
      <w:pPr>
        <w:tabs>
          <w:tab w:val="left" w:pos="1440"/>
        </w:tabs>
        <w:spacing w:after="120"/>
        <w:ind w:firstLine="720"/>
        <w:jc w:val="both"/>
        <w:rPr>
          <w:snapToGrid/>
          <w:kern w:val="0"/>
        </w:rPr>
      </w:pPr>
    </w:p>
    <w:p w:rsidR="003A2820" w:rsidRPr="00FC4AA5" w:rsidP="003A2820" w14:paraId="2AE3F7C9" w14:textId="77777777">
      <w:pPr>
        <w:tabs>
          <w:tab w:val="left" w:pos="1440"/>
        </w:tabs>
        <w:ind w:firstLine="720"/>
        <w:jc w:val="both"/>
        <w:rPr>
          <w:snapToGrid/>
          <w:kern w:val="0"/>
        </w:rPr>
      </w:pPr>
      <w:r w:rsidRPr="00FC4AA5">
        <w:rPr>
          <w:snapToGrid/>
          <w:kern w:val="0"/>
        </w:rPr>
        <w:tab/>
      </w:r>
      <w:r w:rsidRPr="00FC4AA5">
        <w:rPr>
          <w:snapToGrid/>
          <w:kern w:val="0"/>
        </w:rPr>
        <w:tab/>
      </w:r>
      <w:r w:rsidRPr="00FC4AA5">
        <w:rPr>
          <w:snapToGrid/>
          <w:kern w:val="0"/>
        </w:rPr>
        <w:tab/>
      </w:r>
      <w:r w:rsidRPr="00FC4AA5">
        <w:rPr>
          <w:snapToGrid/>
          <w:kern w:val="0"/>
        </w:rPr>
        <w:tab/>
      </w:r>
      <w:r w:rsidRPr="00FC4AA5">
        <w:rPr>
          <w:snapToGrid/>
          <w:kern w:val="0"/>
        </w:rPr>
        <w:tab/>
        <w:t>FEDERAL COMMUNICATIONS COMMISSION</w:t>
      </w:r>
    </w:p>
    <w:p w:rsidR="003A2820" w:rsidRPr="00FC4AA5" w:rsidP="003A2820" w14:paraId="06A5954B" w14:textId="77777777">
      <w:pPr>
        <w:tabs>
          <w:tab w:val="left" w:pos="1440"/>
        </w:tabs>
        <w:jc w:val="both"/>
        <w:rPr>
          <w:snapToGrid/>
          <w:kern w:val="0"/>
        </w:rPr>
      </w:pPr>
      <w:r w:rsidRPr="00FC4AA5">
        <w:rPr>
          <w:snapToGrid/>
          <w:kern w:val="0"/>
        </w:rPr>
        <w:tab/>
      </w:r>
    </w:p>
    <w:p w:rsidR="003A2820" w:rsidRPr="00FC4AA5" w:rsidP="003A2820" w14:paraId="195D055D" w14:textId="77777777">
      <w:pPr>
        <w:tabs>
          <w:tab w:val="left" w:pos="1440"/>
        </w:tabs>
        <w:jc w:val="both"/>
        <w:rPr>
          <w:snapToGrid/>
          <w:kern w:val="0"/>
        </w:rPr>
      </w:pPr>
    </w:p>
    <w:p w:rsidR="003A2820" w:rsidRPr="00FC4AA5" w:rsidP="003A2820" w14:paraId="20A36D38" w14:textId="77777777">
      <w:pPr>
        <w:tabs>
          <w:tab w:val="left" w:pos="1440"/>
        </w:tabs>
        <w:jc w:val="both"/>
        <w:rPr>
          <w:snapToGrid/>
          <w:kern w:val="0"/>
        </w:rPr>
      </w:pPr>
    </w:p>
    <w:p w:rsidR="003A2820" w:rsidRPr="00FC4AA5" w:rsidP="003A2820" w14:paraId="38A1CC2B" w14:textId="77777777">
      <w:pPr>
        <w:tabs>
          <w:tab w:val="left" w:pos="1440"/>
        </w:tabs>
        <w:jc w:val="both"/>
        <w:rPr>
          <w:snapToGrid/>
          <w:kern w:val="0"/>
        </w:rPr>
      </w:pPr>
    </w:p>
    <w:p w:rsidR="003A2820" w:rsidRPr="00FC4AA5" w:rsidP="003A2820" w14:paraId="32226AC2" w14:textId="0A5EA150">
      <w:pPr>
        <w:tabs>
          <w:tab w:val="left" w:pos="1440"/>
        </w:tabs>
        <w:jc w:val="both"/>
        <w:rPr>
          <w:snapToGrid/>
          <w:kern w:val="0"/>
        </w:rPr>
      </w:pPr>
      <w:r w:rsidRPr="00FC4AA5">
        <w:rPr>
          <w:snapToGrid/>
          <w:kern w:val="0"/>
        </w:rPr>
        <w:tab/>
      </w:r>
      <w:r w:rsidRPr="00FC4AA5">
        <w:rPr>
          <w:snapToGrid/>
          <w:kern w:val="0"/>
        </w:rPr>
        <w:tab/>
      </w:r>
      <w:r w:rsidRPr="00FC4AA5">
        <w:rPr>
          <w:snapToGrid/>
          <w:kern w:val="0"/>
        </w:rPr>
        <w:tab/>
      </w:r>
      <w:r w:rsidRPr="00FC4AA5">
        <w:rPr>
          <w:snapToGrid/>
          <w:kern w:val="0"/>
        </w:rPr>
        <w:tab/>
      </w:r>
      <w:r w:rsidRPr="00FC4AA5">
        <w:rPr>
          <w:snapToGrid/>
          <w:kern w:val="0"/>
        </w:rPr>
        <w:tab/>
      </w:r>
      <w:r w:rsidRPr="00FC4AA5" w:rsidR="00A54226">
        <w:rPr>
          <w:snapToGrid/>
          <w:kern w:val="0"/>
        </w:rPr>
        <w:t>Margaret W. Wiener</w:t>
      </w:r>
      <w:bookmarkStart w:id="2" w:name="_GoBack"/>
      <w:bookmarkEnd w:id="2"/>
    </w:p>
    <w:p w:rsidR="003A2820" w:rsidRPr="00FC4AA5" w:rsidP="003A2820" w14:paraId="6D6665D9" w14:textId="556FA5C5">
      <w:pPr>
        <w:tabs>
          <w:tab w:val="left" w:pos="1440"/>
        </w:tabs>
        <w:jc w:val="both"/>
        <w:rPr>
          <w:snapToGrid/>
          <w:kern w:val="0"/>
        </w:rPr>
      </w:pPr>
      <w:r w:rsidRPr="00FC4AA5">
        <w:rPr>
          <w:snapToGrid/>
          <w:kern w:val="0"/>
        </w:rPr>
        <w:tab/>
      </w:r>
      <w:r w:rsidRPr="00FC4AA5">
        <w:rPr>
          <w:snapToGrid/>
          <w:kern w:val="0"/>
        </w:rPr>
        <w:tab/>
      </w:r>
      <w:r w:rsidRPr="00FC4AA5">
        <w:rPr>
          <w:snapToGrid/>
          <w:kern w:val="0"/>
        </w:rPr>
        <w:tab/>
      </w:r>
      <w:r w:rsidRPr="00FC4AA5">
        <w:rPr>
          <w:snapToGrid/>
          <w:kern w:val="0"/>
        </w:rPr>
        <w:tab/>
      </w:r>
      <w:r w:rsidRPr="00FC4AA5">
        <w:rPr>
          <w:snapToGrid/>
          <w:kern w:val="0"/>
        </w:rPr>
        <w:tab/>
        <w:t>Chief, Auctions Division</w:t>
      </w:r>
    </w:p>
    <w:p w:rsidR="003A2820" w:rsidP="003A2820" w14:paraId="0C5E19B7" w14:textId="77777777">
      <w:pPr>
        <w:pStyle w:val="ParaNum"/>
        <w:numPr>
          <w:ilvl w:val="0"/>
          <w:numId w:val="0"/>
        </w:numPr>
        <w:tabs>
          <w:tab w:val="num" w:pos="1440"/>
        </w:tabs>
        <w:ind w:firstLine="720"/>
        <w:rPr>
          <w:snapToGrid/>
          <w:kern w:val="0"/>
        </w:rPr>
      </w:pPr>
      <w:r w:rsidRPr="00FC4AA5">
        <w:rPr>
          <w:snapToGrid/>
          <w:kern w:val="0"/>
        </w:rPr>
        <w:tab/>
      </w:r>
      <w:r w:rsidRPr="00FC4AA5">
        <w:rPr>
          <w:snapToGrid/>
          <w:kern w:val="0"/>
        </w:rPr>
        <w:tab/>
      </w:r>
      <w:r w:rsidRPr="00FC4AA5">
        <w:rPr>
          <w:snapToGrid/>
          <w:kern w:val="0"/>
        </w:rPr>
        <w:tab/>
      </w:r>
      <w:r w:rsidRPr="00FC4AA5">
        <w:rPr>
          <w:snapToGrid/>
          <w:kern w:val="0"/>
        </w:rPr>
        <w:tab/>
      </w:r>
      <w:r w:rsidRPr="00FC4AA5">
        <w:rPr>
          <w:snapToGrid/>
          <w:kern w:val="0"/>
        </w:rPr>
        <w:tab/>
      </w:r>
      <w:r>
        <w:rPr>
          <w:snapToGrid/>
          <w:kern w:val="0"/>
        </w:rPr>
        <w:t>Office of Economics and Analytics</w:t>
      </w:r>
    </w:p>
    <w:p w:rsidR="003A2820" w:rsidP="003A2820" w14:paraId="110D39E8" w14:textId="77777777">
      <w:pPr>
        <w:pStyle w:val="ParaNum"/>
        <w:numPr>
          <w:ilvl w:val="0"/>
          <w:numId w:val="0"/>
        </w:numPr>
        <w:tabs>
          <w:tab w:val="num" w:pos="1440"/>
        </w:tabs>
        <w:ind w:firstLine="720"/>
        <w:rPr>
          <w:snapToGrid/>
          <w:kern w:val="0"/>
        </w:rPr>
      </w:pPr>
    </w:p>
    <w:p w:rsidR="003A2820" w:rsidP="003A2820" w14:paraId="43732424" w14:textId="77777777">
      <w:pPr>
        <w:pStyle w:val="ParaNum"/>
        <w:numPr>
          <w:ilvl w:val="0"/>
          <w:numId w:val="0"/>
        </w:numPr>
        <w:tabs>
          <w:tab w:val="num" w:pos="1440"/>
        </w:tabs>
        <w:spacing w:after="0"/>
        <w:ind w:firstLine="720"/>
        <w:rPr>
          <w:snapToGrid/>
          <w:kern w:val="0"/>
        </w:rPr>
      </w:pPr>
      <w:r>
        <w:rPr>
          <w:snapToGrid/>
          <w:kern w:val="0"/>
        </w:rPr>
        <w:tab/>
      </w:r>
      <w:r>
        <w:rPr>
          <w:snapToGrid/>
          <w:kern w:val="0"/>
        </w:rPr>
        <w:tab/>
      </w:r>
      <w:r>
        <w:rPr>
          <w:snapToGrid/>
          <w:kern w:val="0"/>
        </w:rPr>
        <w:tab/>
      </w:r>
      <w:r>
        <w:rPr>
          <w:snapToGrid/>
          <w:kern w:val="0"/>
        </w:rPr>
        <w:tab/>
      </w:r>
      <w:r>
        <w:rPr>
          <w:snapToGrid/>
          <w:kern w:val="0"/>
        </w:rPr>
        <w:tab/>
      </w:r>
    </w:p>
    <w:p w:rsidR="003A2820" w:rsidP="003A2820" w14:paraId="333E4F06" w14:textId="77777777">
      <w:pPr>
        <w:pStyle w:val="ParaNum"/>
        <w:numPr>
          <w:ilvl w:val="0"/>
          <w:numId w:val="0"/>
        </w:numPr>
        <w:tabs>
          <w:tab w:val="num" w:pos="1440"/>
        </w:tabs>
        <w:spacing w:after="0"/>
        <w:ind w:firstLine="720"/>
        <w:rPr>
          <w:snapToGrid/>
          <w:kern w:val="0"/>
        </w:rPr>
      </w:pPr>
    </w:p>
    <w:p w:rsidR="003A2820" w:rsidP="003A2820" w14:paraId="786A59C4" w14:textId="77777777">
      <w:pPr>
        <w:pStyle w:val="ParaNum"/>
        <w:numPr>
          <w:ilvl w:val="0"/>
          <w:numId w:val="0"/>
        </w:numPr>
        <w:tabs>
          <w:tab w:val="num" w:pos="1440"/>
        </w:tabs>
        <w:spacing w:after="0"/>
        <w:ind w:firstLine="720"/>
        <w:rPr>
          <w:snapToGrid/>
          <w:kern w:val="0"/>
        </w:rPr>
      </w:pPr>
    </w:p>
    <w:p w:rsidR="003A2820" w:rsidP="003A2820" w14:paraId="2302A413" w14:textId="77777777">
      <w:pPr>
        <w:pStyle w:val="ParaNum"/>
        <w:numPr>
          <w:ilvl w:val="0"/>
          <w:numId w:val="0"/>
        </w:numPr>
        <w:tabs>
          <w:tab w:val="num" w:pos="1440"/>
        </w:tabs>
        <w:spacing w:after="0"/>
        <w:ind w:firstLine="720"/>
        <w:rPr>
          <w:snapToGrid/>
          <w:kern w:val="0"/>
        </w:rPr>
      </w:pPr>
      <w:r>
        <w:rPr>
          <w:snapToGrid/>
          <w:kern w:val="0"/>
        </w:rPr>
        <w:tab/>
      </w:r>
      <w:r>
        <w:rPr>
          <w:snapToGrid/>
          <w:kern w:val="0"/>
        </w:rPr>
        <w:tab/>
      </w:r>
      <w:r>
        <w:rPr>
          <w:snapToGrid/>
          <w:kern w:val="0"/>
        </w:rPr>
        <w:tab/>
      </w:r>
      <w:r>
        <w:rPr>
          <w:snapToGrid/>
          <w:kern w:val="0"/>
        </w:rPr>
        <w:tab/>
      </w:r>
      <w:r>
        <w:rPr>
          <w:snapToGrid/>
          <w:kern w:val="0"/>
        </w:rPr>
        <w:tab/>
        <w:t xml:space="preserve">Albert </w:t>
      </w:r>
      <w:r>
        <w:rPr>
          <w:snapToGrid/>
          <w:kern w:val="0"/>
        </w:rPr>
        <w:t>Shuldiner</w:t>
      </w:r>
    </w:p>
    <w:p w:rsidR="003A2820" w:rsidP="003A2820" w14:paraId="375D27B9" w14:textId="77777777">
      <w:pPr>
        <w:pStyle w:val="ParaNum"/>
        <w:numPr>
          <w:ilvl w:val="0"/>
          <w:numId w:val="0"/>
        </w:numPr>
        <w:tabs>
          <w:tab w:val="num" w:pos="1440"/>
        </w:tabs>
        <w:spacing w:after="0"/>
        <w:ind w:firstLine="720"/>
        <w:rPr>
          <w:snapToGrid/>
          <w:kern w:val="0"/>
        </w:rPr>
      </w:pPr>
      <w:r>
        <w:rPr>
          <w:snapToGrid/>
          <w:kern w:val="0"/>
        </w:rPr>
        <w:tab/>
      </w:r>
      <w:r>
        <w:rPr>
          <w:snapToGrid/>
          <w:kern w:val="0"/>
        </w:rPr>
        <w:tab/>
      </w:r>
      <w:r>
        <w:rPr>
          <w:snapToGrid/>
          <w:kern w:val="0"/>
        </w:rPr>
        <w:tab/>
      </w:r>
      <w:r>
        <w:rPr>
          <w:snapToGrid/>
          <w:kern w:val="0"/>
        </w:rPr>
        <w:tab/>
      </w:r>
      <w:r>
        <w:rPr>
          <w:snapToGrid/>
          <w:kern w:val="0"/>
        </w:rPr>
        <w:tab/>
        <w:t>Chief, Audio Division</w:t>
      </w:r>
    </w:p>
    <w:p w:rsidR="003A2820" w:rsidP="003A2820" w14:paraId="0BC9AE3D" w14:textId="77777777">
      <w:pPr>
        <w:pStyle w:val="ParaNum"/>
        <w:numPr>
          <w:ilvl w:val="0"/>
          <w:numId w:val="0"/>
        </w:numPr>
        <w:tabs>
          <w:tab w:val="num" w:pos="1440"/>
        </w:tabs>
        <w:spacing w:after="0"/>
        <w:ind w:firstLine="720"/>
        <w:rPr>
          <w:snapToGrid/>
          <w:kern w:val="0"/>
        </w:rPr>
      </w:pPr>
      <w:r>
        <w:rPr>
          <w:snapToGrid/>
          <w:kern w:val="0"/>
        </w:rPr>
        <w:tab/>
      </w:r>
      <w:r>
        <w:rPr>
          <w:snapToGrid/>
          <w:kern w:val="0"/>
        </w:rPr>
        <w:tab/>
      </w:r>
      <w:r>
        <w:rPr>
          <w:snapToGrid/>
          <w:kern w:val="0"/>
        </w:rPr>
        <w:tab/>
      </w:r>
      <w:r>
        <w:rPr>
          <w:snapToGrid/>
          <w:kern w:val="0"/>
        </w:rPr>
        <w:tab/>
      </w:r>
      <w:r>
        <w:rPr>
          <w:snapToGrid/>
          <w:kern w:val="0"/>
        </w:rPr>
        <w:tab/>
        <w:t>Media Bureau</w:t>
      </w:r>
    </w:p>
    <w:p w:rsidR="00662845" w:rsidP="00662845" w14:paraId="532E1F51" w14:textId="77777777">
      <w:pPr>
        <w:pStyle w:val="ParaNum"/>
        <w:numPr>
          <w:ilvl w:val="0"/>
          <w:numId w:val="0"/>
        </w:numPr>
        <w:tabs>
          <w:tab w:val="num" w:pos="1440"/>
        </w:tabs>
        <w:ind w:firstLine="720"/>
        <w:rPr>
          <w:snapToGrid/>
          <w:kern w:val="0"/>
        </w:rPr>
      </w:pPr>
    </w:p>
    <w:p w:rsidR="00662845" w:rsidP="00662845" w14:paraId="2B74595E" w14:textId="77777777">
      <w:pPr>
        <w:pStyle w:val="ParaNum"/>
        <w:numPr>
          <w:ilvl w:val="0"/>
          <w:numId w:val="0"/>
        </w:numPr>
        <w:tabs>
          <w:tab w:val="num" w:pos="1440"/>
        </w:tabs>
        <w:spacing w:after="0"/>
        <w:ind w:firstLine="720"/>
        <w:rPr>
          <w:snapToGrid/>
          <w:kern w:val="0"/>
        </w:rPr>
      </w:pPr>
      <w:r>
        <w:rPr>
          <w:snapToGrid/>
          <w:kern w:val="0"/>
        </w:rPr>
        <w:tab/>
      </w:r>
      <w:r>
        <w:rPr>
          <w:snapToGrid/>
          <w:kern w:val="0"/>
        </w:rPr>
        <w:tab/>
      </w:r>
      <w:r>
        <w:rPr>
          <w:snapToGrid/>
          <w:kern w:val="0"/>
        </w:rPr>
        <w:tab/>
      </w:r>
      <w:r>
        <w:rPr>
          <w:snapToGrid/>
          <w:kern w:val="0"/>
        </w:rPr>
        <w:tab/>
      </w:r>
      <w:r>
        <w:rPr>
          <w:snapToGrid/>
          <w:kern w:val="0"/>
        </w:rPr>
        <w:tab/>
      </w:r>
    </w:p>
    <w:p w:rsidR="00662845" w:rsidP="00662845" w14:paraId="2995370D" w14:textId="77777777">
      <w:pPr>
        <w:pStyle w:val="ParaNum"/>
        <w:numPr>
          <w:ilvl w:val="0"/>
          <w:numId w:val="0"/>
        </w:numPr>
        <w:tabs>
          <w:tab w:val="num" w:pos="1440"/>
        </w:tabs>
        <w:spacing w:after="0"/>
        <w:ind w:firstLine="720"/>
        <w:rPr>
          <w:snapToGrid/>
          <w:kern w:val="0"/>
        </w:rPr>
      </w:pPr>
    </w:p>
    <w:p w:rsidR="00662845" w:rsidP="00662845" w14:paraId="5C6DC7A3" w14:textId="77777777">
      <w:pPr>
        <w:pStyle w:val="ParaNum"/>
        <w:numPr>
          <w:ilvl w:val="0"/>
          <w:numId w:val="0"/>
        </w:numPr>
        <w:tabs>
          <w:tab w:val="num" w:pos="1440"/>
        </w:tabs>
        <w:spacing w:after="0"/>
        <w:ind w:firstLine="720"/>
        <w:rPr>
          <w:snapToGrid/>
          <w:kern w:val="0"/>
        </w:rPr>
      </w:pPr>
    </w:p>
    <w:p w:rsidR="00662845" w:rsidP="003A2820" w14:paraId="7A9090DA" w14:textId="77777777">
      <w:pPr>
        <w:pStyle w:val="ParaNum"/>
        <w:numPr>
          <w:ilvl w:val="0"/>
          <w:numId w:val="0"/>
        </w:numPr>
        <w:tabs>
          <w:tab w:val="num" w:pos="1440"/>
        </w:tabs>
        <w:spacing w:after="0"/>
        <w:ind w:firstLine="720"/>
        <w:rPr>
          <w:snapToGrid/>
          <w:kern w:val="0"/>
        </w:rPr>
      </w:pPr>
      <w:r>
        <w:rPr>
          <w:snapToGrid/>
          <w:kern w:val="0"/>
        </w:rPr>
        <w:tab/>
      </w:r>
      <w:r>
        <w:rPr>
          <w:snapToGrid/>
          <w:kern w:val="0"/>
        </w:rPr>
        <w:tab/>
      </w:r>
      <w:r>
        <w:rPr>
          <w:snapToGrid/>
          <w:kern w:val="0"/>
        </w:rPr>
        <w:tab/>
      </w:r>
      <w:r>
        <w:rPr>
          <w:snapToGrid/>
          <w:kern w:val="0"/>
        </w:rPr>
        <w:tab/>
      </w:r>
      <w:r>
        <w:rPr>
          <w:snapToGrid/>
          <w:kern w:val="0"/>
        </w:rPr>
        <w:tab/>
      </w:r>
    </w:p>
    <w:p w:rsidR="00662845" w:rsidP="00662845" w14:paraId="1711F6D4" w14:textId="77777777">
      <w:pPr>
        <w:pStyle w:val="ParaNum"/>
        <w:numPr>
          <w:ilvl w:val="0"/>
          <w:numId w:val="0"/>
        </w:numPr>
        <w:tabs>
          <w:tab w:val="num" w:pos="1440"/>
        </w:tabs>
        <w:ind w:firstLine="720"/>
        <w:rPr>
          <w:snapToGrid/>
          <w:kern w:val="0"/>
        </w:rPr>
      </w:pPr>
    </w:p>
    <w:p w:rsidR="00662845" w:rsidP="00662845" w14:paraId="2736F1C4" w14:textId="77777777">
      <w:pPr>
        <w:pStyle w:val="ParaNum"/>
        <w:numPr>
          <w:ilvl w:val="0"/>
          <w:numId w:val="0"/>
        </w:numPr>
        <w:tabs>
          <w:tab w:val="num" w:pos="1440"/>
        </w:tabs>
      </w:pPr>
    </w:p>
    <w:p w:rsidR="002C00E8" w:rsidRPr="002C00E8" w:rsidP="00662845" w14:paraId="01E5C260" w14:textId="77777777">
      <w:pPr>
        <w:pStyle w:val="StyleBoldCentered"/>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F7A3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559D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2FA7B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742ACB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DA5E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14:paraId="29133529" w14:textId="77777777">
      <w:r>
        <w:separator/>
      </w:r>
    </w:p>
  </w:footnote>
  <w:footnote w:type="continuationSeparator" w:id="1">
    <w:p w:rsidR="0061180A" w:rsidP="00C721AC" w14:paraId="39EAD8A3" w14:textId="77777777">
      <w:pPr>
        <w:spacing w:before="120"/>
        <w:rPr>
          <w:sz w:val="20"/>
        </w:rPr>
      </w:pPr>
      <w:r>
        <w:rPr>
          <w:sz w:val="20"/>
        </w:rPr>
        <w:t xml:space="preserve">(Continued from previous page)  </w:t>
      </w:r>
      <w:r>
        <w:rPr>
          <w:sz w:val="20"/>
        </w:rPr>
        <w:separator/>
      </w:r>
    </w:p>
  </w:footnote>
  <w:footnote w:type="continuationNotice" w:id="2">
    <w:p w:rsidR="0061180A" w:rsidP="00C721AC" w14:paraId="00F7052C" w14:textId="77777777">
      <w:pPr>
        <w:jc w:val="right"/>
        <w:rPr>
          <w:sz w:val="20"/>
        </w:rPr>
      </w:pPr>
      <w:r>
        <w:rPr>
          <w:sz w:val="20"/>
        </w:rPr>
        <w:t>(continued….)</w:t>
      </w:r>
    </w:p>
  </w:footnote>
  <w:footnote w:id="3">
    <w:p w:rsidR="003A2820" w:rsidP="003A2820" w14:paraId="60F75AA9" w14:textId="77777777">
      <w:pPr>
        <w:pStyle w:val="FootnoteText"/>
      </w:pPr>
      <w:r>
        <w:rPr>
          <w:rStyle w:val="FootnoteReference"/>
        </w:rPr>
        <w:footnoteRef/>
      </w:r>
      <w:r>
        <w:t xml:space="preserve"> Results Broadcasting Rhinelander, Inc., Petition for Waiver of Final Payment Deadline (July 24, 2013) (Waiver Request). </w:t>
      </w:r>
    </w:p>
  </w:footnote>
  <w:footnote w:id="4">
    <w:p w:rsidR="003A2820" w:rsidP="003A2820" w14:paraId="0C5DF198" w14:textId="3B0EEDDA">
      <w:pPr>
        <w:pStyle w:val="FootnoteText"/>
      </w:pPr>
      <w:r>
        <w:rPr>
          <w:rStyle w:val="FootnoteReference"/>
        </w:rPr>
        <w:footnoteRef/>
      </w:r>
      <w:r>
        <w:t xml:space="preserve"> 47 CFR §</w:t>
      </w:r>
      <w:r w:rsidRPr="00D700B6">
        <w:t>§</w:t>
      </w:r>
      <w:r>
        <w:t xml:space="preserve"> 1.2109(a), 73.5003.    </w:t>
      </w:r>
    </w:p>
  </w:footnote>
  <w:footnote w:id="5">
    <w:p w:rsidR="003A2820" w:rsidP="003A2820" w14:paraId="0B0A12CA" w14:textId="3DFF7D93">
      <w:pPr>
        <w:pStyle w:val="FootnoteText"/>
      </w:pPr>
      <w:r>
        <w:rPr>
          <w:rStyle w:val="FootnoteReference"/>
        </w:rPr>
        <w:footnoteRef/>
      </w:r>
      <w:r>
        <w:rPr>
          <w:i/>
        </w:rPr>
        <w:t xml:space="preserve"> See Northeast Cellular Tel. Co. v. FCC</w:t>
      </w:r>
      <w:r>
        <w:t>, 897 F.2d 1164, 1166 (D.C. Cir. 1990) (</w:t>
      </w:r>
      <w:r>
        <w:rPr>
          <w:i/>
        </w:rPr>
        <w:t>Northeast Cellular</w:t>
      </w:r>
      <w:r>
        <w:t xml:space="preserve">). </w:t>
      </w:r>
      <w:r w:rsidRPr="003D6799">
        <w:rPr>
          <w:i/>
        </w:rPr>
        <w:t xml:space="preserve"> </w:t>
      </w:r>
      <w:r w:rsidRPr="00017FEF">
        <w:rPr>
          <w:i/>
        </w:rPr>
        <w:t>Accord</w:t>
      </w:r>
      <w:r w:rsidRPr="00C61DBB">
        <w:rPr>
          <w:i/>
        </w:rPr>
        <w:t>, e.g.</w:t>
      </w:r>
      <w:r>
        <w:t>,</w:t>
      </w:r>
      <w:r w:rsidRPr="00017FEF">
        <w:rPr>
          <w:i/>
        </w:rPr>
        <w:t xml:space="preserve"> </w:t>
      </w:r>
      <w:r w:rsidRPr="00017FEF">
        <w:rPr>
          <w:i/>
        </w:rPr>
        <w:t>NetworkIP</w:t>
      </w:r>
      <w:r w:rsidRPr="00017FEF">
        <w:rPr>
          <w:i/>
        </w:rPr>
        <w:t>, LLC, v. FCC</w:t>
      </w:r>
      <w:r w:rsidRPr="002F1348">
        <w:t>,</w:t>
      </w:r>
      <w:r>
        <w:t xml:space="preserve"> 548 F.3d 116, 127 (D.C. Cir. 2008)</w:t>
      </w:r>
      <w:r w:rsidR="0033619E">
        <w:t xml:space="preserve"> </w:t>
      </w:r>
      <w:r>
        <w:t>(</w:t>
      </w:r>
      <w:r>
        <w:t>NetworkIP</w:t>
      </w:r>
      <w:r>
        <w:t xml:space="preserve">).  </w:t>
      </w:r>
      <w:r>
        <w:rPr>
          <w:i/>
        </w:rPr>
        <w:t>See also</w:t>
      </w:r>
      <w:r>
        <w:t xml:space="preserve"> 47 CFR § 1.925(a)(3)(</w:t>
      </w:r>
      <w:r>
        <w:t>i</w:t>
      </w:r>
      <w:r>
        <w:t xml:space="preserve">)-(ii).  </w:t>
      </w:r>
    </w:p>
  </w:footnote>
  <w:footnote w:id="6">
    <w:p w:rsidR="003A2820" w:rsidP="003A2820" w14:paraId="1C7F7633" w14:textId="77777777">
      <w:pPr>
        <w:pStyle w:val="FootnoteText"/>
      </w:pPr>
      <w:r>
        <w:rPr>
          <w:rStyle w:val="FootnoteReference"/>
        </w:rPr>
        <w:footnoteRef/>
      </w:r>
      <w:r>
        <w:t xml:space="preserve"> </w:t>
      </w:r>
      <w:r>
        <w:rPr>
          <w:i/>
        </w:rPr>
        <w:t>See</w:t>
      </w:r>
      <w:r>
        <w:t xml:space="preserve"> </w:t>
      </w:r>
      <w:r w:rsidRPr="00863DAF">
        <w:rPr>
          <w:i/>
        </w:rPr>
        <w:t xml:space="preserve">Auction of FM Broadcast Construction Permits Scheduled for </w:t>
      </w:r>
      <w:r>
        <w:rPr>
          <w:i/>
        </w:rPr>
        <w:t>March 26</w:t>
      </w:r>
      <w:r w:rsidRPr="00863DAF">
        <w:rPr>
          <w:i/>
        </w:rPr>
        <w:t>, 201</w:t>
      </w:r>
      <w:r>
        <w:rPr>
          <w:i/>
        </w:rPr>
        <w:t>3</w:t>
      </w:r>
      <w:r w:rsidRPr="00863DAF">
        <w:rPr>
          <w:i/>
        </w:rPr>
        <w:t>, Comment Sought on Competitive B</w:t>
      </w:r>
      <w:r>
        <w:rPr>
          <w:i/>
        </w:rPr>
        <w:t>idding Procedures for Auction 94</w:t>
      </w:r>
      <w:r>
        <w:t xml:space="preserve">, </w:t>
      </w:r>
      <w:r w:rsidRPr="00863DAF">
        <w:t>Public Notice</w:t>
      </w:r>
      <w:r>
        <w:t xml:space="preserve">, 27 FCC </w:t>
      </w:r>
      <w:r>
        <w:t>Rcd</w:t>
      </w:r>
      <w:r>
        <w:t xml:space="preserve"> 10830 (MB/WTB 2013). </w:t>
      </w:r>
    </w:p>
  </w:footnote>
  <w:footnote w:id="7">
    <w:p w:rsidR="003A2820" w:rsidP="003A2820" w14:paraId="60E63973" w14:textId="77777777">
      <w:pPr>
        <w:pStyle w:val="FootnoteText"/>
      </w:pPr>
      <w:r>
        <w:rPr>
          <w:rStyle w:val="FootnoteReference"/>
        </w:rPr>
        <w:footnoteRef/>
      </w:r>
      <w:r>
        <w:rPr>
          <w:i/>
        </w:rPr>
        <w:t xml:space="preserve"> See</w:t>
      </w:r>
      <w:r>
        <w:t xml:space="preserve"> </w:t>
      </w:r>
      <w:r w:rsidRPr="00863DAF">
        <w:rPr>
          <w:i/>
        </w:rPr>
        <w:t xml:space="preserve">Auction of FM Broadcast Construction Permits </w:t>
      </w:r>
      <w:r>
        <w:rPr>
          <w:i/>
        </w:rPr>
        <w:t>Res</w:t>
      </w:r>
      <w:r w:rsidRPr="00863DAF">
        <w:rPr>
          <w:i/>
        </w:rPr>
        <w:t xml:space="preserve">cheduled for </w:t>
      </w:r>
      <w:r>
        <w:rPr>
          <w:i/>
        </w:rPr>
        <w:t xml:space="preserve">April 23, 2013; </w:t>
      </w:r>
      <w:r w:rsidRPr="00863DAF">
        <w:rPr>
          <w:i/>
        </w:rPr>
        <w:t>Notice and Filing Requirements, Minimum Opening Bids, Upfront Payments</w:t>
      </w:r>
      <w:r>
        <w:rPr>
          <w:i/>
        </w:rPr>
        <w:t>,</w:t>
      </w:r>
      <w:r w:rsidRPr="00863DAF">
        <w:rPr>
          <w:i/>
        </w:rPr>
        <w:t xml:space="preserve"> and Other Procedures for Auction </w:t>
      </w:r>
      <w:r>
        <w:rPr>
          <w:i/>
        </w:rPr>
        <w:t>94</w:t>
      </w:r>
      <w:r>
        <w:t xml:space="preserve">, </w:t>
      </w:r>
      <w:r w:rsidRPr="00863DAF">
        <w:t>Public Notice</w:t>
      </w:r>
      <w:r>
        <w:t xml:space="preserve">, 27 FCC </w:t>
      </w:r>
      <w:r>
        <w:t>Rcd</w:t>
      </w:r>
      <w:r>
        <w:t xml:space="preserve"> 14299 (MB/WTB 2012) (</w:t>
      </w:r>
      <w:r>
        <w:rPr>
          <w:i/>
        </w:rPr>
        <w:t>Auction 94</w:t>
      </w:r>
      <w:r>
        <w:t xml:space="preserve"> </w:t>
      </w:r>
      <w:r>
        <w:rPr>
          <w:i/>
        </w:rPr>
        <w:t>Procedures Public Notice</w:t>
      </w:r>
      <w:r>
        <w:t xml:space="preserve">).   </w:t>
      </w:r>
    </w:p>
  </w:footnote>
  <w:footnote w:id="8">
    <w:p w:rsidR="003A2820" w:rsidRPr="00861E0A" w:rsidP="003A2820" w14:paraId="7B36D015" w14:textId="77777777">
      <w:pPr>
        <w:pStyle w:val="FootnoteText"/>
        <w:rPr>
          <w:i/>
        </w:rPr>
      </w:pPr>
      <w:r>
        <w:rPr>
          <w:rStyle w:val="FootnoteReference"/>
        </w:rPr>
        <w:footnoteRef/>
      </w:r>
      <w:r>
        <w:t xml:space="preserve"> </w:t>
      </w:r>
      <w:r>
        <w:rPr>
          <w:i/>
        </w:rPr>
        <w:t>Id.</w:t>
      </w:r>
    </w:p>
  </w:footnote>
  <w:footnote w:id="9">
    <w:p w:rsidR="003A2820" w:rsidP="003A2820" w14:paraId="00D9B7A2" w14:textId="77777777">
      <w:pPr>
        <w:pStyle w:val="FootnoteText"/>
      </w:pPr>
      <w:r>
        <w:rPr>
          <w:rStyle w:val="FootnoteReference"/>
        </w:rPr>
        <w:footnoteRef/>
      </w:r>
      <w:r>
        <w:t xml:space="preserve"> </w:t>
      </w:r>
      <w:r>
        <w:rPr>
          <w:i/>
        </w:rPr>
        <w:t>Id.</w:t>
      </w:r>
      <w:r>
        <w:t xml:space="preserve">, 27 FCC </w:t>
      </w:r>
      <w:r>
        <w:t>Rcd</w:t>
      </w:r>
      <w:r>
        <w:t xml:space="preserve"> at 14340, paras. 166-8;</w:t>
      </w:r>
      <w:r w:rsidRPr="00EA5D6E">
        <w:rPr>
          <w:i/>
        </w:rPr>
        <w:t xml:space="preserve"> </w:t>
      </w:r>
      <w:r>
        <w:rPr>
          <w:i/>
        </w:rPr>
        <w:t xml:space="preserve">see also </w:t>
      </w:r>
      <w:r>
        <w:t>47 CFR §§ 1.2107(a), (b), 1.2109(a).</w:t>
      </w:r>
    </w:p>
  </w:footnote>
  <w:footnote w:id="10">
    <w:p w:rsidR="003A2820" w:rsidRPr="00A8353F" w:rsidP="003A2820" w14:paraId="3B667B06" w14:textId="77777777">
      <w:pPr>
        <w:pStyle w:val="FootnoteText"/>
      </w:pPr>
      <w:r>
        <w:rPr>
          <w:rStyle w:val="FootnoteReference"/>
        </w:rPr>
        <w:footnoteRef/>
      </w:r>
      <w:r>
        <w:t xml:space="preserve"> </w:t>
      </w:r>
      <w:r>
        <w:rPr>
          <w:i/>
        </w:rPr>
        <w:t>Id.</w:t>
      </w:r>
      <w:r>
        <w:t xml:space="preserve">, 27 FCC </w:t>
      </w:r>
      <w:r>
        <w:t>Rcd</w:t>
      </w:r>
      <w:r>
        <w:t xml:space="preserve"> at 14340, para. 168; </w:t>
      </w:r>
      <w:r>
        <w:rPr>
          <w:i/>
        </w:rPr>
        <w:t xml:space="preserve">see also </w:t>
      </w:r>
      <w:r>
        <w:t xml:space="preserve">47 CFR § 1.2109(a).  </w:t>
      </w:r>
    </w:p>
  </w:footnote>
  <w:footnote w:id="11">
    <w:p w:rsidR="003A2820" w:rsidP="003A2820" w14:paraId="658A5F5C" w14:textId="77777777">
      <w:pPr>
        <w:pStyle w:val="FootnoteText"/>
      </w:pPr>
      <w:r w:rsidRPr="00FF2749">
        <w:rPr>
          <w:rStyle w:val="FootnoteReference"/>
        </w:rPr>
        <w:footnoteRef/>
      </w:r>
      <w:r>
        <w:rPr>
          <w:i/>
        </w:rPr>
        <w:t xml:space="preserve"> </w:t>
      </w:r>
      <w:r>
        <w:t>47 CFR §</w:t>
      </w:r>
      <w:r w:rsidRPr="00D700B6">
        <w:t>§</w:t>
      </w:r>
      <w:r>
        <w:t xml:space="preserve"> 1.2109(a), 73.5003; </w:t>
      </w:r>
      <w:r w:rsidRPr="000C7331">
        <w:rPr>
          <w:i/>
        </w:rPr>
        <w:t>see also</w:t>
      </w:r>
      <w:r>
        <w:t xml:space="preserve"> </w:t>
      </w:r>
      <w:r>
        <w:rPr>
          <w:i/>
        </w:rPr>
        <w:t xml:space="preserve">Auction </w:t>
      </w:r>
      <w:r w:rsidRPr="009D5952">
        <w:rPr>
          <w:i/>
        </w:rPr>
        <w:t>of FM Broadcast Construction Permits Closes, Winning Bidders Announced for Auction 9</w:t>
      </w:r>
      <w:r>
        <w:rPr>
          <w:i/>
        </w:rPr>
        <w:t>4</w:t>
      </w:r>
      <w:r>
        <w:t xml:space="preserve">, </w:t>
      </w:r>
      <w:r w:rsidRPr="009D5952">
        <w:t>Public Notice</w:t>
      </w:r>
      <w:r>
        <w:t xml:space="preserve">, 28 FCC </w:t>
      </w:r>
      <w:r>
        <w:t>Rcd</w:t>
      </w:r>
      <w:r>
        <w:t xml:space="preserve"> 6973, 6974, paras. 6-7 (MB/WTB 2013) (</w:t>
      </w:r>
      <w:r>
        <w:rPr>
          <w:i/>
        </w:rPr>
        <w:t>Auction 94</w:t>
      </w:r>
      <w:r>
        <w:t xml:space="preserve"> </w:t>
      </w:r>
      <w:r>
        <w:rPr>
          <w:i/>
        </w:rPr>
        <w:t>Closing Public Notice</w:t>
      </w:r>
      <w:r>
        <w:t xml:space="preserve">) (announcing close of </w:t>
      </w:r>
      <w:r w:rsidRPr="00813470">
        <w:t>Auction 94</w:t>
      </w:r>
      <w:r>
        <w:t>, which</w:t>
      </w:r>
      <w:r w:rsidRPr="00813470">
        <w:t xml:space="preserve"> raised a total of $4,122,604 (in net bids), with 55 bidders winning a total of 93 construction permits</w:t>
      </w:r>
      <w:r>
        <w:t xml:space="preserve">). </w:t>
      </w:r>
    </w:p>
  </w:footnote>
  <w:footnote w:id="12">
    <w:p w:rsidR="003A2820" w:rsidP="003A2820" w14:paraId="08792AFC" w14:textId="77777777">
      <w:pPr>
        <w:pStyle w:val="FootnoteText"/>
      </w:pPr>
      <w:r w:rsidRPr="00D700B6">
        <w:rPr>
          <w:rStyle w:val="FootnoteReference"/>
        </w:rPr>
        <w:footnoteRef/>
      </w:r>
      <w:r w:rsidRPr="00D700B6">
        <w:t xml:space="preserve"> 47 CFR § 1.2109(a)</w:t>
      </w:r>
      <w:r>
        <w:t xml:space="preserve">; </w:t>
      </w:r>
      <w:r w:rsidRPr="000C7331">
        <w:rPr>
          <w:i/>
        </w:rPr>
        <w:t>see also</w:t>
      </w:r>
      <w:r>
        <w:t xml:space="preserve"> </w:t>
      </w:r>
      <w:r w:rsidRPr="00D700B6">
        <w:t xml:space="preserve">47 CFR §§ 1.2104(g)(2), </w:t>
      </w:r>
      <w:r>
        <w:rPr>
          <w:i/>
        </w:rPr>
        <w:t>Auction 94</w:t>
      </w:r>
      <w:r>
        <w:t xml:space="preserve"> </w:t>
      </w:r>
      <w:r>
        <w:rPr>
          <w:i/>
        </w:rPr>
        <w:t xml:space="preserve">Closing Public Notice, </w:t>
      </w:r>
      <w:r>
        <w:t xml:space="preserve">28 FCC </w:t>
      </w:r>
      <w:r>
        <w:t>Rcd</w:t>
      </w:r>
      <w:r>
        <w:t xml:space="preserve"> at 6974, para. 7.</w:t>
      </w:r>
    </w:p>
  </w:footnote>
  <w:footnote w:id="13">
    <w:p w:rsidR="003A2820" w:rsidP="003A2820" w14:paraId="2B72C1DE" w14:textId="77777777">
      <w:pPr>
        <w:pStyle w:val="FootnoteText"/>
      </w:pPr>
      <w:r>
        <w:rPr>
          <w:rStyle w:val="FootnoteReference"/>
        </w:rPr>
        <w:footnoteRef/>
      </w:r>
      <w:r>
        <w:t xml:space="preserve"> </w:t>
      </w:r>
      <w:r w:rsidRPr="009D5952">
        <w:rPr>
          <w:i/>
        </w:rPr>
        <w:t>Auction of FM Br</w:t>
      </w:r>
      <w:r>
        <w:rPr>
          <w:i/>
        </w:rPr>
        <w:t>oadcast Construction Permits, 85</w:t>
      </w:r>
      <w:r w:rsidRPr="009D5952">
        <w:rPr>
          <w:i/>
        </w:rPr>
        <w:t xml:space="preserve"> Bidders Qualified to Participate in Auction </w:t>
      </w:r>
      <w:r>
        <w:rPr>
          <w:i/>
        </w:rPr>
        <w:t>94</w:t>
      </w:r>
      <w:r>
        <w:t xml:space="preserve">, </w:t>
      </w:r>
      <w:r w:rsidRPr="009D5952">
        <w:t>Public Notice</w:t>
      </w:r>
      <w:r>
        <w:t xml:space="preserve">, 28 FCC </w:t>
      </w:r>
      <w:r>
        <w:t>Rcd</w:t>
      </w:r>
      <w:r>
        <w:t xml:space="preserve"> 4382 (MB/WTB 2013).  </w:t>
      </w:r>
    </w:p>
  </w:footnote>
  <w:footnote w:id="14">
    <w:p w:rsidR="003A2820" w:rsidP="003A2820" w14:paraId="6C841D97" w14:textId="77777777">
      <w:pPr>
        <w:pStyle w:val="FootnoteText"/>
      </w:pPr>
      <w:r>
        <w:rPr>
          <w:rStyle w:val="FootnoteReference"/>
        </w:rPr>
        <w:footnoteRef/>
      </w:r>
      <w:r>
        <w:t xml:space="preserve"> </w:t>
      </w:r>
      <w:r w:rsidRPr="009D5952">
        <w:rPr>
          <w:i/>
        </w:rPr>
        <w:t xml:space="preserve">Auction </w:t>
      </w:r>
      <w:bookmarkStart w:id="0" w:name="_Hlk15480149"/>
      <w:r>
        <w:rPr>
          <w:i/>
        </w:rPr>
        <w:t xml:space="preserve">94 Closing Public </w:t>
      </w:r>
      <w:r w:rsidRPr="00593E19">
        <w:rPr>
          <w:i/>
        </w:rPr>
        <w:t>Notice</w:t>
      </w:r>
      <w:r>
        <w:t xml:space="preserve">, 28 FCC </w:t>
      </w:r>
      <w:r>
        <w:t>Rcd</w:t>
      </w:r>
      <w:r>
        <w:t xml:space="preserve"> at 6973.  </w:t>
      </w:r>
      <w:bookmarkEnd w:id="0"/>
    </w:p>
  </w:footnote>
  <w:footnote w:id="15">
    <w:p w:rsidR="003A2820" w:rsidP="003A2820" w14:paraId="23700FAF" w14:textId="77777777">
      <w:pPr>
        <w:pStyle w:val="FootnoteText"/>
      </w:pPr>
      <w:r>
        <w:rPr>
          <w:rStyle w:val="FootnoteReference"/>
        </w:rPr>
        <w:footnoteRef/>
      </w:r>
      <w:r>
        <w:t xml:space="preserve"> </w:t>
      </w:r>
      <w:r>
        <w:rPr>
          <w:i/>
        </w:rPr>
        <w:t xml:space="preserve">Id. </w:t>
      </w:r>
      <w:r w:rsidRPr="00922237">
        <w:t>at</w:t>
      </w:r>
      <w:r>
        <w:t xml:space="preserve"> 6973, para. 2.</w:t>
      </w:r>
    </w:p>
  </w:footnote>
  <w:footnote w:id="16">
    <w:p w:rsidR="003A2820" w:rsidP="003A2820" w14:paraId="1D1680B9" w14:textId="77777777">
      <w:pPr>
        <w:pStyle w:val="FootnoteText"/>
      </w:pPr>
      <w:r>
        <w:rPr>
          <w:rStyle w:val="FootnoteReference"/>
        </w:rPr>
        <w:footnoteRef/>
      </w:r>
      <w:r>
        <w:t xml:space="preserve"> </w:t>
      </w:r>
      <w:r>
        <w:rPr>
          <w:i/>
        </w:rPr>
        <w:t xml:space="preserve">Id. </w:t>
      </w:r>
      <w:r w:rsidRPr="00922237">
        <w:t>at</w:t>
      </w:r>
      <w:r>
        <w:t xml:space="preserve"> 6985-86, 6990.</w:t>
      </w:r>
    </w:p>
  </w:footnote>
  <w:footnote w:id="17">
    <w:p w:rsidR="003A2820" w:rsidP="003A2820" w14:paraId="0354EC03" w14:textId="77777777">
      <w:pPr>
        <w:pStyle w:val="FootnoteText"/>
      </w:pPr>
      <w:r>
        <w:rPr>
          <w:rStyle w:val="FootnoteReference"/>
        </w:rPr>
        <w:footnoteRef/>
      </w:r>
      <w:r>
        <w:t xml:space="preserve"> </w:t>
      </w:r>
      <w:r>
        <w:rPr>
          <w:i/>
        </w:rPr>
        <w:t xml:space="preserve">Id. </w:t>
      </w:r>
      <w:r w:rsidRPr="00922237">
        <w:t>at 6974</w:t>
      </w:r>
      <w:r>
        <w:t>, para. 6.</w:t>
      </w:r>
    </w:p>
  </w:footnote>
  <w:footnote w:id="18">
    <w:p w:rsidR="003A2820" w:rsidP="003A2820" w14:paraId="6BEEE868" w14:textId="7D798DEC">
      <w:pPr>
        <w:pStyle w:val="FootnoteText"/>
      </w:pPr>
      <w:r w:rsidRPr="00FF2749">
        <w:rPr>
          <w:rStyle w:val="FootnoteReference"/>
        </w:rPr>
        <w:footnoteRef/>
      </w:r>
      <w:r>
        <w:rPr>
          <w:i/>
        </w:rPr>
        <w:t xml:space="preserve"> </w:t>
      </w:r>
      <w:r>
        <w:t>47 CFR §</w:t>
      </w:r>
      <w:r w:rsidRPr="00D700B6">
        <w:t>§</w:t>
      </w:r>
      <w:r>
        <w:t xml:space="preserve"> 1.2109(a), 73.5003; </w:t>
      </w:r>
      <w:r w:rsidRPr="000C7331">
        <w:rPr>
          <w:i/>
        </w:rPr>
        <w:t>see also</w:t>
      </w:r>
      <w:r>
        <w:t xml:space="preserve"> </w:t>
      </w:r>
      <w:r>
        <w:rPr>
          <w:i/>
        </w:rPr>
        <w:t>Auction 94</w:t>
      </w:r>
      <w:r>
        <w:t xml:space="preserve"> </w:t>
      </w:r>
      <w:r>
        <w:rPr>
          <w:i/>
        </w:rPr>
        <w:t xml:space="preserve">Closing Public Notice, </w:t>
      </w:r>
      <w:r>
        <w:t xml:space="preserve">28 FCC </w:t>
      </w:r>
      <w:r>
        <w:t>Rcd</w:t>
      </w:r>
      <w:r>
        <w:t xml:space="preserve"> at 6974, paras. 6-7.</w:t>
      </w:r>
    </w:p>
  </w:footnote>
  <w:footnote w:id="19">
    <w:p w:rsidR="003A2820" w:rsidP="003A2820" w14:paraId="4756DC43" w14:textId="77777777">
      <w:pPr>
        <w:pStyle w:val="FootnoteText"/>
      </w:pPr>
      <w:r>
        <w:rPr>
          <w:rStyle w:val="FootnoteReference"/>
        </w:rPr>
        <w:footnoteRef/>
      </w:r>
      <w:r>
        <w:t xml:space="preserve"> </w:t>
      </w:r>
      <w:r>
        <w:rPr>
          <w:i/>
        </w:rPr>
        <w:t>Auction 94</w:t>
      </w:r>
      <w:r>
        <w:t xml:space="preserve"> </w:t>
      </w:r>
      <w:r>
        <w:rPr>
          <w:i/>
        </w:rPr>
        <w:t xml:space="preserve">Closing Public Notice, </w:t>
      </w:r>
      <w:r>
        <w:t xml:space="preserve">28 FCC </w:t>
      </w:r>
      <w:r>
        <w:t>Rcd</w:t>
      </w:r>
      <w:r>
        <w:t xml:space="preserve"> at 6977, para. 21.</w:t>
      </w:r>
    </w:p>
  </w:footnote>
  <w:footnote w:id="20">
    <w:p w:rsidR="003A2820" w:rsidP="003A2820" w14:paraId="6A4CD845" w14:textId="77777777">
      <w:pPr>
        <w:pStyle w:val="FootnoteText"/>
      </w:pPr>
      <w:r>
        <w:rPr>
          <w:rStyle w:val="FootnoteReference"/>
        </w:rPr>
        <w:footnoteRef/>
      </w:r>
      <w:r>
        <w:t xml:space="preserve"> </w:t>
      </w:r>
      <w:r>
        <w:rPr>
          <w:i/>
        </w:rPr>
        <w:t xml:space="preserve">See </w:t>
      </w:r>
      <w:r>
        <w:t>File Nos. BNPH-20130724AFY (Crandon, Wisconsin); BNPH-20130724AFV (Tomahawk, Wisconsin).</w:t>
      </w:r>
    </w:p>
  </w:footnote>
  <w:footnote w:id="21">
    <w:p w:rsidR="003A2820" w:rsidP="003A2820" w14:paraId="2111B86B" w14:textId="77777777">
      <w:pPr>
        <w:pStyle w:val="FootnoteText"/>
      </w:pPr>
      <w:r>
        <w:rPr>
          <w:rStyle w:val="FootnoteReference"/>
        </w:rPr>
        <w:footnoteRef/>
      </w:r>
      <w:r>
        <w:t xml:space="preserve"> Waiver Request at 2.  </w:t>
      </w:r>
    </w:p>
  </w:footnote>
  <w:footnote w:id="22">
    <w:p w:rsidR="003A2820" w:rsidP="003A2820" w14:paraId="3FDCA32F" w14:textId="77777777">
      <w:pPr>
        <w:pStyle w:val="FootnoteText"/>
      </w:pPr>
      <w:r>
        <w:rPr>
          <w:rStyle w:val="FootnoteReference"/>
        </w:rPr>
        <w:footnoteRef/>
      </w:r>
      <w:r>
        <w:t xml:space="preserve"> Declaration of Donald W. </w:t>
      </w:r>
      <w:r>
        <w:t>Grassman</w:t>
      </w:r>
      <w:r>
        <w:t xml:space="preserve"> at para. 5.</w:t>
      </w:r>
    </w:p>
  </w:footnote>
  <w:footnote w:id="23">
    <w:p w:rsidR="003A2820" w:rsidP="003A2820" w14:paraId="0E6D1267" w14:textId="77777777">
      <w:pPr>
        <w:pStyle w:val="FootnoteText"/>
      </w:pPr>
      <w:r>
        <w:rPr>
          <w:rStyle w:val="FootnoteReference"/>
        </w:rPr>
        <w:footnoteRef/>
      </w:r>
      <w:r>
        <w:t xml:space="preserve"> </w:t>
      </w:r>
      <w:r>
        <w:rPr>
          <w:i/>
        </w:rPr>
        <w:t xml:space="preserve">Id. </w:t>
      </w:r>
      <w:r w:rsidRPr="00922237">
        <w:t>at</w:t>
      </w:r>
      <w:r>
        <w:t xml:space="preserve"> para. 6. </w:t>
      </w:r>
    </w:p>
  </w:footnote>
  <w:footnote w:id="24">
    <w:p w:rsidR="003A2820" w:rsidP="003A2820" w14:paraId="0967A21C" w14:textId="77777777">
      <w:pPr>
        <w:pStyle w:val="FootnoteText"/>
      </w:pPr>
      <w:r>
        <w:rPr>
          <w:rStyle w:val="FootnoteReference"/>
        </w:rPr>
        <w:footnoteRef/>
      </w:r>
      <w:r>
        <w:t xml:space="preserve"> </w:t>
      </w:r>
      <w:r>
        <w:rPr>
          <w:i/>
        </w:rPr>
        <w:t xml:space="preserve">Id. </w:t>
      </w:r>
      <w:r w:rsidRPr="00922237">
        <w:t>at</w:t>
      </w:r>
      <w:r>
        <w:t xml:space="preserve"> paras. 6-8.</w:t>
      </w:r>
    </w:p>
  </w:footnote>
  <w:footnote w:id="25">
    <w:p w:rsidR="003A2820" w:rsidP="003A2820" w14:paraId="67C2B17C" w14:textId="77777777">
      <w:pPr>
        <w:pStyle w:val="FootnoteText"/>
      </w:pPr>
      <w:r>
        <w:rPr>
          <w:rStyle w:val="FootnoteReference"/>
        </w:rPr>
        <w:footnoteRef/>
      </w:r>
      <w:r>
        <w:t xml:space="preserve"> Waiver Request at 2.</w:t>
      </w:r>
    </w:p>
  </w:footnote>
  <w:footnote w:id="26">
    <w:p w:rsidR="003A2820" w:rsidP="003A2820" w14:paraId="331FCD6C" w14:textId="77777777">
      <w:pPr>
        <w:pStyle w:val="FootnoteText"/>
      </w:pPr>
      <w:r>
        <w:rPr>
          <w:rStyle w:val="FootnoteReference"/>
        </w:rPr>
        <w:footnoteRef/>
      </w:r>
      <w:r>
        <w:t xml:space="preserve"> </w:t>
      </w:r>
      <w:r w:rsidRPr="00014C0C">
        <w:rPr>
          <w:i/>
        </w:rPr>
        <w:t>Id</w:t>
      </w:r>
      <w:r>
        <w:t>.</w:t>
      </w:r>
    </w:p>
  </w:footnote>
  <w:footnote w:id="27">
    <w:p w:rsidR="003A2820" w:rsidP="003A2820" w14:paraId="661866DF" w14:textId="77777777">
      <w:pPr>
        <w:pStyle w:val="FootnoteText"/>
      </w:pPr>
      <w:r>
        <w:rPr>
          <w:rStyle w:val="FootnoteReference"/>
        </w:rPr>
        <w:footnoteRef/>
      </w:r>
      <w:r>
        <w:t xml:space="preserve"> </w:t>
      </w:r>
      <w:r w:rsidRPr="00014C0C">
        <w:rPr>
          <w:i/>
        </w:rPr>
        <w:t>Id</w:t>
      </w:r>
      <w:r>
        <w:t>. at 4-5.</w:t>
      </w:r>
    </w:p>
  </w:footnote>
  <w:footnote w:id="28">
    <w:p w:rsidR="003A2820" w:rsidP="003A2820" w14:paraId="512F7385" w14:textId="77777777">
      <w:pPr>
        <w:pStyle w:val="FootnoteText"/>
      </w:pPr>
      <w:r>
        <w:rPr>
          <w:rStyle w:val="FootnoteReference"/>
        </w:rPr>
        <w:footnoteRef/>
      </w:r>
      <w:r>
        <w:t xml:space="preserve"> 47 CFR § 1.3.  Results specifically filed its request for waiver under section 1.925 of the Commission’s rules.</w:t>
      </w:r>
      <w:r w:rsidRPr="00833370">
        <w:t xml:space="preserve"> </w:t>
      </w:r>
      <w:r>
        <w:t xml:space="preserve"> 47 CFR § 1.925.  This waiver standard applied in the context of wireless radio services licenses has been found to be substantially the same as the standard applied in section 1.3 of the Commission’s rules. </w:t>
      </w:r>
      <w:r>
        <w:rPr>
          <w:i/>
        </w:rPr>
        <w:t xml:space="preserve">See </w:t>
      </w:r>
      <w:r>
        <w:t xml:space="preserve">47 CFR § 1.3.  </w:t>
      </w:r>
      <w:r>
        <w:rPr>
          <w:i/>
        </w:rPr>
        <w:t>See</w:t>
      </w:r>
      <w:r>
        <w:t xml:space="preserve"> </w:t>
      </w:r>
      <w:r w:rsidRPr="00767AC4">
        <w:rPr>
          <w:i/>
        </w:rPr>
        <w:t>Delta Radio, Inc.</w:t>
      </w:r>
      <w:r>
        <w:t xml:space="preserve">, </w:t>
      </w:r>
      <w:r w:rsidRPr="00767AC4">
        <w:t>Memorandum Opinion and Order</w:t>
      </w:r>
      <w:r w:rsidRPr="00715733">
        <w:t>,</w:t>
      </w:r>
      <w:r>
        <w:t xml:space="preserve"> 18 FCC </w:t>
      </w:r>
      <w:r>
        <w:t>Rcd</w:t>
      </w:r>
      <w:r>
        <w:t xml:space="preserve"> 16889, 16891, para. 7 &amp; n.19 (2003) (</w:t>
      </w:r>
      <w:r w:rsidRPr="00576F1F">
        <w:rPr>
          <w:i/>
        </w:rPr>
        <w:t>Delta Radio</w:t>
      </w:r>
      <w:r>
        <w:t xml:space="preserve">) (citing </w:t>
      </w:r>
      <w:r>
        <w:rPr>
          <w:i/>
        </w:rPr>
        <w:t>BellSouth Corp. v. FCC</w:t>
      </w:r>
      <w:r w:rsidRPr="008F7C97">
        <w:t>,</w:t>
      </w:r>
      <w:r>
        <w:t xml:space="preserve"> 162 F.3d 1215, 1225 n.10 (D.C. Cir. 1999)).  </w:t>
      </w:r>
    </w:p>
  </w:footnote>
  <w:footnote w:id="29">
    <w:p w:rsidR="003A2820" w:rsidP="003A2820" w14:paraId="246F8E7C" w14:textId="77777777">
      <w:pPr>
        <w:pStyle w:val="FootnoteText"/>
      </w:pPr>
      <w:r>
        <w:rPr>
          <w:rStyle w:val="FootnoteReference"/>
        </w:rPr>
        <w:footnoteRef/>
      </w:r>
      <w:r>
        <w:rPr>
          <w:i/>
        </w:rPr>
        <w:t xml:space="preserve"> See Northeast Cellular</w:t>
      </w:r>
      <w:r>
        <w:t>,</w:t>
      </w:r>
      <w:r>
        <w:rPr>
          <w:i/>
        </w:rPr>
        <w:t xml:space="preserve"> </w:t>
      </w:r>
      <w:r>
        <w:t xml:space="preserve">897 F.2d at 1166. </w:t>
      </w:r>
      <w:r w:rsidRPr="003D6799">
        <w:rPr>
          <w:i/>
        </w:rPr>
        <w:t xml:space="preserve"> </w:t>
      </w:r>
      <w:r w:rsidRPr="00017FEF">
        <w:rPr>
          <w:i/>
        </w:rPr>
        <w:t>Accord</w:t>
      </w:r>
      <w:r w:rsidRPr="00C61DBB">
        <w:rPr>
          <w:i/>
        </w:rPr>
        <w:t>, e.g.</w:t>
      </w:r>
      <w:r>
        <w:t>,</w:t>
      </w:r>
      <w:r w:rsidRPr="00017FEF">
        <w:rPr>
          <w:i/>
        </w:rPr>
        <w:t xml:space="preserve"> </w:t>
      </w:r>
      <w:r w:rsidRPr="00017FEF">
        <w:rPr>
          <w:i/>
        </w:rPr>
        <w:t>NetworkIP</w:t>
      </w:r>
      <w:r w:rsidRPr="006104FC">
        <w:t>,</w:t>
      </w:r>
      <w:r w:rsidRPr="00017FEF">
        <w:rPr>
          <w:i/>
        </w:rPr>
        <w:t xml:space="preserve"> </w:t>
      </w:r>
      <w:r>
        <w:t xml:space="preserve">548 F.3d at 127.  </w:t>
      </w:r>
      <w:r>
        <w:rPr>
          <w:i/>
        </w:rPr>
        <w:t>See also</w:t>
      </w:r>
      <w:r>
        <w:t xml:space="preserve"> 47 CFR § 1.925(a)(3)(</w:t>
      </w:r>
      <w:r>
        <w:t>i</w:t>
      </w:r>
      <w:r>
        <w:t xml:space="preserve">).  </w:t>
      </w:r>
    </w:p>
  </w:footnote>
  <w:footnote w:id="30">
    <w:p w:rsidR="003A2820" w:rsidP="003A2820" w14:paraId="66B9E45D" w14:textId="77777777">
      <w:pPr>
        <w:pStyle w:val="FootnoteText"/>
      </w:pPr>
      <w:r>
        <w:rPr>
          <w:rStyle w:val="FootnoteReference"/>
        </w:rPr>
        <w:footnoteRef/>
      </w:r>
      <w:r>
        <w:t xml:space="preserve"> </w:t>
      </w:r>
      <w:r>
        <w:rPr>
          <w:i/>
        </w:rPr>
        <w:t>See</w:t>
      </w:r>
      <w:r>
        <w:t xml:space="preserve"> 47 CFR § 1.925(b)(3)(ii).  </w:t>
      </w:r>
      <w:r>
        <w:rPr>
          <w:i/>
        </w:rPr>
        <w:t>See also Northeast Cellular</w:t>
      </w:r>
      <w:r>
        <w:t>,</w:t>
      </w:r>
      <w:r>
        <w:rPr>
          <w:i/>
        </w:rPr>
        <w:t xml:space="preserve"> </w:t>
      </w:r>
      <w:r>
        <w:t>897 F.2d at 1166.</w:t>
      </w:r>
    </w:p>
  </w:footnote>
  <w:footnote w:id="31">
    <w:p w:rsidR="003A2820" w:rsidP="003A2820" w14:paraId="047AC245" w14:textId="77777777">
      <w:pPr>
        <w:pStyle w:val="FootnoteText"/>
      </w:pPr>
      <w:r>
        <w:rPr>
          <w:rStyle w:val="FootnoteReference"/>
        </w:rPr>
        <w:footnoteRef/>
      </w:r>
      <w:r>
        <w:t xml:space="preserve"> </w:t>
      </w:r>
      <w:r>
        <w:rPr>
          <w:i/>
        </w:rPr>
        <w:t>See WAIT Radio v. FCC</w:t>
      </w:r>
      <w:r>
        <w:t xml:space="preserve">, 418 F.2d 1153, 1157-58 (D.C. Cir. 1969), </w:t>
      </w:r>
      <w:r>
        <w:rPr>
          <w:i/>
        </w:rPr>
        <w:t>aff’d</w:t>
      </w:r>
      <w:r>
        <w:t xml:space="preserve">, 459 F.2d 1203 (1972), </w:t>
      </w:r>
      <w:r>
        <w:rPr>
          <w:i/>
        </w:rPr>
        <w:t>cert. denied</w:t>
      </w:r>
      <w:r>
        <w:t xml:space="preserve">, 93 S. Ct. 461 (1972). </w:t>
      </w:r>
    </w:p>
  </w:footnote>
  <w:footnote w:id="32">
    <w:p w:rsidR="003A2820" w:rsidP="003A2820" w14:paraId="747B758E" w14:textId="23C0650D">
      <w:pPr>
        <w:pStyle w:val="FootnoteText"/>
      </w:pPr>
      <w:r w:rsidRPr="00D700B6">
        <w:rPr>
          <w:rStyle w:val="FootnoteReference"/>
        </w:rPr>
        <w:footnoteRef/>
      </w:r>
      <w:r w:rsidRPr="00D700B6">
        <w:t xml:space="preserve"> 47 CFR §§ 1.2104(g)(2), 1.2109(a),</w:t>
      </w:r>
      <w:r>
        <w:t xml:space="preserve"> (c).  </w:t>
      </w:r>
    </w:p>
  </w:footnote>
  <w:footnote w:id="33">
    <w:p w:rsidR="003A2820" w:rsidP="003A2820" w14:paraId="3F59B409" w14:textId="77777777">
      <w:pPr>
        <w:pStyle w:val="FootnoteText"/>
      </w:pPr>
      <w:r>
        <w:rPr>
          <w:rStyle w:val="FootnoteReference"/>
        </w:rPr>
        <w:footnoteRef/>
      </w:r>
      <w:r>
        <w:t xml:space="preserve"> </w:t>
      </w:r>
      <w:r w:rsidRPr="00FC23DC">
        <w:rPr>
          <w:i/>
        </w:rPr>
        <w:t>Id.</w:t>
      </w:r>
      <w:r>
        <w:t xml:space="preserve"> at 5. </w:t>
      </w:r>
      <w:r w:rsidRPr="00314C7B">
        <w:rPr>
          <w:i/>
        </w:rPr>
        <w:t>See</w:t>
      </w:r>
      <w:r>
        <w:t xml:space="preserve"> </w:t>
      </w:r>
      <w:r w:rsidRPr="006104FC">
        <w:rPr>
          <w:i/>
        </w:rPr>
        <w:t>Silver Palm Communications, Inc</w:t>
      </w:r>
      <w:r>
        <w:t xml:space="preserve">., </w:t>
      </w:r>
      <w:r w:rsidRPr="006104FC">
        <w:t>Order</w:t>
      </w:r>
      <w:r>
        <w:t xml:space="preserve">, 22 FCC </w:t>
      </w:r>
      <w:r>
        <w:t>Rcd</w:t>
      </w:r>
      <w:r>
        <w:t xml:space="preserve"> 3344 </w:t>
      </w:r>
      <w:r w:rsidRPr="00F65A22">
        <w:t>(</w:t>
      </w:r>
      <w:r>
        <w:t xml:space="preserve">WTB </w:t>
      </w:r>
      <w:r w:rsidRPr="00F65A22">
        <w:t>ASAD 200</w:t>
      </w:r>
      <w:r>
        <w:t>7</w:t>
      </w:r>
      <w:r w:rsidRPr="00F65A22">
        <w:t>)</w:t>
      </w:r>
      <w:r>
        <w:t xml:space="preserve"> (</w:t>
      </w:r>
      <w:r w:rsidRPr="004E6685">
        <w:rPr>
          <w:i/>
        </w:rPr>
        <w:t>Silver Palm</w:t>
      </w:r>
      <w:r>
        <w:t xml:space="preserve">) (denying request for waiver of final payment deadline), </w:t>
      </w:r>
      <w:r w:rsidRPr="003E648E">
        <w:rPr>
          <w:i/>
        </w:rPr>
        <w:t>recon. denied,</w:t>
      </w:r>
      <w:r>
        <w:rPr>
          <w:i/>
        </w:rPr>
        <w:t xml:space="preserve"> </w:t>
      </w:r>
      <w:r w:rsidRPr="006104FC">
        <w:rPr>
          <w:i/>
        </w:rPr>
        <w:t>Silver Palm Communications, Inc</w:t>
      </w:r>
      <w:r>
        <w:t xml:space="preserve">., </w:t>
      </w:r>
      <w:r w:rsidRPr="006104FC">
        <w:t>Order on Reconsideration</w:t>
      </w:r>
      <w:r w:rsidRPr="003E648E">
        <w:rPr>
          <w:i/>
        </w:rPr>
        <w:t>,</w:t>
      </w:r>
      <w:r>
        <w:rPr>
          <w:i/>
        </w:rPr>
        <w:t xml:space="preserve"> </w:t>
      </w:r>
      <w:r w:rsidRPr="00EE16E8">
        <w:t>25</w:t>
      </w:r>
      <w:r>
        <w:t xml:space="preserve"> </w:t>
      </w:r>
      <w:r w:rsidRPr="00EE16E8">
        <w:t xml:space="preserve">FCC </w:t>
      </w:r>
      <w:r w:rsidRPr="00EE16E8">
        <w:t>Rcd</w:t>
      </w:r>
      <w:r w:rsidRPr="00EE16E8">
        <w:t xml:space="preserve"> 8041</w:t>
      </w:r>
      <w:r>
        <w:t xml:space="preserve"> (WTB 2010).</w:t>
      </w:r>
    </w:p>
  </w:footnote>
  <w:footnote w:id="34">
    <w:p w:rsidR="003A2820" w:rsidP="003A2820" w14:paraId="6F5C8306" w14:textId="77777777">
      <w:pPr>
        <w:pStyle w:val="FootnoteText"/>
      </w:pPr>
      <w:r>
        <w:rPr>
          <w:rStyle w:val="FootnoteReference"/>
        </w:rPr>
        <w:footnoteRef/>
      </w:r>
      <w:r>
        <w:t xml:space="preserve"> </w:t>
      </w:r>
      <w:r w:rsidRPr="00B74A70">
        <w:rPr>
          <w:i/>
        </w:rPr>
        <w:t>Abundant Life</w:t>
      </w:r>
      <w:r>
        <w:rPr>
          <w:i/>
        </w:rPr>
        <w:t>, Inc</w:t>
      </w:r>
      <w:r w:rsidRPr="0043084B">
        <w:t xml:space="preserve">., </w:t>
      </w:r>
      <w:r>
        <w:t xml:space="preserve">Memorandum Opinion and Order, 17 FCC </w:t>
      </w:r>
      <w:r>
        <w:t>Rcd</w:t>
      </w:r>
      <w:r>
        <w:t xml:space="preserve"> 4006, 4011-12, para. 14 (2002) (</w:t>
      </w:r>
      <w:r w:rsidRPr="0043084B">
        <w:rPr>
          <w:i/>
        </w:rPr>
        <w:t>Abundant Life</w:t>
      </w:r>
      <w:r>
        <w:t xml:space="preserve">) (denying request for waiver of final payment deadline). </w:t>
      </w:r>
    </w:p>
  </w:footnote>
  <w:footnote w:id="35">
    <w:p w:rsidR="003A2820" w:rsidP="003A2820" w14:paraId="4B1B8181" w14:textId="2A0685A4">
      <w:pPr>
        <w:pStyle w:val="FootnoteText"/>
      </w:pPr>
      <w:r>
        <w:rPr>
          <w:rStyle w:val="FootnoteReference"/>
        </w:rPr>
        <w:footnoteRef/>
      </w:r>
      <w:r>
        <w:t xml:space="preserve"> </w:t>
      </w:r>
      <w:bookmarkStart w:id="1" w:name="_Hlk15483051"/>
      <w:r w:rsidRPr="00B74A70">
        <w:rPr>
          <w:i/>
        </w:rPr>
        <w:t>Abundant Life</w:t>
      </w:r>
      <w:r w:rsidRPr="006104FC">
        <w:t>,</w:t>
      </w:r>
      <w:r>
        <w:rPr>
          <w:i/>
        </w:rPr>
        <w:t xml:space="preserve"> </w:t>
      </w:r>
      <w:bookmarkEnd w:id="1"/>
      <w:r w:rsidRPr="00B74A70">
        <w:t xml:space="preserve">17 FCC </w:t>
      </w:r>
      <w:r w:rsidRPr="00B74A70">
        <w:t>Rcd</w:t>
      </w:r>
      <w:r w:rsidRPr="00B74A70">
        <w:t xml:space="preserve"> at 400</w:t>
      </w:r>
      <w:r>
        <w:t>8-0</w:t>
      </w:r>
      <w:r w:rsidRPr="00B74A70">
        <w:t>9</w:t>
      </w:r>
      <w:r>
        <w:t>, para.</w:t>
      </w:r>
      <w:r w:rsidRPr="00B74A70">
        <w:t xml:space="preserve"> 8</w:t>
      </w:r>
      <w:r>
        <w:t>;</w:t>
      </w:r>
      <w:r w:rsidRPr="00B74A70">
        <w:t xml:space="preserve"> </w:t>
      </w:r>
      <w:r w:rsidRPr="008B2FFB">
        <w:rPr>
          <w:i/>
        </w:rPr>
        <w:t>Implementation of the Commercial Spectrum Enhancement Act and Modernization of the Commission's Competitive Bidding Rules and Procedures</w:t>
      </w:r>
      <w:r>
        <w:t xml:space="preserve">, Notice of Proposed Rule Making, </w:t>
      </w:r>
      <w:r w:rsidRPr="008B2FFB">
        <w:t xml:space="preserve">20 FCC </w:t>
      </w:r>
      <w:r w:rsidRPr="008B2FFB">
        <w:t>Rcd</w:t>
      </w:r>
      <w:r w:rsidRPr="008B2FFB">
        <w:t xml:space="preserve"> 11268</w:t>
      </w:r>
      <w:r>
        <w:t xml:space="preserve">, </w:t>
      </w:r>
      <w:r w:rsidRPr="00D72ED5" w:rsidR="002C7F68">
        <w:t>1</w:t>
      </w:r>
      <w:r w:rsidR="002C7F68">
        <w:t>1287-8</w:t>
      </w:r>
      <w:r w:rsidR="001958B6">
        <w:t>,</w:t>
      </w:r>
      <w:r>
        <w:t xml:space="preserve"> para. 49 (2005). </w:t>
      </w:r>
    </w:p>
  </w:footnote>
  <w:footnote w:id="36">
    <w:p w:rsidR="003A2820" w:rsidP="003A2820" w14:paraId="7944034F" w14:textId="26F16FA0">
      <w:pPr>
        <w:pStyle w:val="FootnoteText"/>
      </w:pPr>
      <w:r>
        <w:rPr>
          <w:rStyle w:val="FootnoteReference"/>
        </w:rPr>
        <w:footnoteRef/>
      </w:r>
      <w:r>
        <w:t xml:space="preserve"> </w:t>
      </w:r>
      <w:r w:rsidRPr="00460383">
        <w:rPr>
          <w:i/>
        </w:rPr>
        <w:t>Amendment of Part 1 of the Commission’s Rules – Competitive Bidding Procedures</w:t>
      </w:r>
      <w:r w:rsidRPr="00460383">
        <w:t xml:space="preserve">, Third Report and Order and Second Further Notice of Proposed Rule Making, 13 FCC </w:t>
      </w:r>
      <w:r w:rsidRPr="00460383">
        <w:t>Rcd</w:t>
      </w:r>
      <w:r w:rsidRPr="00460383">
        <w:t xml:space="preserve"> 374, 43</w:t>
      </w:r>
      <w:r>
        <w:t>0</w:t>
      </w:r>
      <w:r w:rsidR="00152402">
        <w:t>,</w:t>
      </w:r>
      <w:r>
        <w:t xml:space="preserve"> para. 96</w:t>
      </w:r>
      <w:r w:rsidRPr="00460383">
        <w:t xml:space="preserve"> (1997</w:t>
      </w:r>
      <w:r>
        <w:t>)</w:t>
      </w:r>
      <w:r w:rsidR="00152402">
        <w:t xml:space="preserve"> </w:t>
      </w:r>
      <w:r>
        <w:t>(</w:t>
      </w:r>
      <w:r>
        <w:rPr>
          <w:i/>
        </w:rPr>
        <w:t>Part 1 Third Report and Order</w:t>
      </w:r>
      <w:r w:rsidRPr="00460383">
        <w:t>).</w:t>
      </w:r>
    </w:p>
  </w:footnote>
  <w:footnote w:id="37">
    <w:p w:rsidR="003A2820" w:rsidP="003A2820" w14:paraId="413FD88C" w14:textId="77777777">
      <w:pPr>
        <w:pStyle w:val="FootnoteText"/>
      </w:pPr>
      <w:r>
        <w:rPr>
          <w:rStyle w:val="FootnoteReference"/>
        </w:rPr>
        <w:footnoteRef/>
      </w:r>
      <w:r>
        <w:t xml:space="preserve"> </w:t>
      </w:r>
      <w:r w:rsidRPr="006104FC">
        <w:rPr>
          <w:i/>
        </w:rPr>
        <w:t>Ted W. Austin, Jr</w:t>
      </w:r>
      <w:r>
        <w:t xml:space="preserve">., </w:t>
      </w:r>
      <w:r w:rsidRPr="006104FC">
        <w:t>Memorandum Opinion and Order</w:t>
      </w:r>
      <w:r>
        <w:t xml:space="preserve">, 30 FCC </w:t>
      </w:r>
      <w:r>
        <w:t>Rcd</w:t>
      </w:r>
      <w:r>
        <w:t xml:space="preserve"> 3486, 3491, para. 11 (2015). </w:t>
      </w:r>
    </w:p>
  </w:footnote>
  <w:footnote w:id="38">
    <w:p w:rsidR="003A2820" w:rsidRPr="00AF39EC" w:rsidP="003A2820" w14:paraId="49634D99" w14:textId="77777777">
      <w:pPr>
        <w:pStyle w:val="FootnoteText"/>
      </w:pPr>
      <w:r>
        <w:rPr>
          <w:rStyle w:val="FootnoteReference"/>
        </w:rPr>
        <w:footnoteRef/>
      </w:r>
      <w:r>
        <w:t xml:space="preserve"> </w:t>
      </w:r>
      <w:r>
        <w:rPr>
          <w:i/>
        </w:rPr>
        <w:t>See, e.g.,</w:t>
      </w:r>
      <w:r>
        <w:t xml:space="preserve"> </w:t>
      </w:r>
      <w:r>
        <w:rPr>
          <w:i/>
        </w:rPr>
        <w:t>Part 1 Third Report and Order</w:t>
      </w:r>
      <w:r>
        <w:t xml:space="preserve">, 13 FCC </w:t>
      </w:r>
      <w:r>
        <w:t>Rcd</w:t>
      </w:r>
      <w:r>
        <w:t xml:space="preserve"> at </w:t>
      </w:r>
      <w:r w:rsidRPr="00460383">
        <w:t>43</w:t>
      </w:r>
      <w:r>
        <w:t>0</w:t>
      </w:r>
      <w:r w:rsidR="00152402">
        <w:t>,</w:t>
      </w:r>
      <w:r>
        <w:t xml:space="preserve"> para. 90 (“…</w:t>
      </w:r>
      <w:r w:rsidRPr="006574FC">
        <w:t>a substantial down payment is required to ensure that licensees have the financial capability to attract the capital necessary to deploy and operate their systems, and to protect against default. Because it is due soon after the close of the auction, the down payment is a valuable indicator of a license applicant’s financial viability.</w:t>
      </w:r>
      <w:r>
        <w:t>”), para. 95 (“…</w:t>
      </w:r>
      <w:r>
        <w:rPr>
          <w:color w:val="000000"/>
        </w:rPr>
        <w:t>extensive relief from initial payment obligations could threaten the integrity, fairness, and efficiency of the auction process.”),</w:t>
      </w:r>
      <w:r>
        <w:t xml:space="preserve"> para. 96 (“…</w:t>
      </w:r>
      <w:r w:rsidRPr="006574FC">
        <w:t>strict enforcement of payment deadlines enhances the integrity of the auction and licensing process by ensuring that applicants have the necessary financial qualifications</w:t>
      </w:r>
      <w:r>
        <w:t xml:space="preserve">.”); </w:t>
      </w:r>
      <w:r w:rsidRPr="006574FC">
        <w:rPr>
          <w:i/>
        </w:rPr>
        <w:t>Implementation of the Commercial Spectrum Enhancement Act and Modernization of the Commission’s Competitive Bidding Rules and Procedures</w:t>
      </w:r>
      <w:r w:rsidRPr="006574FC">
        <w:t xml:space="preserve">, Report and Order, 21 FCC </w:t>
      </w:r>
      <w:r w:rsidRPr="00585EDD">
        <w:t>Rcd</w:t>
      </w:r>
      <w:r w:rsidRPr="00585EDD">
        <w:t xml:space="preserve"> 891, </w:t>
      </w:r>
      <w:r w:rsidRPr="00283E12">
        <w:t>909</w:t>
      </w:r>
      <w:r w:rsidR="00152402">
        <w:t>,</w:t>
      </w:r>
      <w:r w:rsidRPr="00585EDD">
        <w:t xml:space="preserve"> para. 45 (</w:t>
      </w:r>
      <w:r>
        <w:t>2006) (</w:t>
      </w:r>
      <w:r>
        <w:rPr>
          <w:i/>
        </w:rPr>
        <w:t>CSEA Report and Order</w:t>
      </w:r>
      <w:r>
        <w:t>) (purpose of final payment rule “</w:t>
      </w:r>
      <w:r w:rsidRPr="009725F1">
        <w:t>is to ensure that only serious, financially qualified applicants receive licenses and construction permits so that the provision of service to the public is expedited.</w:t>
      </w:r>
      <w:r>
        <w:t xml:space="preserve">”).  </w:t>
      </w:r>
    </w:p>
  </w:footnote>
  <w:footnote w:id="39">
    <w:p w:rsidR="003A2820" w:rsidRPr="009D754D" w:rsidP="003A2820" w14:paraId="01A4BF27" w14:textId="77777777">
      <w:pPr>
        <w:pStyle w:val="FootnoteText"/>
      </w:pPr>
      <w:r>
        <w:rPr>
          <w:rStyle w:val="FootnoteReference"/>
        </w:rPr>
        <w:footnoteRef/>
      </w:r>
      <w:r>
        <w:t xml:space="preserve"> Significantly, in 2006, the Commission amended its final payment rule to enable it to require each winning bidder to make its final payment within ten business days after the down payment deadline.  </w:t>
      </w:r>
      <w:r>
        <w:rPr>
          <w:i/>
        </w:rPr>
        <w:t>See id.</w:t>
      </w:r>
      <w:r>
        <w:t xml:space="preserve">  Formerly, a winning bidder was required to make a </w:t>
      </w:r>
      <w:r w:rsidRPr="00B97A84">
        <w:t xml:space="preserve">final payment </w:t>
      </w:r>
      <w:r w:rsidRPr="005B7A8B">
        <w:t xml:space="preserve">only </w:t>
      </w:r>
      <w:r w:rsidRPr="00742160">
        <w:t xml:space="preserve">after </w:t>
      </w:r>
      <w:r>
        <w:t xml:space="preserve">its long-form application had been processed, any petitions to deny had been dismissed or denied, and </w:t>
      </w:r>
      <w:r w:rsidRPr="00742160">
        <w:t xml:space="preserve">the public notice announcing that </w:t>
      </w:r>
      <w:r>
        <w:t xml:space="preserve">the </w:t>
      </w:r>
      <w:r w:rsidRPr="00742160">
        <w:t>permit</w:t>
      </w:r>
      <w:r>
        <w:t xml:space="preserve"> or license</w:t>
      </w:r>
      <w:r w:rsidRPr="00742160">
        <w:t xml:space="preserve"> </w:t>
      </w:r>
      <w:r>
        <w:t>was</w:t>
      </w:r>
      <w:r w:rsidRPr="00742160">
        <w:t xml:space="preserve"> ready to be granted</w:t>
      </w:r>
      <w:r>
        <w:t xml:space="preserve"> had been released, which could mean that a final payment would not be due for many weeks or months after the close of bidding.  Now, with the down and final payment deadlines occurring within a short period after the close of bidding, the Commission “expect[s] (and our rules contemplate) that </w:t>
      </w:r>
      <w:r w:rsidRPr="003B7871">
        <w:t xml:space="preserve">those entities that plan to participate in an auction </w:t>
      </w:r>
      <w:r>
        <w:t xml:space="preserve">will </w:t>
      </w:r>
      <w:r w:rsidRPr="003B7871">
        <w:t xml:space="preserve">have </w:t>
      </w:r>
      <w:r>
        <w:t xml:space="preserve">their </w:t>
      </w:r>
      <w:r w:rsidRPr="003B7871">
        <w:t>financing in place before the start of the auction.</w:t>
      </w:r>
      <w:r>
        <w:t xml:space="preserve">”  </w:t>
      </w:r>
      <w:r>
        <w:rPr>
          <w:i/>
        </w:rPr>
        <w:t>CSEA Report and Order</w:t>
      </w:r>
      <w:r>
        <w:t xml:space="preserve">, </w:t>
      </w:r>
      <w:r w:rsidRPr="00585EDD">
        <w:t xml:space="preserve">21 FCC </w:t>
      </w:r>
      <w:r w:rsidRPr="00585EDD">
        <w:t>Rcd</w:t>
      </w:r>
      <w:r w:rsidRPr="00585EDD">
        <w:t xml:space="preserve"> at</w:t>
      </w:r>
      <w:r w:rsidRPr="00283E12">
        <w:t xml:space="preserve"> 909</w:t>
      </w:r>
      <w:r w:rsidR="00152402">
        <w:t>,</w:t>
      </w:r>
      <w:r w:rsidRPr="00585EDD">
        <w:t xml:space="preserve"> para. 45.</w:t>
      </w:r>
      <w:r>
        <w:t xml:space="preserve">  </w:t>
      </w:r>
    </w:p>
  </w:footnote>
  <w:footnote w:id="40">
    <w:p w:rsidR="003A2820" w:rsidRPr="00E53397" w:rsidP="003A2820" w14:paraId="2845E31B" w14:textId="77777777">
      <w:pPr>
        <w:pStyle w:val="FootnoteText"/>
        <w:rPr>
          <w:i/>
        </w:rPr>
      </w:pPr>
      <w:r>
        <w:rPr>
          <w:rStyle w:val="FootnoteReference"/>
        </w:rPr>
        <w:footnoteRef/>
      </w:r>
      <w:r>
        <w:t xml:space="preserve"> </w:t>
      </w:r>
      <w:r>
        <w:rPr>
          <w:i/>
        </w:rPr>
        <w:t xml:space="preserve">See </w:t>
      </w:r>
      <w:r>
        <w:t xml:space="preserve">Waiver Request at 3-4. </w:t>
      </w:r>
    </w:p>
  </w:footnote>
  <w:footnote w:id="41">
    <w:p w:rsidR="003A2820" w:rsidP="003A2820" w14:paraId="1C265588" w14:textId="77777777">
      <w:pPr>
        <w:pStyle w:val="FootnoteText"/>
      </w:pPr>
      <w:r>
        <w:rPr>
          <w:rStyle w:val="FootnoteReference"/>
        </w:rPr>
        <w:footnoteRef/>
      </w:r>
      <w:r>
        <w:t xml:space="preserve"> </w:t>
      </w:r>
      <w:r>
        <w:rPr>
          <w:i/>
        </w:rPr>
        <w:t xml:space="preserve">Id. </w:t>
      </w:r>
    </w:p>
  </w:footnote>
  <w:footnote w:id="42">
    <w:p w:rsidR="003A2820" w:rsidRPr="00D015DB" w:rsidP="003A2820" w14:paraId="05AC15C5" w14:textId="77777777">
      <w:pPr>
        <w:pStyle w:val="FootnoteText"/>
        <w:rPr>
          <w:i/>
        </w:rPr>
      </w:pPr>
      <w:r>
        <w:rPr>
          <w:rStyle w:val="FootnoteReference"/>
        </w:rPr>
        <w:footnoteRef/>
      </w:r>
      <w:r>
        <w:t xml:space="preserve"> </w:t>
      </w:r>
      <w:r>
        <w:rPr>
          <w:i/>
        </w:rPr>
        <w:t>Id.</w:t>
      </w:r>
    </w:p>
  </w:footnote>
  <w:footnote w:id="43">
    <w:p w:rsidR="003A2820" w:rsidRPr="00EE701C" w:rsidP="003A2820" w14:paraId="35CBC9BF" w14:textId="77777777">
      <w:pPr>
        <w:spacing w:after="120"/>
      </w:pPr>
      <w:r>
        <w:rPr>
          <w:rStyle w:val="FootnoteReference"/>
        </w:rPr>
        <w:footnoteRef/>
      </w:r>
      <w:r>
        <w:t xml:space="preserve"> </w:t>
      </w:r>
      <w:r w:rsidRPr="00283E12">
        <w:rPr>
          <w:i/>
          <w:sz w:val="20"/>
        </w:rPr>
        <w:t xml:space="preserve">Id. </w:t>
      </w:r>
      <w:r w:rsidRPr="00283E12">
        <w:rPr>
          <w:sz w:val="20"/>
        </w:rPr>
        <w:t xml:space="preserve">at 3.  </w:t>
      </w:r>
      <w:r w:rsidRPr="00EE701C">
        <w:rPr>
          <w:sz w:val="20"/>
        </w:rPr>
        <w:t xml:space="preserve">The Commission has long distinguished its analyses of requests for waiver of its post auction payment rules from requests for waiver of the installment payment rules </w:t>
      </w:r>
      <w:r w:rsidRPr="00EE701C">
        <w:rPr>
          <w:sz w:val="20"/>
        </w:rPr>
        <w:t>in light of</w:t>
      </w:r>
      <w:r w:rsidRPr="00EE701C">
        <w:rPr>
          <w:sz w:val="20"/>
        </w:rPr>
        <w:t xml:space="preserve"> the different functions and underlying purposes of those rules.  </w:t>
      </w:r>
      <w:r>
        <w:rPr>
          <w:sz w:val="20"/>
        </w:rPr>
        <w:t xml:space="preserve">Indeed, this precise point is made in </w:t>
      </w:r>
      <w:r>
        <w:rPr>
          <w:i/>
          <w:sz w:val="20"/>
        </w:rPr>
        <w:t>Ted Austin</w:t>
      </w:r>
      <w:r>
        <w:rPr>
          <w:sz w:val="20"/>
        </w:rPr>
        <w:t>, a case cited by Results (</w:t>
      </w:r>
      <w:r>
        <w:rPr>
          <w:i/>
          <w:sz w:val="20"/>
        </w:rPr>
        <w:t xml:space="preserve">see </w:t>
      </w:r>
      <w:r>
        <w:rPr>
          <w:sz w:val="20"/>
        </w:rPr>
        <w:t xml:space="preserve">Waiver Request at 3, </w:t>
      </w:r>
      <w:r>
        <w:rPr>
          <w:i/>
          <w:sz w:val="20"/>
        </w:rPr>
        <w:t>citing Ted Austin</w:t>
      </w:r>
      <w:r>
        <w:rPr>
          <w:sz w:val="20"/>
        </w:rPr>
        <w:t xml:space="preserve">, 25 FCC </w:t>
      </w:r>
      <w:r>
        <w:rPr>
          <w:sz w:val="20"/>
        </w:rPr>
        <w:t>Rcd</w:t>
      </w:r>
      <w:r>
        <w:rPr>
          <w:sz w:val="20"/>
        </w:rPr>
        <w:t xml:space="preserve"> 1439, 1443</w:t>
      </w:r>
      <w:r w:rsidR="00152402">
        <w:rPr>
          <w:sz w:val="20"/>
        </w:rPr>
        <w:t>,</w:t>
      </w:r>
      <w:r>
        <w:rPr>
          <w:sz w:val="20"/>
        </w:rPr>
        <w:t xml:space="preserve"> para. 10 (WTB ASAD 2010)), </w:t>
      </w:r>
    </w:p>
  </w:footnote>
  <w:footnote w:id="44">
    <w:p w:rsidR="003A2820" w:rsidP="003A2820" w14:paraId="660775CB" w14:textId="1754270B">
      <w:pPr>
        <w:pStyle w:val="FootnoteText"/>
      </w:pPr>
      <w:r>
        <w:rPr>
          <w:rStyle w:val="FootnoteReference"/>
        </w:rPr>
        <w:footnoteRef/>
      </w:r>
      <w:r>
        <w:t xml:space="preserve">  </w:t>
      </w:r>
      <w:r w:rsidRPr="0022059B">
        <w:rPr>
          <w:i/>
        </w:rPr>
        <w:t>See</w:t>
      </w:r>
      <w:r w:rsidRPr="0022059B">
        <w:t xml:space="preserve"> </w:t>
      </w:r>
      <w:r w:rsidRPr="00283E12">
        <w:rPr>
          <w:i/>
        </w:rPr>
        <w:t>Southern Communications Systems, Inc</w:t>
      </w:r>
      <w:r w:rsidRPr="0022059B">
        <w:t xml:space="preserve">., </w:t>
      </w:r>
      <w:r w:rsidRPr="00283E12">
        <w:t>Memorandum Opinion and Order</w:t>
      </w:r>
      <w:r w:rsidRPr="0022059B">
        <w:t xml:space="preserve">, 15 FCC </w:t>
      </w:r>
      <w:r w:rsidRPr="0022059B">
        <w:t>Rcd</w:t>
      </w:r>
      <w:r w:rsidRPr="0022059B">
        <w:t xml:space="preserve"> 25103, 25109-11</w:t>
      </w:r>
      <w:r w:rsidR="0033619E">
        <w:t>,</w:t>
      </w:r>
      <w:r w:rsidRPr="0022059B">
        <w:t xml:space="preserve"> </w:t>
      </w:r>
      <w:r>
        <w:t>paras.</w:t>
      </w:r>
      <w:r w:rsidRPr="0022059B">
        <w:t xml:space="preserve"> 13-15 (</w:t>
      </w:r>
      <w:r w:rsidRPr="00CE46F7">
        <w:t xml:space="preserve">2000); </w:t>
      </w:r>
      <w:r w:rsidRPr="00283E12">
        <w:rPr>
          <w:i/>
        </w:rPr>
        <w:t>Vista Communications, Inc</w:t>
      </w:r>
      <w:r w:rsidRPr="00CE46F7">
        <w:t xml:space="preserve">., </w:t>
      </w:r>
      <w:r w:rsidRPr="00283E12">
        <w:t>Memorandum Opinion and Order</w:t>
      </w:r>
      <w:r w:rsidRPr="00CE46F7">
        <w:t xml:space="preserve">, 18 FCC </w:t>
      </w:r>
      <w:r w:rsidRPr="00CE46F7">
        <w:t>Rcd</w:t>
      </w:r>
      <w:r w:rsidRPr="00CE46F7">
        <w:t xml:space="preserve"> 16957, 16963-64</w:t>
      </w:r>
      <w:r w:rsidR="0033619E">
        <w:t>,</w:t>
      </w:r>
      <w:r w:rsidRPr="00CE46F7">
        <w:t xml:space="preserve"> </w:t>
      </w:r>
      <w:r>
        <w:t>para.</w:t>
      </w:r>
      <w:r w:rsidRPr="00CE46F7">
        <w:t xml:space="preserve"> 16 (2003). </w:t>
      </w:r>
      <w:r>
        <w:t xml:space="preserve">  Similarly, there is no basis for Results’ assertion that Audio Division’s decision in </w:t>
      </w:r>
      <w:r w:rsidRPr="00725C21">
        <w:rPr>
          <w:i/>
        </w:rPr>
        <w:t xml:space="preserve">James M. </w:t>
      </w:r>
      <w:r w:rsidRPr="00CB7404">
        <w:rPr>
          <w:i/>
        </w:rPr>
        <w:t>Lout</w:t>
      </w:r>
      <w:r>
        <w:t xml:space="preserve"> should apply here.</w:t>
      </w:r>
      <w:r>
        <w:rPr>
          <w:i/>
        </w:rPr>
        <w:t xml:space="preserve">  See </w:t>
      </w:r>
      <w:r>
        <w:t xml:space="preserve">Waiver Request at 4-5, </w:t>
      </w:r>
      <w:r>
        <w:rPr>
          <w:i/>
        </w:rPr>
        <w:t xml:space="preserve">citing </w:t>
      </w:r>
      <w:r>
        <w:t xml:space="preserve">Request of James M. Lout </w:t>
      </w:r>
      <w:r w:rsidR="0033619E">
        <w:t xml:space="preserve">for </w:t>
      </w:r>
      <w:r>
        <w:t xml:space="preserve">Waiver of Auction 93 Form 301 Filing Deadline Application for Construction Permit for New FM Station, New Llano, Louisiana, 27 FCC </w:t>
      </w:r>
      <w:r>
        <w:t>Rcd</w:t>
      </w:r>
      <w:r w:rsidR="00152402">
        <w:t xml:space="preserve"> </w:t>
      </w:r>
      <w:r>
        <w:t>7517, 7518</w:t>
      </w:r>
      <w:r w:rsidR="00152402">
        <w:t>,</w:t>
      </w:r>
      <w:r>
        <w:t xml:space="preserve"> para. 5 (2012).  In that case, the Audio Division’s analysis turned on the separate purpose of the post-auction long-form application filing requirement, and it concluded that the rule would not be undermined by accepting his late application, finding that </w:t>
      </w:r>
      <w:r w:rsidRPr="00725C21">
        <w:rPr>
          <w:szCs w:val="22"/>
        </w:rPr>
        <w:t xml:space="preserve">prior to his late </w:t>
      </w:r>
      <w:r w:rsidRPr="00CB7404">
        <w:rPr>
          <w:szCs w:val="22"/>
        </w:rPr>
        <w:t xml:space="preserve">filing of the Form 301 application, </w:t>
      </w:r>
      <w:r>
        <w:rPr>
          <w:szCs w:val="22"/>
        </w:rPr>
        <w:t xml:space="preserve">the winning bidder </w:t>
      </w:r>
      <w:r w:rsidRPr="00CB7404">
        <w:rPr>
          <w:szCs w:val="22"/>
        </w:rPr>
        <w:t>had complied with all previous requirements</w:t>
      </w:r>
      <w:r>
        <w:rPr>
          <w:szCs w:val="22"/>
        </w:rPr>
        <w:t xml:space="preserve"> for that auction</w:t>
      </w:r>
      <w:r w:rsidRPr="00CB7404">
        <w:rPr>
          <w:szCs w:val="22"/>
        </w:rPr>
        <w:t>, including all filing and payment obligations</w:t>
      </w:r>
      <w:r>
        <w:rPr>
          <w:szCs w:val="22"/>
        </w:rPr>
        <w:t xml:space="preserve">.  </w:t>
      </w:r>
      <w:r>
        <w:rPr>
          <w:i/>
        </w:rPr>
        <w:t>See James M. Lout</w:t>
      </w:r>
      <w:r>
        <w:t xml:space="preserve">, 27 FCC </w:t>
      </w:r>
      <w:r>
        <w:t>Rcd</w:t>
      </w:r>
      <w:r>
        <w:t xml:space="preserve"> at 7518-9</w:t>
      </w:r>
      <w:r w:rsidR="00152402">
        <w:t>,</w:t>
      </w:r>
      <w:r>
        <w:t xml:space="preserve"> paras. 5-6.  </w:t>
      </w:r>
      <w:r>
        <w:rPr>
          <w:szCs w:val="22"/>
        </w:rPr>
        <w:t xml:space="preserve"> </w:t>
      </w:r>
    </w:p>
  </w:footnote>
  <w:footnote w:id="45">
    <w:p w:rsidR="003A2820" w:rsidP="003A2820" w14:paraId="473EE754" w14:textId="77777777">
      <w:pPr>
        <w:pStyle w:val="FootnoteText"/>
      </w:pPr>
      <w:r>
        <w:rPr>
          <w:rStyle w:val="FootnoteReference"/>
        </w:rPr>
        <w:footnoteRef/>
      </w:r>
      <w:r>
        <w:t xml:space="preserve"> Declaration of Donald W. </w:t>
      </w:r>
      <w:r>
        <w:t>Grassman</w:t>
      </w:r>
      <w:r>
        <w:t xml:space="preserve"> at para. 6.</w:t>
      </w:r>
    </w:p>
  </w:footnote>
  <w:footnote w:id="46">
    <w:p w:rsidR="003A2820" w:rsidP="003A2820" w14:paraId="533D61A6" w14:textId="126A8347">
      <w:pPr>
        <w:pStyle w:val="FootnoteText"/>
      </w:pPr>
      <w:r>
        <w:rPr>
          <w:rStyle w:val="FootnoteReference"/>
        </w:rPr>
        <w:footnoteRef/>
      </w:r>
      <w:r>
        <w:t xml:space="preserve"> We note that </w:t>
      </w:r>
      <w:r>
        <w:rPr>
          <w:szCs w:val="22"/>
        </w:rPr>
        <w:t>t</w:t>
      </w:r>
      <w:r w:rsidRPr="00F13BEF">
        <w:rPr>
          <w:szCs w:val="22"/>
        </w:rPr>
        <w:t xml:space="preserve">he Commission has granted waiver of </w:t>
      </w:r>
      <w:r>
        <w:rPr>
          <w:szCs w:val="22"/>
        </w:rPr>
        <w:t xml:space="preserve">section 1.2109(a)’s final </w:t>
      </w:r>
      <w:r w:rsidRPr="00F13BEF">
        <w:rPr>
          <w:szCs w:val="22"/>
        </w:rPr>
        <w:t xml:space="preserve">payment </w:t>
      </w:r>
      <w:r>
        <w:rPr>
          <w:szCs w:val="22"/>
        </w:rPr>
        <w:t>deadline</w:t>
      </w:r>
      <w:r w:rsidRPr="00F13BEF">
        <w:rPr>
          <w:szCs w:val="22"/>
        </w:rPr>
        <w:t xml:space="preserve"> </w:t>
      </w:r>
      <w:r>
        <w:rPr>
          <w:szCs w:val="22"/>
        </w:rPr>
        <w:t xml:space="preserve">only </w:t>
      </w:r>
      <w:r w:rsidRPr="00F13BEF">
        <w:rPr>
          <w:szCs w:val="22"/>
        </w:rPr>
        <w:t xml:space="preserve">in very narrow </w:t>
      </w:r>
      <w:r>
        <w:rPr>
          <w:szCs w:val="22"/>
        </w:rPr>
        <w:t>circumstances,</w:t>
      </w:r>
      <w:r w:rsidRPr="0076613E">
        <w:rPr>
          <w:szCs w:val="22"/>
        </w:rPr>
        <w:t xml:space="preserve"> under </w:t>
      </w:r>
      <w:r>
        <w:rPr>
          <w:szCs w:val="22"/>
        </w:rPr>
        <w:t>conditions</w:t>
      </w:r>
      <w:r w:rsidRPr="0076613E">
        <w:rPr>
          <w:szCs w:val="22"/>
        </w:rPr>
        <w:t xml:space="preserve"> that differ significantly from those presented here</w:t>
      </w:r>
      <w:r>
        <w:rPr>
          <w:szCs w:val="22"/>
        </w:rPr>
        <w:t xml:space="preserve">.  In those cases, </w:t>
      </w:r>
      <w:r w:rsidRPr="0076613E">
        <w:rPr>
          <w:szCs w:val="22"/>
        </w:rPr>
        <w:t>the winning bidder</w:t>
      </w:r>
      <w:r>
        <w:rPr>
          <w:szCs w:val="22"/>
        </w:rPr>
        <w:t>, unlike Results,</w:t>
      </w:r>
      <w:r w:rsidRPr="0076613E">
        <w:rPr>
          <w:szCs w:val="22"/>
        </w:rPr>
        <w:t xml:space="preserve"> made a good faith effort to </w:t>
      </w:r>
      <w:r>
        <w:rPr>
          <w:szCs w:val="22"/>
        </w:rPr>
        <w:t xml:space="preserve">render its payment in a timely manner on or before the deadline </w:t>
      </w:r>
      <w:r w:rsidRPr="0076613E">
        <w:rPr>
          <w:szCs w:val="22"/>
        </w:rPr>
        <w:t>and</w:t>
      </w:r>
      <w:r>
        <w:rPr>
          <w:szCs w:val="22"/>
        </w:rPr>
        <w:t xml:space="preserve"> made</w:t>
      </w:r>
      <w:r w:rsidRPr="0076613E">
        <w:rPr>
          <w:szCs w:val="22"/>
        </w:rPr>
        <w:t xml:space="preserve"> at least </w:t>
      </w:r>
      <w:r>
        <w:rPr>
          <w:szCs w:val="22"/>
        </w:rPr>
        <w:t xml:space="preserve">a </w:t>
      </w:r>
      <w:r w:rsidRPr="0076613E">
        <w:rPr>
          <w:szCs w:val="22"/>
        </w:rPr>
        <w:t xml:space="preserve">partial payment </w:t>
      </w:r>
      <w:r>
        <w:rPr>
          <w:szCs w:val="22"/>
        </w:rPr>
        <w:t xml:space="preserve">either before or during the late payment timeframe.  </w:t>
      </w:r>
      <w:r w:rsidRPr="00F016BB">
        <w:rPr>
          <w:i/>
          <w:szCs w:val="22"/>
        </w:rPr>
        <w:t>See</w:t>
      </w:r>
      <w:r>
        <w:rPr>
          <w:szCs w:val="22"/>
        </w:rPr>
        <w:t xml:space="preserve"> </w:t>
      </w:r>
      <w:r w:rsidRPr="00BB162A">
        <w:rPr>
          <w:i/>
        </w:rPr>
        <w:t>WSS</w:t>
      </w:r>
      <w:r>
        <w:t xml:space="preserve">, </w:t>
      </w:r>
      <w:r w:rsidRPr="00036308">
        <w:t xml:space="preserve">21 FCC </w:t>
      </w:r>
      <w:r w:rsidRPr="00036308">
        <w:t>Rcd</w:t>
      </w:r>
      <w:r w:rsidRPr="00036308">
        <w:t xml:space="preserve"> </w:t>
      </w:r>
      <w:r w:rsidRPr="00283E12">
        <w:t>6635, 6638,</w:t>
      </w:r>
      <w:r w:rsidRPr="00036308">
        <w:t xml:space="preserve"> </w:t>
      </w:r>
      <w:r>
        <w:t>para.</w:t>
      </w:r>
      <w:r w:rsidRPr="00036308">
        <w:t xml:space="preserve"> 9 </w:t>
      </w:r>
      <w:r>
        <w:t xml:space="preserve">(WTB ASAD 2006) </w:t>
      </w:r>
      <w:r w:rsidRPr="00036308">
        <w:t>(grant</w:t>
      </w:r>
      <w:r>
        <w:t>ing</w:t>
      </w:r>
      <w:r w:rsidRPr="00036308">
        <w:t xml:space="preserve"> a waiver of </w:t>
      </w:r>
      <w:r>
        <w:t>s</w:t>
      </w:r>
      <w:r w:rsidRPr="00036308">
        <w:t xml:space="preserve">ection 1.2109(a) where applicant had a good faith misunderstanding of </w:t>
      </w:r>
      <w:r>
        <w:t xml:space="preserve">the </w:t>
      </w:r>
      <w:r w:rsidRPr="00036308">
        <w:t xml:space="preserve">final payment amount owed, paid what it believed to </w:t>
      </w:r>
      <w:r>
        <w:t xml:space="preserve">be </w:t>
      </w:r>
      <w:r w:rsidRPr="00036308">
        <w:t xml:space="preserve">due four days before the final payment deadline, and paid in full along with late fees within days of realizing the error); </w:t>
      </w:r>
      <w:r w:rsidRPr="006104FC">
        <w:rPr>
          <w:i/>
        </w:rPr>
        <w:t>Radio Layne, LLC</w:t>
      </w:r>
      <w:r>
        <w:t xml:space="preserve">, </w:t>
      </w:r>
      <w:r w:rsidRPr="006104FC">
        <w:t>Memorandum Opinion and Order</w:t>
      </w:r>
      <w:r w:rsidRPr="00F65A22">
        <w:rPr>
          <w:i/>
        </w:rPr>
        <w:t xml:space="preserve">, </w:t>
      </w:r>
      <w:r w:rsidRPr="00F65A22">
        <w:t>2</w:t>
      </w:r>
      <w:r>
        <w:t>2</w:t>
      </w:r>
      <w:r w:rsidRPr="00F65A22">
        <w:t xml:space="preserve"> FCC </w:t>
      </w:r>
      <w:r w:rsidRPr="00F65A22">
        <w:t>Rcd</w:t>
      </w:r>
      <w:r w:rsidRPr="00F65A22">
        <w:t xml:space="preserve"> </w:t>
      </w:r>
      <w:r>
        <w:t>2432, 2437, para. 13</w:t>
      </w:r>
      <w:r w:rsidRPr="00F65A22">
        <w:t xml:space="preserve"> (</w:t>
      </w:r>
      <w:r>
        <w:t xml:space="preserve">WTB </w:t>
      </w:r>
      <w:r w:rsidRPr="00F65A22">
        <w:t>ASAD 200</w:t>
      </w:r>
      <w:r>
        <w:t>7</w:t>
      </w:r>
      <w:r w:rsidRPr="00F65A22">
        <w:t>)</w:t>
      </w:r>
      <w:r>
        <w:t xml:space="preserve"> (granting a partial waiver </w:t>
      </w:r>
      <w:r w:rsidRPr="00036308">
        <w:t xml:space="preserve">of </w:t>
      </w:r>
      <w:r>
        <w:t>s</w:t>
      </w:r>
      <w:r w:rsidRPr="00036308">
        <w:t>ection 1.2109(a) where applicant</w:t>
      </w:r>
      <w:r>
        <w:t xml:space="preserve"> had a good faith belief that it had paid the full amount due by the final payment deadline, but due to a bank error the Commission received the money one day into the late payment period, and late fees were quickly paid in full after error was realized). </w:t>
      </w:r>
    </w:p>
  </w:footnote>
  <w:footnote w:id="47">
    <w:p w:rsidR="003A2820" w:rsidP="003A2820" w14:paraId="74D7F8DD" w14:textId="77777777">
      <w:pPr>
        <w:pStyle w:val="FootnoteText"/>
      </w:pPr>
      <w:r>
        <w:rPr>
          <w:rStyle w:val="FootnoteReference"/>
        </w:rPr>
        <w:footnoteRef/>
      </w:r>
      <w:r>
        <w:t xml:space="preserve"> Waiver Request at 5.  </w:t>
      </w:r>
    </w:p>
  </w:footnote>
  <w:footnote w:id="48">
    <w:p w:rsidR="003A2820" w:rsidRPr="004A48DF" w:rsidP="003A2820" w14:paraId="1C733524" w14:textId="77777777">
      <w:pPr>
        <w:pStyle w:val="FootnoteText"/>
      </w:pPr>
      <w:r>
        <w:rPr>
          <w:rStyle w:val="FootnoteReference"/>
        </w:rPr>
        <w:footnoteRef/>
      </w:r>
      <w:r>
        <w:t xml:space="preserve"> </w:t>
      </w:r>
      <w:r w:rsidRPr="004E6685">
        <w:rPr>
          <w:i/>
        </w:rPr>
        <w:t>Silver Palm</w:t>
      </w:r>
      <w:r>
        <w:rPr>
          <w:i/>
        </w:rPr>
        <w:t xml:space="preserve">, </w:t>
      </w:r>
      <w:r w:rsidRPr="004A48DF">
        <w:t xml:space="preserve">25 FCC </w:t>
      </w:r>
      <w:r w:rsidRPr="004A48DF">
        <w:t>Rcd</w:t>
      </w:r>
      <w:r>
        <w:t xml:space="preserve"> at 8045, para. 14.</w:t>
      </w:r>
    </w:p>
  </w:footnote>
  <w:footnote w:id="49">
    <w:p w:rsidR="003A2820" w:rsidP="003A2820" w14:paraId="0ACA6D7D" w14:textId="77777777">
      <w:pPr>
        <w:pStyle w:val="FootnoteText"/>
      </w:pPr>
      <w:r>
        <w:rPr>
          <w:rStyle w:val="FootnoteReference"/>
        </w:rPr>
        <w:footnoteRef/>
      </w:r>
      <w:r>
        <w:t xml:space="preserve"> </w:t>
      </w:r>
      <w:r w:rsidRPr="0030742A">
        <w:t>47 CFR §§ 1.2109</w:t>
      </w:r>
      <w:r>
        <w:t xml:space="preserve">(c), </w:t>
      </w:r>
      <w:r w:rsidRPr="0030742A">
        <w:t>1.2104(g)(2).</w:t>
      </w:r>
      <w:r>
        <w:t xml:space="preserve">  </w:t>
      </w:r>
    </w:p>
  </w:footnote>
  <w:footnote w:id="50">
    <w:p w:rsidR="003A2820" w:rsidRPr="00DE1204" w:rsidP="003A2820" w14:paraId="12D70BDC" w14:textId="77777777">
      <w:pPr>
        <w:pStyle w:val="FootnoteText"/>
      </w:pPr>
      <w:r>
        <w:rPr>
          <w:rStyle w:val="FootnoteReference"/>
        </w:rPr>
        <w:footnoteRef/>
      </w:r>
      <w:r>
        <w:t xml:space="preserve"> </w:t>
      </w:r>
      <w:r>
        <w:rPr>
          <w:i/>
        </w:rPr>
        <w:t>Id.</w:t>
      </w:r>
    </w:p>
  </w:footnote>
  <w:footnote w:id="51">
    <w:p w:rsidR="003A2820" w:rsidP="003A2820" w14:paraId="5EEEBA48" w14:textId="77777777">
      <w:pPr>
        <w:pStyle w:val="FootnoteText"/>
      </w:pPr>
      <w:r w:rsidRPr="00F234BC">
        <w:rPr>
          <w:rStyle w:val="FootnoteReference"/>
        </w:rPr>
        <w:footnoteRef/>
      </w:r>
      <w:r w:rsidRPr="00F234BC">
        <w:t xml:space="preserve"> </w:t>
      </w:r>
      <w:r w:rsidRPr="00F234BC">
        <w:rPr>
          <w:i/>
        </w:rPr>
        <w:t>Auction 94</w:t>
      </w:r>
      <w:r w:rsidRPr="00F234BC">
        <w:t xml:space="preserve"> </w:t>
      </w:r>
      <w:r w:rsidRPr="00F234BC">
        <w:rPr>
          <w:i/>
        </w:rPr>
        <w:t>Closing Public Notice</w:t>
      </w:r>
      <w:r w:rsidRPr="00F234BC">
        <w:t>,</w:t>
      </w:r>
      <w:r w:rsidRPr="00F234BC">
        <w:rPr>
          <w:i/>
        </w:rPr>
        <w:t xml:space="preserve"> </w:t>
      </w:r>
      <w:r>
        <w:t>28</w:t>
      </w:r>
      <w:r w:rsidRPr="00F234BC">
        <w:t xml:space="preserve"> FCC </w:t>
      </w:r>
      <w:r w:rsidRPr="00F234BC">
        <w:t>Rcd</w:t>
      </w:r>
      <w:r w:rsidRPr="00F234BC">
        <w:t xml:space="preserve"> at </w:t>
      </w:r>
      <w:r>
        <w:t>6976, para. 15</w:t>
      </w:r>
      <w:r w:rsidRPr="00F234BC">
        <w:t>.</w:t>
      </w:r>
      <w:r>
        <w:t xml:space="preserve">  </w:t>
      </w:r>
    </w:p>
  </w:footnote>
  <w:footnote w:id="52">
    <w:p w:rsidR="003A2820" w:rsidP="003A2820" w14:paraId="076D4150" w14:textId="77777777">
      <w:pPr>
        <w:pStyle w:val="FootnoteText"/>
      </w:pPr>
      <w:r>
        <w:rPr>
          <w:rStyle w:val="FootnoteReference"/>
        </w:rPr>
        <w:footnoteRef/>
      </w:r>
      <w:r>
        <w:t xml:space="preserve"> 47 CFR §§ 1.2104(g), 1.2109(c).    </w:t>
      </w:r>
    </w:p>
  </w:footnote>
  <w:footnote w:id="53">
    <w:p w:rsidR="003A2820" w:rsidP="003A2820" w14:paraId="056F55C9" w14:textId="77777777">
      <w:pPr>
        <w:pStyle w:val="FootnoteText"/>
      </w:pPr>
      <w:r>
        <w:rPr>
          <w:rStyle w:val="FootnoteReference"/>
        </w:rPr>
        <w:footnoteRef/>
      </w:r>
      <w:r>
        <w:t xml:space="preserve"> </w:t>
      </w:r>
      <w:r w:rsidRPr="008A754D">
        <w:t xml:space="preserve">Until </w:t>
      </w:r>
      <w:r>
        <w:t xml:space="preserve">these permits are won </w:t>
      </w:r>
      <w:r w:rsidRPr="008A754D">
        <w:t>in a subsequent auction, the Commission cannot determine the full amount of the default payment that is owed.  Once subsequent winning bid</w:t>
      </w:r>
      <w:r>
        <w:t>s</w:t>
      </w:r>
      <w:r w:rsidRPr="008A754D">
        <w:t xml:space="preserve"> </w:t>
      </w:r>
      <w:r>
        <w:t xml:space="preserve">are </w:t>
      </w:r>
      <w:r w:rsidRPr="008A754D">
        <w:t xml:space="preserve">established, the </w:t>
      </w:r>
      <w:r>
        <w:t xml:space="preserve">Office of Economics and Analytics </w:t>
      </w:r>
      <w:r w:rsidRPr="008A754D">
        <w:t xml:space="preserve">will determine </w:t>
      </w:r>
      <w:r>
        <w:t>Results</w:t>
      </w:r>
      <w:r w:rsidRPr="008A754D">
        <w:t xml:space="preserve">’ final default payment and the remaining amount owed by </w:t>
      </w:r>
      <w:r>
        <w:t>Results</w:t>
      </w:r>
      <w:r w:rsidRPr="008A754D">
        <w:t>, if any, will be assessed.</w:t>
      </w:r>
      <w:r>
        <w:t xml:space="preserve">  </w:t>
      </w:r>
      <w:r>
        <w:rPr>
          <w:i/>
        </w:rPr>
        <w:t xml:space="preserve">See </w:t>
      </w:r>
      <w:r w:rsidRPr="00DD4964">
        <w:t>47 CFR § 1.2104(g)(2)(</w:t>
      </w:r>
      <w:r w:rsidRPr="00DD4964">
        <w:t>i</w:t>
      </w:r>
      <w:r w:rsidRPr="00DD4964">
        <w:t>).</w:t>
      </w:r>
      <w:r>
        <w:t xml:space="preserve">   </w:t>
      </w:r>
    </w:p>
  </w:footnote>
  <w:footnote w:id="54">
    <w:p w:rsidR="003A2820" w:rsidP="003A2820" w14:paraId="1B3AAA95" w14:textId="77777777">
      <w:pPr>
        <w:pStyle w:val="FootnoteText"/>
      </w:pPr>
      <w:r>
        <w:rPr>
          <w:rStyle w:val="FootnoteReference"/>
        </w:rPr>
        <w:footnoteRef/>
      </w:r>
      <w:r>
        <w:t xml:space="preserve"> Consistent with Commission precedent, the disposition of the remaining amount of monies on deposit with the Commission related to this matter will be addressed in a subsequent letter to the payor of record, once a construction permit covering the same spectrum is re-auctioned and the final default payment can be calculated.  </w:t>
      </w:r>
      <w:r>
        <w:rPr>
          <w:i/>
        </w:rPr>
        <w:t xml:space="preserve">See </w:t>
      </w:r>
      <w:r w:rsidRPr="00ED2BAA">
        <w:rPr>
          <w:i/>
        </w:rPr>
        <w:t>AirCom</w:t>
      </w:r>
      <w:r w:rsidRPr="00ED2BAA">
        <w:rPr>
          <w:i/>
        </w:rPr>
        <w:t xml:space="preserve"> Communication Consultants, Inc.</w:t>
      </w:r>
      <w:r>
        <w:t xml:space="preserve">, </w:t>
      </w:r>
      <w:r w:rsidRPr="00ED2BAA">
        <w:t>Order</w:t>
      </w:r>
      <w:r>
        <w:t xml:space="preserve">, 16 FCC </w:t>
      </w:r>
      <w:smartTag w:uri="urn:schemas-microsoft-com:office:smarttags" w:element="place">
        <w:smartTag w:uri="urn:schemas-microsoft-com:office:smarttags" w:element="City">
          <w:r>
            <w:t>Rcd</w:t>
          </w:r>
        </w:smartTag>
        <w:r>
          <w:t xml:space="preserve"> </w:t>
        </w:r>
        <w:smartTag w:uri="urn:schemas-microsoft-com:office:smarttags" w:element="PostalCode">
          <w:r>
            <w:t>17685</w:t>
          </w:r>
        </w:smartTag>
        <w:r>
          <w:t xml:space="preserve">, </w:t>
        </w:r>
        <w:smartTag w:uri="urn:schemas-microsoft-com:office:smarttags" w:element="PostalCode">
          <w:r>
            <w:t>17691</w:t>
          </w:r>
        </w:smartTag>
      </w:smartTag>
      <w:r>
        <w:t xml:space="preserve"> n.47 (WTB 2001), </w:t>
      </w:r>
      <w:r>
        <w:rPr>
          <w:i/>
        </w:rPr>
        <w:t>recon. denied</w:t>
      </w:r>
      <w:r>
        <w:t xml:space="preserve"> </w:t>
      </w:r>
      <w:r>
        <w:rPr>
          <w:i/>
        </w:rPr>
        <w:t>sub nom</w:t>
      </w:r>
      <w:r>
        <w:t xml:space="preserve">., </w:t>
      </w:r>
      <w:r w:rsidRPr="00ED2BAA">
        <w:rPr>
          <w:i/>
        </w:rPr>
        <w:t>AirCom</w:t>
      </w:r>
      <w:r w:rsidRPr="00ED2BAA">
        <w:rPr>
          <w:i/>
        </w:rPr>
        <w:t xml:space="preserve"> Consultants, Inc.</w:t>
      </w:r>
      <w:r>
        <w:t xml:space="preserve">, </w:t>
      </w:r>
      <w:r w:rsidRPr="00ED2BAA">
        <w:t>Order on Reconsideration</w:t>
      </w:r>
      <w:r>
        <w:t xml:space="preserve">, 18 FCC </w:t>
      </w:r>
      <w:r>
        <w:t>Rcd</w:t>
      </w:r>
      <w:r>
        <w:t xml:space="preserve"> 1806 (WTB 2003).  </w:t>
      </w:r>
      <w:r>
        <w:rPr>
          <w:i/>
        </w:rPr>
        <w:t xml:space="preserve">See also </w:t>
      </w:r>
      <w:r>
        <w:t>47 CFR § 1.2104(g)(2).</w:t>
      </w:r>
    </w:p>
  </w:footnote>
  <w:footnote w:id="55">
    <w:p w:rsidR="003A2820" w:rsidP="003A2820" w14:paraId="34AED033" w14:textId="77777777">
      <w:pPr>
        <w:pStyle w:val="FootnoteText"/>
      </w:pPr>
      <w:r>
        <w:rPr>
          <w:rStyle w:val="FootnoteReference"/>
        </w:rPr>
        <w:footnoteRef/>
      </w:r>
      <w:r>
        <w:t xml:space="preserve"> </w:t>
      </w:r>
      <w:r>
        <w:rPr>
          <w:i/>
        </w:rPr>
        <w:t xml:space="preserve">See </w:t>
      </w:r>
      <w:r>
        <w:t xml:space="preserve">47 CFR § 1.2106(e).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F49" w14:paraId="28CB73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382FF1" w14:textId="2EBD24BF">
    <w:pPr>
      <w:pStyle w:val="Header"/>
      <w:rPr>
        <w:b w:val="0"/>
      </w:rPr>
    </w:pPr>
    <w:r>
      <w:tab/>
      <w:t>Federal Communications Commission</w:t>
    </w:r>
    <w:r>
      <w:tab/>
    </w:r>
    <w:r w:rsidR="00DB2CF2">
      <w:t xml:space="preserve">DA </w:t>
    </w:r>
    <w:r w:rsidR="00152402">
      <w:t>19</w:t>
    </w:r>
    <w:r w:rsidR="00DB2CF2">
      <w:t>-</w:t>
    </w:r>
    <w:r w:rsidR="00BA6F49">
      <w:t>1002</w:t>
    </w:r>
  </w:p>
  <w:p w:rsidR="00D25FB5" w14:paraId="509417C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61F8D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DB10CF" w14:textId="02B6632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62845">
      <w:rPr>
        <w:spacing w:val="-2"/>
      </w:rPr>
      <w:t xml:space="preserve">DA </w:t>
    </w:r>
    <w:r w:rsidR="003A2820">
      <w:rPr>
        <w:spacing w:val="-2"/>
      </w:rPr>
      <w:t>19</w:t>
    </w:r>
    <w:r w:rsidR="00662845">
      <w:rPr>
        <w:spacing w:val="-2"/>
      </w:rPr>
      <w:t>-</w:t>
    </w:r>
    <w:r w:rsidR="00BA6F49">
      <w:rPr>
        <w:spacing w:val="-2"/>
      </w:rPr>
      <w:t>1002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0DDE"/>
    <w:rsid w:val="00014C0C"/>
    <w:rsid w:val="00017FEF"/>
    <w:rsid w:val="00036039"/>
    <w:rsid w:val="00036308"/>
    <w:rsid w:val="00037F90"/>
    <w:rsid w:val="0007707D"/>
    <w:rsid w:val="000875BF"/>
    <w:rsid w:val="00096D8C"/>
    <w:rsid w:val="000C0B65"/>
    <w:rsid w:val="000C7331"/>
    <w:rsid w:val="000E05FE"/>
    <w:rsid w:val="000E3D42"/>
    <w:rsid w:val="00104A00"/>
    <w:rsid w:val="00122BD5"/>
    <w:rsid w:val="00133F79"/>
    <w:rsid w:val="00147F92"/>
    <w:rsid w:val="00152402"/>
    <w:rsid w:val="00157182"/>
    <w:rsid w:val="00194A66"/>
    <w:rsid w:val="001958B6"/>
    <w:rsid w:val="001D6BCF"/>
    <w:rsid w:val="001E01CA"/>
    <w:rsid w:val="0022059B"/>
    <w:rsid w:val="00226F77"/>
    <w:rsid w:val="00275CF5"/>
    <w:rsid w:val="0028301F"/>
    <w:rsid w:val="00283E12"/>
    <w:rsid w:val="00285017"/>
    <w:rsid w:val="002A2D2E"/>
    <w:rsid w:val="002C00E8"/>
    <w:rsid w:val="002C7AAC"/>
    <w:rsid w:val="002C7F68"/>
    <w:rsid w:val="002F1348"/>
    <w:rsid w:val="00301057"/>
    <w:rsid w:val="0030742A"/>
    <w:rsid w:val="00314C7B"/>
    <w:rsid w:val="0033619E"/>
    <w:rsid w:val="00343749"/>
    <w:rsid w:val="003660ED"/>
    <w:rsid w:val="003A2820"/>
    <w:rsid w:val="003B0550"/>
    <w:rsid w:val="003B694F"/>
    <w:rsid w:val="003B7871"/>
    <w:rsid w:val="003D6799"/>
    <w:rsid w:val="003E648E"/>
    <w:rsid w:val="003F171C"/>
    <w:rsid w:val="0041017B"/>
    <w:rsid w:val="00412FC5"/>
    <w:rsid w:val="00422276"/>
    <w:rsid w:val="004242F1"/>
    <w:rsid w:val="0043084B"/>
    <w:rsid w:val="00445A00"/>
    <w:rsid w:val="00451B0F"/>
    <w:rsid w:val="00460383"/>
    <w:rsid w:val="00465638"/>
    <w:rsid w:val="004A48DF"/>
    <w:rsid w:val="004B1E74"/>
    <w:rsid w:val="004B6A10"/>
    <w:rsid w:val="004C2EE3"/>
    <w:rsid w:val="004E06D5"/>
    <w:rsid w:val="004E4A22"/>
    <w:rsid w:val="004E6685"/>
    <w:rsid w:val="00511968"/>
    <w:rsid w:val="0055614C"/>
    <w:rsid w:val="00576F1F"/>
    <w:rsid w:val="00585EDD"/>
    <w:rsid w:val="00593E19"/>
    <w:rsid w:val="005B7A8B"/>
    <w:rsid w:val="005C744A"/>
    <w:rsid w:val="005E14C2"/>
    <w:rsid w:val="00607BA5"/>
    <w:rsid w:val="006104FC"/>
    <w:rsid w:val="0061180A"/>
    <w:rsid w:val="00626EB6"/>
    <w:rsid w:val="00646B91"/>
    <w:rsid w:val="00655D03"/>
    <w:rsid w:val="006574FC"/>
    <w:rsid w:val="00662845"/>
    <w:rsid w:val="006666F0"/>
    <w:rsid w:val="00672675"/>
    <w:rsid w:val="006807B5"/>
    <w:rsid w:val="00683388"/>
    <w:rsid w:val="00683F84"/>
    <w:rsid w:val="006A6A81"/>
    <w:rsid w:val="006C3B2B"/>
    <w:rsid w:val="006F327D"/>
    <w:rsid w:val="006F7393"/>
    <w:rsid w:val="0070224F"/>
    <w:rsid w:val="007115F7"/>
    <w:rsid w:val="00715733"/>
    <w:rsid w:val="00725C21"/>
    <w:rsid w:val="00742160"/>
    <w:rsid w:val="0076613E"/>
    <w:rsid w:val="00767AC4"/>
    <w:rsid w:val="00785689"/>
    <w:rsid w:val="0079754B"/>
    <w:rsid w:val="007A1E6D"/>
    <w:rsid w:val="007B0EB2"/>
    <w:rsid w:val="007F2931"/>
    <w:rsid w:val="007F7FA8"/>
    <w:rsid w:val="00810B6F"/>
    <w:rsid w:val="00813470"/>
    <w:rsid w:val="00822CE0"/>
    <w:rsid w:val="00833370"/>
    <w:rsid w:val="00841AB1"/>
    <w:rsid w:val="00861E0A"/>
    <w:rsid w:val="00863DAF"/>
    <w:rsid w:val="00882CA5"/>
    <w:rsid w:val="008955A8"/>
    <w:rsid w:val="008A754D"/>
    <w:rsid w:val="008B2FFB"/>
    <w:rsid w:val="008C68F1"/>
    <w:rsid w:val="008F7C97"/>
    <w:rsid w:val="00921803"/>
    <w:rsid w:val="00922237"/>
    <w:rsid w:val="00926503"/>
    <w:rsid w:val="009562FE"/>
    <w:rsid w:val="009725F1"/>
    <w:rsid w:val="009726D8"/>
    <w:rsid w:val="00975BFB"/>
    <w:rsid w:val="009B0A51"/>
    <w:rsid w:val="009D5952"/>
    <w:rsid w:val="009D754D"/>
    <w:rsid w:val="009D7604"/>
    <w:rsid w:val="009F76DB"/>
    <w:rsid w:val="00A32C3B"/>
    <w:rsid w:val="00A37A24"/>
    <w:rsid w:val="00A45F4F"/>
    <w:rsid w:val="00A54226"/>
    <w:rsid w:val="00A600A9"/>
    <w:rsid w:val="00A8353F"/>
    <w:rsid w:val="00AA55B7"/>
    <w:rsid w:val="00AA5B9E"/>
    <w:rsid w:val="00AB2407"/>
    <w:rsid w:val="00AB53DF"/>
    <w:rsid w:val="00AF2F7D"/>
    <w:rsid w:val="00AF39EC"/>
    <w:rsid w:val="00B07E5C"/>
    <w:rsid w:val="00B41931"/>
    <w:rsid w:val="00B74A70"/>
    <w:rsid w:val="00B811F7"/>
    <w:rsid w:val="00B97A84"/>
    <w:rsid w:val="00BA5DC6"/>
    <w:rsid w:val="00BA6196"/>
    <w:rsid w:val="00BA6F49"/>
    <w:rsid w:val="00BB162A"/>
    <w:rsid w:val="00BC6D8C"/>
    <w:rsid w:val="00C34006"/>
    <w:rsid w:val="00C36A44"/>
    <w:rsid w:val="00C426B1"/>
    <w:rsid w:val="00C61DBB"/>
    <w:rsid w:val="00C66160"/>
    <w:rsid w:val="00C721AC"/>
    <w:rsid w:val="00C90D6A"/>
    <w:rsid w:val="00C93E57"/>
    <w:rsid w:val="00CA247E"/>
    <w:rsid w:val="00CB7404"/>
    <w:rsid w:val="00CC72B6"/>
    <w:rsid w:val="00CE46F7"/>
    <w:rsid w:val="00CF2F20"/>
    <w:rsid w:val="00D015DB"/>
    <w:rsid w:val="00D0218D"/>
    <w:rsid w:val="00D25FB5"/>
    <w:rsid w:val="00D44223"/>
    <w:rsid w:val="00D700B6"/>
    <w:rsid w:val="00D72ED5"/>
    <w:rsid w:val="00DA2529"/>
    <w:rsid w:val="00DA7C16"/>
    <w:rsid w:val="00DB130A"/>
    <w:rsid w:val="00DB2CF2"/>
    <w:rsid w:val="00DB2EBB"/>
    <w:rsid w:val="00DC10A1"/>
    <w:rsid w:val="00DC655F"/>
    <w:rsid w:val="00DD0B59"/>
    <w:rsid w:val="00DD4964"/>
    <w:rsid w:val="00DD7EBD"/>
    <w:rsid w:val="00DE1204"/>
    <w:rsid w:val="00DF62B6"/>
    <w:rsid w:val="00E07225"/>
    <w:rsid w:val="00E14A5E"/>
    <w:rsid w:val="00E1785E"/>
    <w:rsid w:val="00E53397"/>
    <w:rsid w:val="00E5409F"/>
    <w:rsid w:val="00EA5D6E"/>
    <w:rsid w:val="00ED2BAA"/>
    <w:rsid w:val="00EE16E8"/>
    <w:rsid w:val="00EE5685"/>
    <w:rsid w:val="00EE6488"/>
    <w:rsid w:val="00EE701C"/>
    <w:rsid w:val="00F016BB"/>
    <w:rsid w:val="00F021FA"/>
    <w:rsid w:val="00F07F8A"/>
    <w:rsid w:val="00F13BEF"/>
    <w:rsid w:val="00F20CB2"/>
    <w:rsid w:val="00F234BC"/>
    <w:rsid w:val="00F256BA"/>
    <w:rsid w:val="00F62E97"/>
    <w:rsid w:val="00F64209"/>
    <w:rsid w:val="00F65A22"/>
    <w:rsid w:val="00F93BF5"/>
    <w:rsid w:val="00FC23DC"/>
    <w:rsid w:val="00FC4AA5"/>
    <w:rsid w:val="00FE3A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E5709D5-7164-4063-86AE-1E4FD3DA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662845"/>
  </w:style>
  <w:style w:type="character" w:customStyle="1" w:styleId="ParaNumCharChar">
    <w:name w:val="ParaNum Char Char"/>
    <w:link w:val="ParaNum"/>
    <w:rsid w:val="00662845"/>
    <w:rPr>
      <w:snapToGrid w:val="0"/>
      <w:kern w:val="28"/>
      <w:sz w:val="22"/>
    </w:rPr>
  </w:style>
  <w:style w:type="paragraph" w:styleId="BalloonText">
    <w:name w:val="Balloon Text"/>
    <w:basedOn w:val="Normal"/>
    <w:link w:val="BalloonTextChar"/>
    <w:rsid w:val="00152402"/>
    <w:rPr>
      <w:rFonts w:ascii="Segoe UI" w:hAnsi="Segoe UI" w:cs="Segoe UI"/>
      <w:sz w:val="18"/>
      <w:szCs w:val="18"/>
    </w:rPr>
  </w:style>
  <w:style w:type="character" w:customStyle="1" w:styleId="BalloonTextChar">
    <w:name w:val="Balloon Text Char"/>
    <w:basedOn w:val="DefaultParagraphFont"/>
    <w:link w:val="BalloonText"/>
    <w:rsid w:val="00152402"/>
    <w:rPr>
      <w:rFonts w:ascii="Segoe UI" w:hAnsi="Segoe UI" w:cs="Segoe UI"/>
      <w:snapToGrid w:val="0"/>
      <w:kern w:val="28"/>
      <w:sz w:val="18"/>
      <w:szCs w:val="18"/>
    </w:rPr>
  </w:style>
  <w:style w:type="character" w:styleId="CommentReference">
    <w:name w:val="annotation reference"/>
    <w:basedOn w:val="DefaultParagraphFont"/>
    <w:rsid w:val="00152402"/>
    <w:rPr>
      <w:sz w:val="16"/>
      <w:szCs w:val="16"/>
    </w:rPr>
  </w:style>
  <w:style w:type="paragraph" w:styleId="CommentText">
    <w:name w:val="annotation text"/>
    <w:basedOn w:val="Normal"/>
    <w:link w:val="CommentTextChar"/>
    <w:rsid w:val="00152402"/>
    <w:rPr>
      <w:sz w:val="20"/>
    </w:rPr>
  </w:style>
  <w:style w:type="character" w:customStyle="1" w:styleId="CommentTextChar">
    <w:name w:val="Comment Text Char"/>
    <w:basedOn w:val="DefaultParagraphFont"/>
    <w:link w:val="CommentText"/>
    <w:rsid w:val="00152402"/>
    <w:rPr>
      <w:snapToGrid w:val="0"/>
      <w:kern w:val="28"/>
    </w:rPr>
  </w:style>
  <w:style w:type="paragraph" w:styleId="CommentSubject">
    <w:name w:val="annotation subject"/>
    <w:basedOn w:val="CommentText"/>
    <w:next w:val="CommentText"/>
    <w:link w:val="CommentSubjectChar"/>
    <w:rsid w:val="00152402"/>
    <w:rPr>
      <w:b/>
      <w:bCs/>
    </w:rPr>
  </w:style>
  <w:style w:type="character" w:customStyle="1" w:styleId="CommentSubjectChar">
    <w:name w:val="Comment Subject Char"/>
    <w:basedOn w:val="CommentTextChar"/>
    <w:link w:val="CommentSubject"/>
    <w:rsid w:val="0015240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