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731615" w:rsidRPr="00074B8D" w:rsidP="00731615">
            <w:pPr>
              <w:tabs>
                <w:tab w:val="center" w:pos="4680"/>
              </w:tabs>
              <w:suppressAutoHyphens/>
              <w:rPr>
                <w:spacing w:val="-2"/>
                <w:szCs w:val="22"/>
              </w:rPr>
            </w:pPr>
            <w:r w:rsidRPr="00074B8D">
              <w:rPr>
                <w:spacing w:val="-2"/>
                <w:szCs w:val="22"/>
              </w:rPr>
              <w:t>Accelerating Wireless Broadband Deployment by Removing Barriers to Infrastructure Investment</w:t>
            </w:r>
          </w:p>
          <w:p w:rsidR="004C2EE3" w:rsidRPr="007115F7" w:rsidP="007115F7">
            <w:pPr>
              <w:tabs>
                <w:tab w:val="center" w:pos="4680"/>
              </w:tabs>
              <w:suppressAutoHyphens/>
              <w:rPr>
                <w:spacing w:val="-2"/>
              </w:rPr>
            </w:pP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D62951" w:rsidRPr="00D62951">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731615" w:rsidRPr="00074B8D" w:rsidP="00731615">
            <w:pPr>
              <w:keepNext/>
              <w:widowControl/>
              <w:tabs>
                <w:tab w:val="center" w:pos="4680"/>
              </w:tabs>
              <w:suppressAutoHyphens/>
              <w:rPr>
                <w:spacing w:val="-2"/>
                <w:szCs w:val="22"/>
              </w:rPr>
            </w:pPr>
            <w:r w:rsidRPr="00074B8D">
              <w:rPr>
                <w:spacing w:val="-2"/>
                <w:szCs w:val="22"/>
              </w:rPr>
              <w:t>WT Docket No. 17-79</w:t>
            </w:r>
          </w:p>
          <w:p w:rsidR="004C2EE3">
            <w:pPr>
              <w:tabs>
                <w:tab w:val="center" w:pos="4680"/>
              </w:tabs>
              <w:suppressAutoHyphens/>
              <w:rPr>
                <w:spacing w:val="-2"/>
              </w:rPr>
            </w:pPr>
          </w:p>
        </w:tc>
      </w:tr>
    </w:tbl>
    <w:p w:rsidR="004C2EE3" w:rsidP="0070224F"/>
    <w:p w:rsidR="00D62951" w:rsidP="0070224F"/>
    <w:p w:rsidR="00841AB1" w:rsidP="00F021FA">
      <w:pPr>
        <w:pStyle w:val="StyleBoldCentered"/>
      </w:pPr>
      <w:r>
        <w:t>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E84A6E">
        <w:rPr>
          <w:b/>
          <w:spacing w:val="-2"/>
        </w:rPr>
        <w:t xml:space="preserve">October </w:t>
      </w:r>
      <w:r w:rsidR="00E91B8B">
        <w:rPr>
          <w:b/>
          <w:spacing w:val="-2"/>
        </w:rPr>
        <w:t>8</w:t>
      </w:r>
      <w:r w:rsidR="00114A31">
        <w:rPr>
          <w:b/>
          <w:spacing w:val="-2"/>
        </w:rPr>
        <w:t>,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84A6E">
        <w:rPr>
          <w:b/>
          <w:spacing w:val="-2"/>
        </w:rPr>
        <w:t xml:space="preserve">October </w:t>
      </w:r>
      <w:r w:rsidR="00E91B8B">
        <w:rPr>
          <w:b/>
          <w:spacing w:val="-2"/>
        </w:rPr>
        <w:t>8</w:t>
      </w:r>
      <w:r w:rsidR="00114A31">
        <w:rPr>
          <w:b/>
          <w:spacing w:val="-2"/>
        </w:rPr>
        <w:t>, 2019</w:t>
      </w:r>
    </w:p>
    <w:p w:rsidR="00822CE0"/>
    <w:p w:rsidR="004C2EE3">
      <w:pPr>
        <w:rPr>
          <w:spacing w:val="-2"/>
        </w:rPr>
      </w:pPr>
      <w:r>
        <w:t xml:space="preserve">By </w:t>
      </w:r>
      <w:r w:rsidR="004E4A22">
        <w:t>the</w:t>
      </w:r>
      <w:r w:rsidR="002A2D2E">
        <w:t xml:space="preserve"> </w:t>
      </w:r>
      <w:r w:rsidR="009B46C9">
        <w:t xml:space="preserve">Chief, Wireless Telecommunications </w:t>
      </w:r>
      <w:r w:rsidR="00114A31">
        <w:rPr>
          <w:spacing w:val="-2"/>
        </w:rPr>
        <w:t>Bureau</w:t>
      </w:r>
      <w:r>
        <w:rPr>
          <w:spacing w:val="-2"/>
        </w:rPr>
        <w:t>:</w:t>
      </w:r>
    </w:p>
    <w:p w:rsidR="00412FC5" w:rsidP="00114A31">
      <w:pPr>
        <w:pStyle w:val="Heading1"/>
        <w:numPr>
          <w:ilvl w:val="0"/>
          <w:numId w:val="0"/>
        </w:numPr>
      </w:pPr>
    </w:p>
    <w:p w:rsidR="00A4065D" w:rsidP="00C46092">
      <w:pPr>
        <w:pStyle w:val="ParaNum"/>
      </w:pPr>
      <w:r>
        <w:t xml:space="preserve">In </w:t>
      </w:r>
      <w:bookmarkStart w:id="1" w:name="_Hlk18058181"/>
      <w:r w:rsidRPr="005F3720">
        <w:rPr>
          <w:i/>
        </w:rPr>
        <w:t>United Keetoowah Band of Cherokee Indians v. FCC</w:t>
      </w:r>
      <w:bookmarkEnd w:id="1"/>
      <w:r>
        <w:t xml:space="preserve">, </w:t>
      </w:r>
      <w:r w:rsidRPr="00114A31">
        <w:t xml:space="preserve">the </w:t>
      </w:r>
      <w:r w:rsidR="00AD29E9">
        <w:t xml:space="preserve">U.S. Court of Appeals for the </w:t>
      </w:r>
      <w:r w:rsidRPr="00114A31">
        <w:t>D</w:t>
      </w:r>
      <w:r w:rsidR="00AD29E9">
        <w:t>istrict</w:t>
      </w:r>
      <w:r w:rsidRPr="00114A31">
        <w:t xml:space="preserve"> </w:t>
      </w:r>
      <w:r w:rsidR="00AD29E9">
        <w:t xml:space="preserve">of </w:t>
      </w:r>
      <w:r w:rsidRPr="00114A31">
        <w:t>C</w:t>
      </w:r>
      <w:r w:rsidR="00AD29E9">
        <w:t>olumbia</w:t>
      </w:r>
      <w:r w:rsidR="00FC353A">
        <w:t xml:space="preserve"> Circuit</w:t>
      </w:r>
      <w:r w:rsidR="00AD29E9">
        <w:t xml:space="preserve"> </w:t>
      </w:r>
      <w:r w:rsidRPr="00114A31">
        <w:t>vacated</w:t>
      </w:r>
      <w:r w:rsidR="00F86B55">
        <w:t xml:space="preserve"> </w:t>
      </w:r>
      <w:r w:rsidR="00DF459A">
        <w:t xml:space="preserve">those </w:t>
      </w:r>
      <w:r w:rsidR="00AD29E9">
        <w:t>portions</w:t>
      </w:r>
      <w:r w:rsidR="003179E1">
        <w:t xml:space="preserve"> of the Commission</w:t>
      </w:r>
      <w:r w:rsidR="009944E7">
        <w:t>’s</w:t>
      </w:r>
      <w:r w:rsidR="003179E1">
        <w:t xml:space="preserve"> 2018 </w:t>
      </w:r>
      <w:r w:rsidRPr="00887F17" w:rsidR="003179E1">
        <w:rPr>
          <w:i/>
        </w:rPr>
        <w:t>Second Report and Order</w:t>
      </w:r>
      <w:r>
        <w:rPr>
          <w:rStyle w:val="FootnoteReference"/>
        </w:rPr>
        <w:footnoteReference w:id="3"/>
      </w:r>
      <w:r w:rsidR="003179E1">
        <w:t xml:space="preserve"> that exempted</w:t>
      </w:r>
      <w:r w:rsidRPr="00114A31">
        <w:t xml:space="preserve"> certain small wireless facilities from </w:t>
      </w:r>
      <w:r w:rsidR="00AD29E9">
        <w:t xml:space="preserve">federal </w:t>
      </w:r>
      <w:r w:rsidRPr="00114A31">
        <w:t>environmental and historic preservation review.</w:t>
      </w:r>
      <w:r>
        <w:rPr>
          <w:rStyle w:val="FootnoteReference"/>
        </w:rPr>
        <w:footnoteReference w:id="4"/>
      </w:r>
      <w:r w:rsidRPr="00114A31">
        <w:t xml:space="preserve"> </w:t>
      </w:r>
      <w:r w:rsidR="00071F23">
        <w:t xml:space="preserve">  Pursuant to F. R. App. P. 41(b), the court issued its mandate on </w:t>
      </w:r>
      <w:r w:rsidR="00895EB6">
        <w:t>October 7</w:t>
      </w:r>
      <w:r w:rsidR="00071F23">
        <w:t>, 2019.</w:t>
      </w:r>
      <w:r w:rsidR="00AD29E9">
        <w:t xml:space="preserve"> </w:t>
      </w:r>
      <w:r w:rsidR="00DF459A">
        <w:t xml:space="preserve"> Consistent with</w:t>
      </w:r>
      <w:r w:rsidR="00C62CC7">
        <w:t xml:space="preserve"> the court’s mandate</w:t>
      </w:r>
      <w:r w:rsidR="00071F23">
        <w:t>,</w:t>
      </w:r>
      <w:r w:rsidR="00242784">
        <w:t xml:space="preserve"> t</w:t>
      </w:r>
      <w:r>
        <w:t xml:space="preserve">his Order </w:t>
      </w:r>
      <w:r w:rsidR="00C62CC7">
        <w:t>repeals</w:t>
      </w:r>
      <w:r w:rsidR="00071F23">
        <w:t xml:space="preserve"> the subsection of the Commission’s rules implementing the </w:t>
      </w:r>
      <w:r w:rsidR="00DF459A">
        <w:t>small wireless facilities</w:t>
      </w:r>
      <w:r w:rsidR="00071F23">
        <w:t xml:space="preserve"> exemption,</w:t>
      </w:r>
      <w:r>
        <w:rPr>
          <w:rStyle w:val="FootnoteReference"/>
        </w:rPr>
        <w:footnoteReference w:id="5"/>
      </w:r>
      <w:r w:rsidR="00071F23">
        <w:t xml:space="preserve"> a</w:t>
      </w:r>
      <w:r w:rsidR="00C62CC7">
        <w:t>nd deletes</w:t>
      </w:r>
      <w:r w:rsidR="00071F23">
        <w:t xml:space="preserve"> a cross-reference to that subsection </w:t>
      </w:r>
      <w:r w:rsidR="00C62CC7">
        <w:t xml:space="preserve">contained </w:t>
      </w:r>
      <w:r w:rsidR="00071F23">
        <w:t>elsewhere in the Commission’s rules.</w:t>
      </w:r>
      <w:r>
        <w:rPr>
          <w:rStyle w:val="FootnoteReference"/>
        </w:rPr>
        <w:footnoteReference w:id="6"/>
      </w:r>
      <w:r>
        <w:t xml:space="preserve"> </w:t>
      </w:r>
      <w:r w:rsidR="00DC2D76">
        <w:t xml:space="preserve"> </w:t>
      </w:r>
      <w:r w:rsidR="001F50AF">
        <w:t>As a result of the court’s decision and this rule revision, d</w:t>
      </w:r>
      <w:r w:rsidRPr="00DC2D76" w:rsidR="00DC2D76">
        <w:t>eployments</w:t>
      </w:r>
      <w:r w:rsidR="00DC2D76">
        <w:t xml:space="preserve"> of small wireless facilities</w:t>
      </w:r>
      <w:r w:rsidRPr="00DC2D76" w:rsidR="00DC2D76">
        <w:t xml:space="preserve"> are subject to review</w:t>
      </w:r>
      <w:r w:rsidR="001F50AF">
        <w:t xml:space="preserve"> </w:t>
      </w:r>
      <w:r w:rsidRPr="001F50AF" w:rsidR="001F50AF">
        <w:t>to the same extent as larger wireless facilities</w:t>
      </w:r>
      <w:r w:rsidRPr="00DC2D76" w:rsidR="00DC2D76">
        <w:t xml:space="preserve"> pursuant to the National Historic Preservation Act (NHPA)</w:t>
      </w:r>
      <w:r>
        <w:rPr>
          <w:vertAlign w:val="superscript"/>
        </w:rPr>
        <w:footnoteReference w:id="7"/>
      </w:r>
      <w:r w:rsidRPr="00DC2D76" w:rsidR="00DC2D76">
        <w:t xml:space="preserve"> and the National Environmental Policy Act of 1969 (NEPA).</w:t>
      </w:r>
      <w:r>
        <w:rPr>
          <w:vertAlign w:val="superscript"/>
        </w:rPr>
        <w:footnoteReference w:id="8"/>
      </w:r>
      <w:r w:rsidRPr="00DC2D76" w:rsidR="00DC2D76">
        <w:t xml:space="preserve"> </w:t>
      </w:r>
    </w:p>
    <w:p w:rsidR="00DF459A">
      <w:pPr>
        <w:pStyle w:val="ParaNum"/>
      </w:pPr>
      <w:r w:rsidRPr="0036107C">
        <w:t xml:space="preserve">The </w:t>
      </w:r>
      <w:r>
        <w:t>Bureau</w:t>
      </w:r>
      <w:r w:rsidRPr="0036107C">
        <w:t xml:space="preserve"> finds that notice and comment are unnecessary for these rule amendments under 5 U.S.C. § 553(b), because this ministerial order </w:t>
      </w:r>
      <w:r>
        <w:t>merely implements the mandate</w:t>
      </w:r>
      <w:r w:rsidRPr="0036107C">
        <w:t xml:space="preserve"> of the United States Court of Appeals for the </w:t>
      </w:r>
      <w:r>
        <w:t>District of Columbia</w:t>
      </w:r>
      <w:r w:rsidRPr="0036107C">
        <w:t xml:space="preserve"> Circuit</w:t>
      </w:r>
      <w:r>
        <w:t>, and the Commission lacks discretion to depart from this mandate</w:t>
      </w:r>
      <w:r w:rsidRPr="0036107C">
        <w:t>.</w:t>
      </w:r>
      <w:r>
        <w:rPr>
          <w:rStyle w:val="FootnoteReference"/>
        </w:rPr>
        <w:footnoteReference w:id="9"/>
      </w:r>
    </w:p>
    <w:p w:rsidR="00A4065D" w:rsidP="00A4065D">
      <w:pPr>
        <w:pStyle w:val="ParaNum"/>
      </w:pPr>
      <w:r>
        <w:t>Accordingly, IT IS ORDERED that Section 1.1312(e)</w:t>
      </w:r>
      <w:r w:rsidR="00450B1E">
        <w:t>(2)</w:t>
      </w:r>
      <w:r>
        <w:t xml:space="preserve"> of the Commission’s rules, 47 CFR § 1.</w:t>
      </w:r>
      <w:r w:rsidR="00866E9E">
        <w:t>1312(e)</w:t>
      </w:r>
      <w:r w:rsidR="00450B1E">
        <w:t>(2)</w:t>
      </w:r>
      <w:r>
        <w:t>, IS REPEALED</w:t>
      </w:r>
      <w:r w:rsidR="0036107C">
        <w:t xml:space="preserve"> </w:t>
      </w:r>
      <w:r>
        <w:t>and Section 1.6002, 47 CFR § 1.</w:t>
      </w:r>
      <w:r w:rsidR="0036107C">
        <w:t>6002</w:t>
      </w:r>
      <w:r>
        <w:t xml:space="preserve">, is amended as set forth in Appendix A, effective </w:t>
      </w:r>
      <w:r w:rsidR="009944E7">
        <w:t>30 days after</w:t>
      </w:r>
      <w:r>
        <w:t xml:space="preserve"> publication in the Federal Register.</w:t>
      </w:r>
    </w:p>
    <w:p w:rsidR="00DB2536" w:rsidRPr="00EB2429" w:rsidP="00887F17">
      <w:pPr>
        <w:pStyle w:val="ParaNum"/>
      </w:pPr>
      <w:r w:rsidRPr="00FC353A">
        <w:t xml:space="preserve">This action is taken pursuant to sections 4(i), 4(j), </w:t>
      </w:r>
      <w:r w:rsidR="009D1487">
        <w:t xml:space="preserve">5(c), </w:t>
      </w:r>
      <w:r w:rsidRPr="00FC353A">
        <w:t xml:space="preserve">303, and 309(j) of the Communications Act of 1934, as amended, 47 U.S.C. §§ 154(i), 154(j), </w:t>
      </w:r>
      <w:r w:rsidR="009D1487">
        <w:t xml:space="preserve">155(c), </w:t>
      </w:r>
      <w:r w:rsidRPr="00FC353A">
        <w:t>303 and 309(j)</w:t>
      </w:r>
      <w:r w:rsidR="00EF61AC">
        <w:t xml:space="preserve"> and Section 0.331(d) of the Commission’s rules, 47 CFR 0.331(d)</w:t>
      </w:r>
      <w:r w:rsidRPr="00FC353A">
        <w:rPr>
          <w:rFonts w:ascii="TimesNewRomanPSMT" w:hAnsi="TimesNewRomanPSMT" w:cs="TimesNewRomanPSMT"/>
          <w:snapToGrid/>
          <w:kern w:val="0"/>
          <w:szCs w:val="22"/>
        </w:rPr>
        <w:t>.</w:t>
      </w:r>
    </w:p>
    <w:p w:rsidR="00EB2429" w:rsidRPr="00887F17" w:rsidP="00EB2429">
      <w:pPr>
        <w:pStyle w:val="ParaNum"/>
      </w:pPr>
      <w:r>
        <w:t>The Bureau has determined, and the Administrator of the Office of Information and Regulatory Affairs, Office of Management and Budget, concurs that these rules are major under the Congressional Review Act, 5 U.S.C. § 804(2).  The Bureau will send a copy of this Order to Congress and the Government Accountability Office pursuant to 5 U.S.C. § 801(a)(1)(A).  The Bureau finds good cause to make this rule effective earlier than 60 days after the Order is submitted to Congress and the Government Accountability Office, pursuant to 5 U.S.C. § 808(2), because this ministerial order merely implements the mandate of the United States Court of Appeals for the District of Columbia Circuit, and the Commission lacks discretion to depart from this mandate.</w:t>
      </w:r>
    </w:p>
    <w:p w:rsidR="00C46092" w:rsidP="00C46092">
      <w:pPr>
        <w:keepNext/>
      </w:pPr>
    </w:p>
    <w:p w:rsidR="0009704F" w:rsidP="00C46092">
      <w:pPr>
        <w:keepNext/>
      </w:pPr>
      <w:r>
        <w:tab/>
      </w:r>
      <w:r>
        <w:tab/>
      </w:r>
      <w:r>
        <w:tab/>
      </w:r>
      <w:r>
        <w:tab/>
      </w:r>
      <w:r>
        <w:tab/>
      </w:r>
      <w:r>
        <w:tab/>
      </w:r>
      <w:r w:rsidR="000173F0">
        <w:t>FEDERAL COMMUNICATIONS COMMISSION</w:t>
      </w:r>
    </w:p>
    <w:p w:rsidR="0009704F" w:rsidP="0009704F">
      <w:pPr>
        <w:keepNext/>
      </w:pPr>
    </w:p>
    <w:p w:rsidR="0009704F" w:rsidP="0009704F">
      <w:pPr>
        <w:keepNext/>
      </w:pPr>
    </w:p>
    <w:p w:rsidR="0009704F" w:rsidP="0009704F">
      <w:pPr>
        <w:keepNext/>
      </w:pPr>
    </w:p>
    <w:p w:rsidR="0009704F" w:rsidP="0009704F">
      <w:pPr>
        <w:keepNext/>
      </w:pPr>
    </w:p>
    <w:p w:rsidR="0009704F" w:rsidP="0009704F">
      <w:r>
        <w:tab/>
      </w:r>
      <w:r>
        <w:tab/>
      </w:r>
      <w:r>
        <w:tab/>
      </w:r>
      <w:r>
        <w:tab/>
      </w:r>
      <w:r>
        <w:tab/>
      </w:r>
      <w:r>
        <w:tab/>
        <w:t>Donald K. Stockdale, Jr.</w:t>
      </w:r>
    </w:p>
    <w:p w:rsidR="0009704F" w:rsidP="0009704F">
      <w:r>
        <w:tab/>
      </w:r>
      <w:r>
        <w:tab/>
      </w:r>
      <w:r>
        <w:tab/>
      </w:r>
      <w:r>
        <w:tab/>
      </w:r>
      <w:r>
        <w:tab/>
      </w:r>
      <w:r>
        <w:tab/>
        <w:t>Chief</w:t>
      </w:r>
    </w:p>
    <w:p w:rsidR="00C642D1" w:rsidP="00C46092">
      <w:r>
        <w:tab/>
      </w:r>
      <w:r>
        <w:tab/>
      </w:r>
      <w:r>
        <w:tab/>
      </w:r>
      <w:r>
        <w:tab/>
      </w:r>
      <w:r>
        <w:tab/>
      </w:r>
      <w:r>
        <w:tab/>
      </w:r>
      <w:r w:rsidR="000173F0">
        <w:t xml:space="preserve">Wireless Telecommunications Bureau </w:t>
      </w:r>
    </w:p>
    <w:p w:rsidR="00C46092" w:rsidP="00C642D1">
      <w:pPr>
        <w:jc w:val="center"/>
        <w:rPr>
          <w:b/>
          <w:bCs/>
        </w:r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C642D1" w:rsidP="00C642D1">
      <w:pPr>
        <w:jc w:val="center"/>
        <w:rPr>
          <w:b/>
          <w:bCs/>
        </w:rPr>
      </w:pPr>
      <w:r w:rsidRPr="001B2F30">
        <w:rPr>
          <w:b/>
          <w:bCs/>
        </w:rPr>
        <w:t>APPENDIX</w:t>
      </w:r>
    </w:p>
    <w:p w:rsidR="00C642D1" w:rsidP="00C642D1">
      <w:pPr>
        <w:jc w:val="center"/>
        <w:rPr>
          <w:b/>
        </w:rPr>
      </w:pPr>
    </w:p>
    <w:p w:rsidR="00C642D1" w:rsidRPr="00B97942" w:rsidP="00C642D1">
      <w:pPr>
        <w:jc w:val="center"/>
        <w:rPr>
          <w:b/>
        </w:rPr>
      </w:pPr>
      <w:r w:rsidRPr="00B97942">
        <w:rPr>
          <w:b/>
        </w:rPr>
        <w:t>Final Rules</w:t>
      </w:r>
    </w:p>
    <w:p w:rsidR="00C642D1" w:rsidRPr="00B97942" w:rsidP="00C642D1">
      <w:pPr>
        <w:rPr>
          <w:b/>
        </w:rPr>
      </w:pPr>
    </w:p>
    <w:p w:rsidR="00C642D1" w:rsidRPr="00C46092" w:rsidP="00C46092">
      <w:pPr>
        <w:pStyle w:val="Heading1"/>
        <w:numPr>
          <w:ilvl w:val="0"/>
          <w:numId w:val="0"/>
        </w:numPr>
      </w:pPr>
      <w:r w:rsidRPr="00C46092">
        <w:t>Part 1</w:t>
      </w:r>
      <w:r w:rsidR="00C46092">
        <w:t xml:space="preserve"> </w:t>
      </w:r>
      <w:r w:rsidRPr="00C46092">
        <w:t>- Practice and Procedure</w:t>
      </w:r>
    </w:p>
    <w:p w:rsidR="00C642D1" w:rsidRPr="00B97942" w:rsidP="009F7F17">
      <w:pPr>
        <w:pStyle w:val="ParaNum"/>
        <w:numPr>
          <w:ilvl w:val="0"/>
          <w:numId w:val="12"/>
        </w:numPr>
        <w:tabs>
          <w:tab w:val="num" w:pos="720"/>
          <w:tab w:val="clear" w:pos="1440"/>
        </w:tabs>
        <w:ind w:firstLine="360"/>
      </w:pPr>
      <w:r w:rsidRPr="00B97942">
        <w:t>Section 1.1312 is amended by revising subparagraph (e) to read as follows:</w:t>
      </w:r>
    </w:p>
    <w:p w:rsidR="00C642D1" w:rsidP="009F7F17">
      <w:pPr>
        <w:spacing w:after="120"/>
        <w:ind w:firstLine="360"/>
      </w:pPr>
      <w:r w:rsidRPr="00B97942">
        <w:t>(e): Paragraphs (a) through (d) of this section shall not apply</w:t>
      </w:r>
      <w:r>
        <w:t xml:space="preserve"> </w:t>
      </w:r>
      <w:r w:rsidRPr="00B97942">
        <w:t>to the construction of mobile stations</w:t>
      </w:r>
      <w:r>
        <w:t>.</w:t>
      </w:r>
    </w:p>
    <w:p w:rsidR="00C642D1" w:rsidRPr="0019319F" w:rsidP="009F7F17">
      <w:pPr>
        <w:pStyle w:val="ParaNum"/>
        <w:tabs>
          <w:tab w:val="left" w:pos="720"/>
          <w:tab w:val="clear" w:pos="1440"/>
        </w:tabs>
        <w:ind w:firstLine="360"/>
      </w:pPr>
      <w:r w:rsidRPr="0019319F">
        <w:rPr>
          <w:bCs/>
        </w:rPr>
        <w:t>Section</w:t>
      </w:r>
      <w:r w:rsidRPr="00E021CB">
        <w:rPr>
          <w:bCs/>
        </w:rPr>
        <w:t xml:space="preserve"> 1.6002</w:t>
      </w:r>
      <w:r w:rsidRPr="0019319F">
        <w:rPr>
          <w:b/>
          <w:bCs/>
        </w:rPr>
        <w:t xml:space="preserve"> </w:t>
      </w:r>
      <w:r w:rsidRPr="0019319F">
        <w:t>is amended by revising subparagraph (l) to read as follows:</w:t>
      </w:r>
    </w:p>
    <w:p w:rsidR="00C642D1" w:rsidRPr="0019319F" w:rsidP="009F7F17">
      <w:pPr>
        <w:spacing w:after="120"/>
        <w:ind w:firstLine="360"/>
      </w:pPr>
      <w:bookmarkStart w:id="2" w:name="_Hlk525749971"/>
      <w:r w:rsidRPr="0019319F">
        <w:t xml:space="preserve">(l) </w:t>
      </w:r>
      <w:r w:rsidRPr="0019319F">
        <w:rPr>
          <w:i/>
        </w:rPr>
        <w:t>Small wireless facilities</w:t>
      </w:r>
      <w:r w:rsidRPr="0019319F">
        <w:t xml:space="preserve"> are facilities that meet each of the following conditions:</w:t>
      </w:r>
    </w:p>
    <w:p w:rsidR="00C642D1" w:rsidRPr="0019319F" w:rsidP="00C642D1">
      <w:pPr>
        <w:spacing w:after="120"/>
        <w:ind w:left="720"/>
      </w:pPr>
      <w:r w:rsidRPr="0019319F">
        <w:t>(1) The facilities—</w:t>
      </w:r>
    </w:p>
    <w:p w:rsidR="00C642D1" w:rsidRPr="0019319F" w:rsidP="00C642D1">
      <w:pPr>
        <w:spacing w:after="120"/>
        <w:ind w:left="1440"/>
      </w:pPr>
      <w:r w:rsidRPr="0019319F">
        <w:t xml:space="preserve">(i) are mounted on structures 50 feet or less in height including their antennas as defined in section 1.1320(d), or </w:t>
      </w:r>
    </w:p>
    <w:p w:rsidR="00C642D1" w:rsidRPr="0019319F" w:rsidP="00C642D1">
      <w:pPr>
        <w:spacing w:after="120"/>
        <w:ind w:left="1440"/>
      </w:pPr>
      <w:r w:rsidRPr="0019319F">
        <w:t xml:space="preserve">(ii) are mounted on structures no more than 10 percent taller than other adjacent structures, or </w:t>
      </w:r>
    </w:p>
    <w:p w:rsidR="00C642D1" w:rsidRPr="0019319F" w:rsidP="00C642D1">
      <w:pPr>
        <w:spacing w:after="120"/>
        <w:ind w:left="1440"/>
      </w:pPr>
      <w:r w:rsidRPr="0019319F">
        <w:t xml:space="preserve">(iii) do not extend existing structures on which they are located to a height of more than 50 feet or by more than 10 percent, whichever is greater; </w:t>
      </w:r>
    </w:p>
    <w:p w:rsidR="00C642D1" w:rsidRPr="0019319F" w:rsidP="00C642D1">
      <w:pPr>
        <w:spacing w:after="120"/>
        <w:ind w:left="720"/>
      </w:pPr>
      <w:r w:rsidRPr="0019319F">
        <w:t>(2)</w:t>
      </w:r>
      <w:r w:rsidR="00C46092">
        <w:t xml:space="preserve"> </w:t>
      </w:r>
      <w:r w:rsidRPr="0019319F">
        <w:t xml:space="preserve">Each antenna associated with the deployment, excluding associated antenna equipment (as defined in the definition of antenna in section 1.1320(d)), is no more than three cubic feet in volume; </w:t>
      </w:r>
    </w:p>
    <w:p w:rsidR="00C642D1" w:rsidRPr="0019319F" w:rsidP="00C642D1">
      <w:pPr>
        <w:spacing w:after="120"/>
        <w:ind w:left="720"/>
      </w:pPr>
      <w:r w:rsidRPr="0019319F">
        <w:t>(3)</w:t>
      </w:r>
      <w:r w:rsidR="00C46092">
        <w:t xml:space="preserve"> </w:t>
      </w:r>
      <w:r w:rsidRPr="0019319F">
        <w:t xml:space="preserve">All other wireless equipment associated with the structure, including the wireless equipment associated with the antenna and any pre-existing associated equipment on the structure, is no more than 28 cubic feet in volume; </w:t>
      </w:r>
    </w:p>
    <w:p w:rsidR="00C642D1" w:rsidRPr="0019319F" w:rsidP="00C642D1">
      <w:pPr>
        <w:spacing w:after="120"/>
        <w:ind w:left="720"/>
      </w:pPr>
      <w:r w:rsidRPr="0019319F">
        <w:t>(4)</w:t>
      </w:r>
      <w:r w:rsidR="00C46092">
        <w:t xml:space="preserve"> </w:t>
      </w:r>
      <w:r w:rsidRPr="0019319F">
        <w:t>The facilities do not require antenna structure registration under part 17 of this chapter;</w:t>
      </w:r>
    </w:p>
    <w:p w:rsidR="00C642D1" w:rsidRPr="0019319F" w:rsidP="00C642D1">
      <w:pPr>
        <w:spacing w:after="120"/>
        <w:ind w:left="720"/>
      </w:pPr>
      <w:r w:rsidRPr="0019319F">
        <w:t>(5)</w:t>
      </w:r>
      <w:r w:rsidR="00C46092">
        <w:t xml:space="preserve"> </w:t>
      </w:r>
      <w:r w:rsidRPr="0019319F">
        <w:t xml:space="preserve">The facilities are not located on Tribal lands, as defined under 36 CFR 800.16(x); and </w:t>
      </w:r>
    </w:p>
    <w:p w:rsidR="007E1773" w:rsidRPr="00E72724" w:rsidP="00C46092">
      <w:pPr>
        <w:spacing w:after="120"/>
        <w:ind w:left="720"/>
        <w:rPr>
          <w:rFonts w:ascii="TimesNewRomanPSMT" w:hAnsi="TimesNewRomanPSMT" w:cs="TimesNewRomanPSMT"/>
          <w:snapToGrid/>
          <w:kern w:val="0"/>
          <w:szCs w:val="22"/>
        </w:rPr>
      </w:pPr>
      <w:r w:rsidRPr="0019319F">
        <w:t>(6) The facilities do not result in human exposure to radiofrequency radiation in excess of the applicable safety standards specified in section 1.1307(b)</w:t>
      </w:r>
      <w:bookmarkEnd w:id="2"/>
      <w:r>
        <w:t>.</w:t>
      </w:r>
    </w:p>
    <w:sectPr w:rsidSect="00C46092">
      <w:headerReference w:type="first" r:id="rId10"/>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4609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173F0">
      <w:r>
        <w:separator/>
      </w:r>
    </w:p>
  </w:footnote>
  <w:footnote w:type="continuationSeparator" w:id="1">
    <w:p w:rsidR="000173F0" w:rsidP="00C721AC">
      <w:pPr>
        <w:spacing w:before="120"/>
        <w:rPr>
          <w:sz w:val="20"/>
        </w:rPr>
      </w:pPr>
      <w:r>
        <w:rPr>
          <w:sz w:val="20"/>
        </w:rPr>
        <w:t xml:space="preserve">(Continued from previous page)  </w:t>
      </w:r>
      <w:r>
        <w:rPr>
          <w:sz w:val="20"/>
        </w:rPr>
        <w:separator/>
      </w:r>
    </w:p>
  </w:footnote>
  <w:footnote w:type="continuationNotice" w:id="2">
    <w:p w:rsidR="000173F0" w:rsidP="00C721AC">
      <w:pPr>
        <w:jc w:val="right"/>
        <w:rPr>
          <w:sz w:val="20"/>
        </w:rPr>
      </w:pPr>
      <w:r>
        <w:rPr>
          <w:sz w:val="20"/>
        </w:rPr>
        <w:t>(continued….)</w:t>
      </w:r>
    </w:p>
  </w:footnote>
  <w:footnote w:id="3">
    <w:p w:rsidR="003179E1" w:rsidP="003179E1">
      <w:pPr>
        <w:widowControl/>
        <w:autoSpaceDE w:val="0"/>
        <w:autoSpaceDN w:val="0"/>
        <w:adjustRightInd w:val="0"/>
        <w:rPr>
          <w:rFonts w:ascii="TimesNewRomanPSMT" w:hAnsi="TimesNewRomanPSMT" w:cs="TimesNewRomanPSMT"/>
          <w:snapToGrid/>
          <w:kern w:val="0"/>
          <w:sz w:val="20"/>
        </w:rPr>
      </w:pPr>
      <w:r>
        <w:rPr>
          <w:rStyle w:val="FootnoteReference"/>
        </w:rPr>
        <w:footnoteRef/>
      </w:r>
      <w:r>
        <w:t xml:space="preserve"> </w:t>
      </w:r>
      <w:r>
        <w:rPr>
          <w:rFonts w:ascii="TimesNewRomanPS-ItalicMT" w:hAnsi="TimesNewRomanPS-ItalicMT" w:cs="TimesNewRomanPS-ItalicMT"/>
          <w:i/>
          <w:iCs/>
          <w:snapToGrid/>
          <w:kern w:val="0"/>
          <w:sz w:val="20"/>
        </w:rPr>
        <w:t>Accelerating Wireless Broadband Deployment by Removing Barriers to Infrastructure Investment</w:t>
      </w:r>
      <w:r>
        <w:rPr>
          <w:rFonts w:ascii="TimesNewRomanPSMT" w:hAnsi="TimesNewRomanPSMT" w:cs="TimesNewRomanPSMT"/>
          <w:snapToGrid/>
          <w:kern w:val="0"/>
          <w:sz w:val="20"/>
        </w:rPr>
        <w:t>, Second Report</w:t>
      </w:r>
    </w:p>
    <w:p w:rsidR="003179E1" w:rsidRPr="00887F17" w:rsidP="003179E1">
      <w:pPr>
        <w:pStyle w:val="FootnoteText"/>
        <w:rPr>
          <w:rFonts w:ascii="TimesNewRomanPSMT" w:hAnsi="TimesNewRomanPSMT" w:cs="TimesNewRomanPSMT"/>
        </w:rPr>
      </w:pPr>
      <w:r>
        <w:rPr>
          <w:rFonts w:ascii="TimesNewRomanPSMT" w:hAnsi="TimesNewRomanPSMT" w:cs="TimesNewRomanPSMT"/>
        </w:rPr>
        <w:t xml:space="preserve">and Order, </w:t>
      </w:r>
      <w:r w:rsidRPr="009961D6" w:rsidR="009961D6">
        <w:rPr>
          <w:rFonts w:ascii="TimesNewRomanPSMT" w:hAnsi="TimesNewRomanPSMT" w:cs="TimesNewRomanPSMT"/>
        </w:rPr>
        <w:t>33 FCC Rcd 3102</w:t>
      </w:r>
      <w:r w:rsidR="009961D6">
        <w:rPr>
          <w:rFonts w:ascii="TimesNewRomanPSMT" w:hAnsi="TimesNewRomanPSMT" w:cs="TimesNewRomanPSMT"/>
        </w:rPr>
        <w:t xml:space="preserve"> </w:t>
      </w:r>
      <w:r>
        <w:rPr>
          <w:rFonts w:ascii="TimesNewRomanPSMT" w:hAnsi="TimesNewRomanPSMT" w:cs="TimesNewRomanPSMT"/>
        </w:rPr>
        <w:t>(2018)</w:t>
      </w:r>
      <w:r w:rsidR="00FC353A">
        <w:rPr>
          <w:rFonts w:ascii="TimesNewRomanPSMT" w:hAnsi="TimesNewRomanPSMT" w:cs="TimesNewRomanPSMT"/>
        </w:rPr>
        <w:t xml:space="preserve"> </w:t>
      </w:r>
      <w:r w:rsidR="00FC353A">
        <w:rPr>
          <w:rFonts w:ascii="TimesNewRomanPSMT" w:hAnsi="TimesNewRomanPSMT" w:cs="TimesNewRomanPSMT"/>
          <w:i/>
        </w:rPr>
        <w:t>(Second Report and Order)</w:t>
      </w:r>
      <w:r>
        <w:rPr>
          <w:rFonts w:ascii="TimesNewRomanPSMT" w:hAnsi="TimesNewRomanPSMT" w:cs="TimesNewRomanPSMT"/>
        </w:rPr>
        <w:t xml:space="preserve">, </w:t>
      </w:r>
      <w:r w:rsidRPr="00C25E13">
        <w:rPr>
          <w:rFonts w:ascii="TimesNewRomanPSMT" w:hAnsi="TimesNewRomanPSMT" w:cs="TimesNewRomanPSMT"/>
          <w:i/>
        </w:rPr>
        <w:t>remanded in part sub nom.</w:t>
      </w:r>
      <w:r>
        <w:rPr>
          <w:rFonts w:ascii="TimesNewRomanPSMT" w:hAnsi="TimesNewRomanPSMT" w:cs="TimesNewRomanPSMT"/>
          <w:i/>
        </w:rPr>
        <w:t>,</w:t>
      </w:r>
      <w:r>
        <w:rPr>
          <w:rFonts w:ascii="TimesNewRomanPSMT" w:hAnsi="TimesNewRomanPSMT" w:cs="TimesNewRomanPSMT"/>
        </w:rPr>
        <w:t xml:space="preserve"> </w:t>
      </w:r>
      <w:r w:rsidRPr="004E2741" w:rsidR="009944E7">
        <w:rPr>
          <w:i/>
        </w:rPr>
        <w:t>United Keetoowah Band of Cherokee Indians v. FCC</w:t>
      </w:r>
      <w:r w:rsidR="009944E7">
        <w:t>,</w:t>
      </w:r>
      <w:r w:rsidRPr="004E2741" w:rsidR="009944E7">
        <w:rPr>
          <w:i/>
        </w:rPr>
        <w:t xml:space="preserve"> </w:t>
      </w:r>
      <w:r w:rsidRPr="009E5333" w:rsidR="009944E7">
        <w:t>No. 18-1129</w:t>
      </w:r>
      <w:r w:rsidR="009944E7">
        <w:t>,</w:t>
      </w:r>
      <w:r w:rsidRPr="009E5333" w:rsidR="009944E7">
        <w:rPr>
          <w:rStyle w:val="cosearchdetaillevel1"/>
        </w:rPr>
        <w:t xml:space="preserve"> </w:t>
      </w:r>
      <w:r w:rsidR="009944E7">
        <w:rPr>
          <w:rStyle w:val="cosearchdetaillevel1"/>
        </w:rPr>
        <w:t>2019 WL 3756373 (D.C. Cir Aug. 9, 2019) (</w:t>
      </w:r>
      <w:r w:rsidR="009944E7">
        <w:rPr>
          <w:rStyle w:val="cosearchdetaillevel1"/>
          <w:i/>
        </w:rPr>
        <w:t>United Keetoowah</w:t>
      </w:r>
      <w:r w:rsidR="009944E7">
        <w:rPr>
          <w:rStyle w:val="cosearchdetaillevel1"/>
        </w:rPr>
        <w:t>)</w:t>
      </w:r>
      <w:r>
        <w:rPr>
          <w:rFonts w:ascii="TimesNewRomanPSMT" w:hAnsi="TimesNewRomanPSMT" w:cs="TimesNewRomanPSMT"/>
        </w:rPr>
        <w:t>.</w:t>
      </w:r>
    </w:p>
  </w:footnote>
  <w:footnote w:id="4">
    <w:p w:rsidR="00E865F9" w:rsidRPr="009E5333">
      <w:pPr>
        <w:pStyle w:val="FootnoteText"/>
      </w:pPr>
      <w:r>
        <w:rPr>
          <w:rStyle w:val="FootnoteReference"/>
        </w:rPr>
        <w:footnoteRef/>
      </w:r>
      <w:r>
        <w:t xml:space="preserve"> </w:t>
      </w:r>
      <w:r w:rsidR="004E2741">
        <w:rPr>
          <w:i/>
        </w:rPr>
        <w:t xml:space="preserve">See </w:t>
      </w:r>
      <w:r w:rsidR="007E0766">
        <w:rPr>
          <w:rFonts w:ascii="TimesNewRomanPSMT" w:hAnsi="TimesNewRomanPSMT" w:cs="TimesNewRomanPSMT"/>
          <w:i/>
        </w:rPr>
        <w:t>United Keetoowah</w:t>
      </w:r>
      <w:r w:rsidRPr="004E2741" w:rsidR="007E0766">
        <w:rPr>
          <w:i/>
        </w:rPr>
        <w:t xml:space="preserve"> </w:t>
      </w:r>
      <w:r w:rsidR="007E0766">
        <w:rPr>
          <w:i/>
        </w:rPr>
        <w:t>at</w:t>
      </w:r>
      <w:r w:rsidR="005E380F">
        <w:rPr>
          <w:i/>
        </w:rPr>
        <w:t xml:space="preserve"> </w:t>
      </w:r>
      <w:r w:rsidR="00EF61AC">
        <w:rPr>
          <w:rStyle w:val="cosearchdetaillevel1"/>
        </w:rPr>
        <w:t>*15</w:t>
      </w:r>
      <w:r w:rsidR="009E5333">
        <w:rPr>
          <w:rStyle w:val="cosearchdetaillevel1"/>
        </w:rPr>
        <w:t>.</w:t>
      </w:r>
    </w:p>
  </w:footnote>
  <w:footnote w:id="5">
    <w:p w:rsidR="00071F23" w:rsidRPr="00071F23">
      <w:pPr>
        <w:pStyle w:val="FootnoteText"/>
      </w:pPr>
      <w:r>
        <w:rPr>
          <w:rStyle w:val="FootnoteReference"/>
        </w:rPr>
        <w:footnoteRef/>
      </w:r>
      <w:r>
        <w:t xml:space="preserve"> </w:t>
      </w:r>
      <w:r>
        <w:rPr>
          <w:i/>
        </w:rPr>
        <w:t xml:space="preserve">See </w:t>
      </w:r>
      <w:r>
        <w:t>47 C.F.R. § 1.1312(e)(2).</w:t>
      </w:r>
    </w:p>
  </w:footnote>
  <w:footnote w:id="6">
    <w:p w:rsidR="00EF0FEF" w:rsidRPr="00EF0FEF">
      <w:pPr>
        <w:pStyle w:val="FootnoteText"/>
      </w:pPr>
      <w:r>
        <w:rPr>
          <w:rStyle w:val="FootnoteReference"/>
        </w:rPr>
        <w:footnoteRef/>
      </w:r>
      <w:r>
        <w:t xml:space="preserve"> </w:t>
      </w:r>
      <w:r w:rsidR="00071F23">
        <w:rPr>
          <w:i/>
        </w:rPr>
        <w:t>See id.</w:t>
      </w:r>
      <w:r w:rsidR="00C62CC7">
        <w:rPr>
          <w:i/>
        </w:rPr>
        <w:t xml:space="preserve"> </w:t>
      </w:r>
      <w:r w:rsidR="00071F23">
        <w:t>§</w:t>
      </w:r>
      <w:r w:rsidR="00C62CC7">
        <w:t xml:space="preserve"> 1.600</w:t>
      </w:r>
      <w:r w:rsidR="00720FA4">
        <w:t>2</w:t>
      </w:r>
      <w:r w:rsidR="00C62CC7">
        <w:t xml:space="preserve"> (“consistent with section 1.1312(e)(2)”).  </w:t>
      </w:r>
    </w:p>
  </w:footnote>
  <w:footnote w:id="7">
    <w:p w:rsidR="00DC2D76" w:rsidRPr="00FA5051" w:rsidP="00DC2D76">
      <w:pPr>
        <w:pStyle w:val="FootnoteText"/>
      </w:pPr>
      <w:r w:rsidRPr="00FA5051">
        <w:rPr>
          <w:rStyle w:val="FootnoteReference"/>
        </w:rPr>
        <w:footnoteRef/>
      </w:r>
      <w:r w:rsidRPr="00FA5051">
        <w:t xml:space="preserve"> 54 U.S.C. § 300101 </w:t>
      </w:r>
      <w:r w:rsidRPr="00FA5051">
        <w:rPr>
          <w:i/>
        </w:rPr>
        <w:t>et seq</w:t>
      </w:r>
      <w:r w:rsidRPr="00FA5051">
        <w:t xml:space="preserve">. </w:t>
      </w:r>
    </w:p>
  </w:footnote>
  <w:footnote w:id="8">
    <w:p w:rsidR="00DC2D76" w:rsidRPr="00FA5051" w:rsidP="00DC2D76">
      <w:pPr>
        <w:pStyle w:val="FootnoteText"/>
      </w:pPr>
      <w:r w:rsidRPr="00FA5051">
        <w:rPr>
          <w:rStyle w:val="FootnoteReference"/>
        </w:rPr>
        <w:footnoteRef/>
      </w:r>
      <w:r w:rsidRPr="00FA5051">
        <w:t xml:space="preserve"> 42 U.S.C. § 4321 </w:t>
      </w:r>
      <w:r w:rsidRPr="00FA5051">
        <w:rPr>
          <w:i/>
        </w:rPr>
        <w:t xml:space="preserve">et seq. </w:t>
      </w:r>
    </w:p>
  </w:footnote>
  <w:footnote w:id="9">
    <w:p w:rsidR="00DF459A" w:rsidRPr="0079609E" w:rsidP="00DF459A">
      <w:pPr>
        <w:pStyle w:val="FootnoteText"/>
      </w:pPr>
      <w:r>
        <w:rPr>
          <w:rStyle w:val="FootnoteReference"/>
        </w:rPr>
        <w:footnoteRef/>
      </w:r>
      <w:r>
        <w:t xml:space="preserve"> 5 U.S.C. § 553(b)(B); </w:t>
      </w:r>
      <w:r>
        <w:rPr>
          <w:i/>
        </w:rPr>
        <w:t>see also</w:t>
      </w:r>
      <w:r>
        <w:rPr>
          <w:i/>
          <w:iCs/>
        </w:rPr>
        <w:t xml:space="preserve"> EME Homer City Generation LP v. EPA</w:t>
      </w:r>
      <w:r>
        <w:rPr>
          <w:iCs/>
        </w:rPr>
        <w:t xml:space="preserve">, 795 F.3d 118, 134 (D.C. Cir. 2015) (affirming agency good cause determination that notice and comment were unnecessary when a court order invalidated a rule and “commentators could not have said anything during a notice and comment period that would have changed that fact”); </w:t>
      </w:r>
      <w:r>
        <w:rPr>
          <w:i/>
          <w:iCs/>
        </w:rPr>
        <w:t>Amendment of Part 95</w:t>
      </w:r>
      <w:r>
        <w:t xml:space="preserve">, Order, 3 FCC Rcd 5032, 1988 WL 488084 *2 (1988) (notice and comment unnecessary when revisions in an order “merely…delete redundant or obsolete rules”).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7E4605">
      <w:rPr>
        <w:spacing w:val="-2"/>
      </w:rPr>
      <w:t xml:space="preserve">DA </w:t>
    </w:r>
    <w:r w:rsidR="00E91B8B">
      <w:rPr>
        <w:spacing w:val="-2"/>
      </w:rPr>
      <w:t>19-1024</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821E90">
      <w:rPr>
        <w:spacing w:val="-2"/>
      </w:rPr>
      <w:t xml:space="preserve">DA </w:t>
    </w:r>
    <w:r w:rsidR="00E91B8B">
      <w:rPr>
        <w:spacing w:val="-2"/>
      </w:rPr>
      <w:t>19</w:t>
    </w:r>
    <w:r w:rsidR="00821E90">
      <w:rPr>
        <w:spacing w:val="-2"/>
      </w:rPr>
      <w:t>-</w:t>
    </w:r>
    <w:r w:rsidR="00E91B8B">
      <w:rPr>
        <w:spacing w:val="-2"/>
      </w:rPr>
      <w:t>1024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6092" w:rsidP="00810B6F">
    <w:pPr>
      <w:pStyle w:val="Header"/>
      <w:rPr>
        <w:b w:val="0"/>
      </w:rP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tab/>
      <w:t>Federal Communications Commission</w:t>
    </w:r>
    <w:r>
      <w:tab/>
    </w:r>
    <w:r>
      <w:rPr>
        <w:spacing w:val="-2"/>
      </w:rPr>
      <w:t>DA 19-1024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C4F74E4"/>
    <w:multiLevelType w:val="hybridMultilevel"/>
    <w:tmpl w:val="46242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09B85A74"/>
    <w:lvl w:ilvl="0">
      <w:start w:val="1"/>
      <w:numFmt w:val="decimal"/>
      <w:pStyle w:val="ParaNum"/>
      <w:lvlText w:val="%1."/>
      <w:lvlJc w:val="left"/>
      <w:pPr>
        <w:tabs>
          <w:tab w:val="num" w:pos="1440"/>
        </w:tabs>
        <w:ind w:left="0" w:firstLine="720"/>
      </w:pPr>
      <w:rPr>
        <w:rFonts w:hint="default"/>
      </w:rPr>
    </w:lvl>
  </w:abstractNum>
  <w:num w:numId="1">
    <w:abstractNumId w:val="3"/>
  </w:num>
  <w:num w:numId="2">
    <w:abstractNumId w:val="7"/>
  </w:num>
  <w:num w:numId="3">
    <w:abstractNumId w:val="5"/>
  </w:num>
  <w:num w:numId="4">
    <w:abstractNumId w:val="6"/>
  </w:num>
  <w:num w:numId="5">
    <w:abstractNumId w:val="4"/>
  </w:num>
  <w:num w:numId="6">
    <w:abstractNumId w:val="1"/>
  </w:num>
  <w:num w:numId="7">
    <w:abstractNumId w:val="0"/>
  </w:num>
  <w:num w:numId="8">
    <w:abstractNumId w:val="7"/>
    <w:lvlOverride w:ilvl="0">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2DC"/>
    <w:rsid w:val="000173F0"/>
    <w:rsid w:val="00036039"/>
    <w:rsid w:val="00037F90"/>
    <w:rsid w:val="00044A94"/>
    <w:rsid w:val="0005140D"/>
    <w:rsid w:val="00071F23"/>
    <w:rsid w:val="00074B8D"/>
    <w:rsid w:val="000820AE"/>
    <w:rsid w:val="000875BF"/>
    <w:rsid w:val="00096D8C"/>
    <w:rsid w:val="0009704F"/>
    <w:rsid w:val="000A22C9"/>
    <w:rsid w:val="000C0B65"/>
    <w:rsid w:val="000C5D72"/>
    <w:rsid w:val="000E05FE"/>
    <w:rsid w:val="000E36EA"/>
    <w:rsid w:val="000E3D42"/>
    <w:rsid w:val="000F6867"/>
    <w:rsid w:val="00114A31"/>
    <w:rsid w:val="00122BD5"/>
    <w:rsid w:val="00133F79"/>
    <w:rsid w:val="001513D8"/>
    <w:rsid w:val="0019319F"/>
    <w:rsid w:val="00194A66"/>
    <w:rsid w:val="001A4AC0"/>
    <w:rsid w:val="001B2F30"/>
    <w:rsid w:val="001B66E0"/>
    <w:rsid w:val="001C64D8"/>
    <w:rsid w:val="001D14F9"/>
    <w:rsid w:val="001D6BCF"/>
    <w:rsid w:val="001E01CA"/>
    <w:rsid w:val="001F50AF"/>
    <w:rsid w:val="00242784"/>
    <w:rsid w:val="00275CF5"/>
    <w:rsid w:val="0028301F"/>
    <w:rsid w:val="00285017"/>
    <w:rsid w:val="0029666F"/>
    <w:rsid w:val="002A2D2E"/>
    <w:rsid w:val="002B2AD0"/>
    <w:rsid w:val="002C00E8"/>
    <w:rsid w:val="002D507A"/>
    <w:rsid w:val="002E4E66"/>
    <w:rsid w:val="002F70F0"/>
    <w:rsid w:val="002F7DBF"/>
    <w:rsid w:val="00310344"/>
    <w:rsid w:val="00315342"/>
    <w:rsid w:val="003179E1"/>
    <w:rsid w:val="00330C53"/>
    <w:rsid w:val="003344C7"/>
    <w:rsid w:val="00343749"/>
    <w:rsid w:val="00346C79"/>
    <w:rsid w:val="00346CFE"/>
    <w:rsid w:val="0036107C"/>
    <w:rsid w:val="003660ED"/>
    <w:rsid w:val="00396087"/>
    <w:rsid w:val="003A3633"/>
    <w:rsid w:val="003B0550"/>
    <w:rsid w:val="003B694F"/>
    <w:rsid w:val="003F171C"/>
    <w:rsid w:val="00400D70"/>
    <w:rsid w:val="00412FC5"/>
    <w:rsid w:val="00422276"/>
    <w:rsid w:val="004242F1"/>
    <w:rsid w:val="00445A00"/>
    <w:rsid w:val="00450B1E"/>
    <w:rsid w:val="00451B0F"/>
    <w:rsid w:val="0045306C"/>
    <w:rsid w:val="004C2EE3"/>
    <w:rsid w:val="004D0909"/>
    <w:rsid w:val="004E2741"/>
    <w:rsid w:val="004E4A22"/>
    <w:rsid w:val="004E5B4E"/>
    <w:rsid w:val="00511968"/>
    <w:rsid w:val="005402BF"/>
    <w:rsid w:val="0055614C"/>
    <w:rsid w:val="00566D06"/>
    <w:rsid w:val="005959C5"/>
    <w:rsid w:val="005A2581"/>
    <w:rsid w:val="005D39D3"/>
    <w:rsid w:val="005E14C2"/>
    <w:rsid w:val="005E380F"/>
    <w:rsid w:val="005F2E3C"/>
    <w:rsid w:val="005F3720"/>
    <w:rsid w:val="0060724D"/>
    <w:rsid w:val="00607BA5"/>
    <w:rsid w:val="0061180A"/>
    <w:rsid w:val="00617FF9"/>
    <w:rsid w:val="00626EB6"/>
    <w:rsid w:val="00655D03"/>
    <w:rsid w:val="006822E3"/>
    <w:rsid w:val="00682FCD"/>
    <w:rsid w:val="00683388"/>
    <w:rsid w:val="00683F84"/>
    <w:rsid w:val="006A6A81"/>
    <w:rsid w:val="006A735E"/>
    <w:rsid w:val="006F7393"/>
    <w:rsid w:val="0070224F"/>
    <w:rsid w:val="00703CBF"/>
    <w:rsid w:val="007115F7"/>
    <w:rsid w:val="00720FA4"/>
    <w:rsid w:val="00731615"/>
    <w:rsid w:val="00734153"/>
    <w:rsid w:val="00767E5C"/>
    <w:rsid w:val="00783A0C"/>
    <w:rsid w:val="00785689"/>
    <w:rsid w:val="0079609E"/>
    <w:rsid w:val="007974BE"/>
    <w:rsid w:val="0079754B"/>
    <w:rsid w:val="007A1E6D"/>
    <w:rsid w:val="007B0EB2"/>
    <w:rsid w:val="007B7761"/>
    <w:rsid w:val="007C4DA6"/>
    <w:rsid w:val="007E0766"/>
    <w:rsid w:val="007E1773"/>
    <w:rsid w:val="007E4605"/>
    <w:rsid w:val="007E7947"/>
    <w:rsid w:val="00804FF3"/>
    <w:rsid w:val="00810B6F"/>
    <w:rsid w:val="00821E90"/>
    <w:rsid w:val="00822CE0"/>
    <w:rsid w:val="008240F8"/>
    <w:rsid w:val="00841AB1"/>
    <w:rsid w:val="00853C0E"/>
    <w:rsid w:val="00866E9E"/>
    <w:rsid w:val="00870924"/>
    <w:rsid w:val="00887F17"/>
    <w:rsid w:val="00895EB6"/>
    <w:rsid w:val="008A5EB2"/>
    <w:rsid w:val="008C68F1"/>
    <w:rsid w:val="008D571F"/>
    <w:rsid w:val="00902D37"/>
    <w:rsid w:val="00921803"/>
    <w:rsid w:val="009221B5"/>
    <w:rsid w:val="00926503"/>
    <w:rsid w:val="00953316"/>
    <w:rsid w:val="009726D8"/>
    <w:rsid w:val="009944E7"/>
    <w:rsid w:val="009961D6"/>
    <w:rsid w:val="009B46C9"/>
    <w:rsid w:val="009B7C0F"/>
    <w:rsid w:val="009D1487"/>
    <w:rsid w:val="009D7308"/>
    <w:rsid w:val="009E5333"/>
    <w:rsid w:val="009F76DB"/>
    <w:rsid w:val="009F7F17"/>
    <w:rsid w:val="00A32C3B"/>
    <w:rsid w:val="00A4065D"/>
    <w:rsid w:val="00A45F4F"/>
    <w:rsid w:val="00A600A9"/>
    <w:rsid w:val="00A61381"/>
    <w:rsid w:val="00A62375"/>
    <w:rsid w:val="00A91EB1"/>
    <w:rsid w:val="00AA55B7"/>
    <w:rsid w:val="00AA5B9E"/>
    <w:rsid w:val="00AB2407"/>
    <w:rsid w:val="00AB53DF"/>
    <w:rsid w:val="00AD07D7"/>
    <w:rsid w:val="00AD29E9"/>
    <w:rsid w:val="00AD6E3F"/>
    <w:rsid w:val="00AF3B23"/>
    <w:rsid w:val="00B0477B"/>
    <w:rsid w:val="00B07E5C"/>
    <w:rsid w:val="00B22DE1"/>
    <w:rsid w:val="00B811F7"/>
    <w:rsid w:val="00B97942"/>
    <w:rsid w:val="00BA5DC6"/>
    <w:rsid w:val="00BA6196"/>
    <w:rsid w:val="00BC6D8C"/>
    <w:rsid w:val="00C046B3"/>
    <w:rsid w:val="00C048DD"/>
    <w:rsid w:val="00C25E13"/>
    <w:rsid w:val="00C27E8D"/>
    <w:rsid w:val="00C34006"/>
    <w:rsid w:val="00C36B4C"/>
    <w:rsid w:val="00C426B1"/>
    <w:rsid w:val="00C46092"/>
    <w:rsid w:val="00C57469"/>
    <w:rsid w:val="00C62CC7"/>
    <w:rsid w:val="00C642D1"/>
    <w:rsid w:val="00C66160"/>
    <w:rsid w:val="00C721AC"/>
    <w:rsid w:val="00C769E0"/>
    <w:rsid w:val="00C876DB"/>
    <w:rsid w:val="00C90D6A"/>
    <w:rsid w:val="00CA247E"/>
    <w:rsid w:val="00CA6D21"/>
    <w:rsid w:val="00CC72B6"/>
    <w:rsid w:val="00CD1881"/>
    <w:rsid w:val="00D0218D"/>
    <w:rsid w:val="00D17887"/>
    <w:rsid w:val="00D25FB5"/>
    <w:rsid w:val="00D43EB9"/>
    <w:rsid w:val="00D44223"/>
    <w:rsid w:val="00D62668"/>
    <w:rsid w:val="00D62951"/>
    <w:rsid w:val="00D72E84"/>
    <w:rsid w:val="00DA2529"/>
    <w:rsid w:val="00DB130A"/>
    <w:rsid w:val="00DB2536"/>
    <w:rsid w:val="00DB2EBB"/>
    <w:rsid w:val="00DC10A1"/>
    <w:rsid w:val="00DC2D76"/>
    <w:rsid w:val="00DC655F"/>
    <w:rsid w:val="00DD0B59"/>
    <w:rsid w:val="00DD7EBD"/>
    <w:rsid w:val="00DF459A"/>
    <w:rsid w:val="00DF5C91"/>
    <w:rsid w:val="00DF62B6"/>
    <w:rsid w:val="00E021CB"/>
    <w:rsid w:val="00E07225"/>
    <w:rsid w:val="00E20E2F"/>
    <w:rsid w:val="00E233C0"/>
    <w:rsid w:val="00E30D12"/>
    <w:rsid w:val="00E33E41"/>
    <w:rsid w:val="00E51BE5"/>
    <w:rsid w:val="00E52FC8"/>
    <w:rsid w:val="00E5409F"/>
    <w:rsid w:val="00E575BC"/>
    <w:rsid w:val="00E72724"/>
    <w:rsid w:val="00E84A6E"/>
    <w:rsid w:val="00E865F9"/>
    <w:rsid w:val="00E879ED"/>
    <w:rsid w:val="00E91B8B"/>
    <w:rsid w:val="00EB2429"/>
    <w:rsid w:val="00ED006B"/>
    <w:rsid w:val="00EE6488"/>
    <w:rsid w:val="00EF0FEF"/>
    <w:rsid w:val="00EF61AC"/>
    <w:rsid w:val="00F012B9"/>
    <w:rsid w:val="00F021FA"/>
    <w:rsid w:val="00F12374"/>
    <w:rsid w:val="00F13FD9"/>
    <w:rsid w:val="00F51C15"/>
    <w:rsid w:val="00F62E97"/>
    <w:rsid w:val="00F64209"/>
    <w:rsid w:val="00F72F58"/>
    <w:rsid w:val="00F86B55"/>
    <w:rsid w:val="00F93BF5"/>
    <w:rsid w:val="00FA49E8"/>
    <w:rsid w:val="00FA5051"/>
    <w:rsid w:val="00FC32DC"/>
    <w:rsid w:val="00FC353A"/>
    <w:rsid w:val="00FE1A76"/>
    <w:rsid w:val="00FE7467"/>
    <w:rsid w:val="00FF542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1 Char Char,Footnote Text Char1,Footnote Text Char1 Char Char,Footnote Text Char1 Char Char Char Char Char,Footnote Text Char2 Char Char,Footnote Text Char2 Char Char Char Char,f"/>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
    <w:name w:val="ParaNum Char"/>
    <w:link w:val="ParaNum"/>
    <w:rsid w:val="00A4065D"/>
    <w:rPr>
      <w:snapToGrid w:val="0"/>
      <w:kern w:val="28"/>
      <w:sz w:val="22"/>
    </w:rPr>
  </w:style>
  <w:style w:type="character" w:customStyle="1" w:styleId="cosearchdetaillevel1">
    <w:name w:val="co_search_detaillevel_1"/>
    <w:basedOn w:val="DefaultParagraphFont"/>
    <w:rsid w:val="004E2741"/>
  </w:style>
  <w:style w:type="character" w:styleId="CommentReference">
    <w:name w:val="annotation reference"/>
    <w:basedOn w:val="DefaultParagraphFont"/>
    <w:rsid w:val="00FE7467"/>
    <w:rPr>
      <w:sz w:val="16"/>
      <w:szCs w:val="16"/>
    </w:rPr>
  </w:style>
  <w:style w:type="paragraph" w:styleId="CommentText">
    <w:name w:val="annotation text"/>
    <w:basedOn w:val="Normal"/>
    <w:link w:val="CommentTextChar"/>
    <w:rsid w:val="00FE7467"/>
    <w:rPr>
      <w:sz w:val="20"/>
    </w:rPr>
  </w:style>
  <w:style w:type="character" w:customStyle="1" w:styleId="CommentTextChar">
    <w:name w:val="Comment Text Char"/>
    <w:basedOn w:val="DefaultParagraphFont"/>
    <w:link w:val="CommentText"/>
    <w:rsid w:val="00FE7467"/>
    <w:rPr>
      <w:snapToGrid w:val="0"/>
      <w:kern w:val="28"/>
    </w:rPr>
  </w:style>
  <w:style w:type="paragraph" w:styleId="CommentSubject">
    <w:name w:val="annotation subject"/>
    <w:basedOn w:val="CommentText"/>
    <w:next w:val="CommentText"/>
    <w:link w:val="CommentSubjectChar"/>
    <w:rsid w:val="00FE7467"/>
    <w:rPr>
      <w:b/>
      <w:bCs/>
    </w:rPr>
  </w:style>
  <w:style w:type="character" w:customStyle="1" w:styleId="CommentSubjectChar">
    <w:name w:val="Comment Subject Char"/>
    <w:basedOn w:val="CommentTextChar"/>
    <w:link w:val="CommentSubject"/>
    <w:rsid w:val="00FE7467"/>
    <w:rPr>
      <w:b/>
      <w:bCs/>
      <w:snapToGrid w:val="0"/>
      <w:kern w:val="28"/>
    </w:rPr>
  </w:style>
  <w:style w:type="paragraph" w:styleId="BalloonText">
    <w:name w:val="Balloon Text"/>
    <w:basedOn w:val="Normal"/>
    <w:link w:val="BalloonTextChar"/>
    <w:rsid w:val="00FE7467"/>
    <w:rPr>
      <w:rFonts w:ascii="Segoe UI" w:hAnsi="Segoe UI" w:cs="Segoe UI"/>
      <w:sz w:val="18"/>
      <w:szCs w:val="18"/>
    </w:rPr>
  </w:style>
  <w:style w:type="character" w:customStyle="1" w:styleId="BalloonTextChar">
    <w:name w:val="Balloon Text Char"/>
    <w:basedOn w:val="DefaultParagraphFont"/>
    <w:link w:val="BalloonText"/>
    <w:rsid w:val="00FE7467"/>
    <w:rPr>
      <w:rFonts w:ascii="Segoe UI" w:hAnsi="Segoe UI" w:cs="Segoe UI"/>
      <w:snapToGrid w:val="0"/>
      <w:kern w:val="28"/>
      <w:sz w:val="18"/>
      <w:szCs w:val="18"/>
    </w:rPr>
  </w:style>
  <w:style w:type="character" w:customStyle="1" w:styleId="UnresolvedMention1">
    <w:name w:val="Unresolved Mention1"/>
    <w:basedOn w:val="DefaultParagraphFont"/>
    <w:uiPriority w:val="99"/>
    <w:semiHidden/>
    <w:unhideWhenUsed/>
    <w:rsid w:val="00E20E2F"/>
    <w:rPr>
      <w:color w:val="605E5C"/>
      <w:shd w:val="clear" w:color="auto" w:fill="E1DFDD"/>
    </w:rPr>
  </w:style>
  <w:style w:type="character" w:styleId="FollowedHyperlink">
    <w:name w:val="FollowedHyperlink"/>
    <w:basedOn w:val="DefaultParagraphFont"/>
    <w:rsid w:val="00AF3B23"/>
    <w:rPr>
      <w:color w:val="954F72" w:themeColor="followedHyperlink"/>
      <w:u w:val="single"/>
    </w:rPr>
  </w:style>
  <w:style w:type="character" w:customStyle="1" w:styleId="HeaderChar">
    <w:name w:val="Header Char"/>
    <w:link w:val="Header"/>
    <w:rsid w:val="0009704F"/>
    <w:rPr>
      <w:b/>
      <w:snapToGrid w:val="0"/>
      <w:kern w:val="28"/>
      <w:sz w:val="22"/>
    </w:rPr>
  </w:style>
  <w:style w:type="paragraph" w:styleId="ListParagraph">
    <w:name w:val="List Paragraph"/>
    <w:basedOn w:val="Normal"/>
    <w:uiPriority w:val="34"/>
    <w:qFormat/>
    <w:rsid w:val="00EB2429"/>
    <w:pPr>
      <w:widowControl/>
      <w:ind w:left="720"/>
    </w:pPr>
    <w:rPr>
      <w:rFonts w:ascii="Calibri" w:hAnsi="Calibri" w:eastAsiaTheme="minorHAns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